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xlsx" ContentType="application/vnd.openxmlformats-officedocument.spreadsheetml.sheet"/>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jc w:val="center"/>
        <w:rPr>
          <w:rFonts w:ascii="楷体_GB2312" w:eastAsia="楷体_GB2312" w:cs="楷体_GB2312" w:hAnsi="楷体_GB2312" w:hint="eastAsia"/>
          <w:b/>
          <w:bCs/>
          <w:color w:val="0D0D0D"/>
          <w:kern w:val="2"/>
          <w:sz w:val="48"/>
          <w:szCs w:val="56"/>
          <w14:textFill>
            <w14:solidFill>
              <w14:srgbClr w14:val="0D0D0D"/>
            </w14:solidFill>
          </w14:textFill>
        </w:rPr>
      </w:pPr>
      <w:r>
        <w:rPr>
          <w:rFonts w:hint="eastAsia"/>
        </w:rPr>
        <w:drawing>
          <wp:anchor distT="0" distB="0" distL="114300" distR="114300" simplePos="0" relativeHeight="2" behindDoc="1" locked="0" layoutInCell="1" hidden="0" allowOverlap="1">
            <wp:simplePos x="0" y="0"/>
            <wp:positionH relativeFrom="column">
              <wp:posOffset>-887730</wp:posOffset>
            </wp:positionH>
            <wp:positionV relativeFrom="page">
              <wp:posOffset>-201295</wp:posOffset>
            </wp:positionV>
            <wp:extent cx="7569834" cy="10692131"/>
            <wp:effectExtent l="0" t="0" r="12064" b="13970"/>
            <wp:wrapNone/>
            <wp:docPr id="20" name="图片 20" descr="H:\稻壳儿相关资料\封面-非模\01.jpg01"/>
            <wp:cNvGraphicFramePr>
              <a:graphicFrameLocks noChangeAspect="1"/>
            </wp:cNvGraphicFramePr>
            <a:graphic>
              <a:graphicData uri="http://schemas.openxmlformats.org/drawingml/2006/picture">
                <pic:pic>
                  <pic:nvPicPr>
                    <pic:cNvPr id="2" name="图片 2"/>
                    <pic:cNvPicPr/>
                  </pic:nvPicPr>
                  <pic:blipFill>
                    <a:blip r:embed="rId3"/>
                    <a:stretch>
                      <a:fillRect/>
                    </a:stretch>
                  </pic:blipFill>
                  <pic:spPr>
                    <a:xfrm rot="0">
                      <a:off x="0" y="0"/>
                      <a:ext cx="7569834" cy="10692131"/>
                    </a:xfrm>
                    <a:prstGeom prst="rect"/>
                    <a:noFill/>
                    <a:ln w="9525" cmpd="sng" cap="flat">
                      <a:noFill/>
                      <a:prstDash val="solid"/>
                      <a:miter/>
                    </a:ln>
                    <a:effectLst/>
                  </pic:spPr>
                </pic:pic>
              </a:graphicData>
            </a:graphic>
          </wp:anchor>
        </w:drawing>
      </w:r>
      <w:r>
        <mc:AlternateContent>
          <mc:Choice Requires="wps">
            <w:drawing>
              <wp:anchor distT="0" distB="0" distL="114300" distR="114300" simplePos="0" relativeHeight="28" behindDoc="0" locked="0" layoutInCell="1" hidden="0" allowOverlap="1">
                <wp:simplePos x="0" y="0"/>
                <wp:positionH relativeFrom="column">
                  <wp:posOffset>-472440</wp:posOffset>
                </wp:positionH>
                <wp:positionV relativeFrom="paragraph">
                  <wp:posOffset>-17145</wp:posOffset>
                </wp:positionV>
                <wp:extent cx="6431280" cy="2862579"/>
                <wp:wrapNone/>
                <wp:docPr id="1" name="文本框 1" descr="7b0a2020202022776f7264617274223a20227b5c2269645c223a32353030323136362c5c227469645c223a5c225c227d220a7d0a"/>
                <wp:cNvGraphicFramePr>
                  <a:graphicFrameLocks noChangeAspect="0"/>
                </wp:cNvGraphicFramePr>
                <a:graphic>
                  <a:graphicData uri="http://schemas.microsoft.com/office/word/2010/wordprocessingShape">
                    <wps:wsp>
                      <wps:cNvSpPr/>
                      <wps:spPr>
                        <a:xfrm rot="0">
                          <a:off x="0" y="0"/>
                          <a:ext cx="6431280" cy="2862579"/>
                        </a:xfrm>
                        <a:prstGeom prst="rect"/>
                        <a:noFill/>
                        <a:ln cmpd="sng" cap="flat">
                          <a:noFill/>
                          <a:prstDash val="solid"/>
                          <a:round/>
                        </a:ln>
                        <a:effectLst/>
                      </wps:spPr>
                      <wps:txbx id="3">
                        <w:txbxContent>
                          <w:p>
                            <w:pPr>
                              <w:pStyle w:val="19"/>
                              <w:spacing w:before="0" w:beforeAutospacing="0" w:after="0" w:afterAutospacing="0" w:line="1400" w:lineRule="exact"/>
                              <w:ind w:left="0" w:right="0"/>
                              <w:jc w:val="left"/>
                              <w:rPr>
                                <w:rFonts w:ascii="微软雅黑" w:eastAsia="微软雅黑" w:cs="微软雅黑" w:hAnsi="微软雅黑" w:hint="eastAsia"/>
                                <w:b/>
                                <w:color w:val="FFFFFF"/>
                                <w:kern w:val="2"/>
                                <w:sz w:val="96"/>
                                <w:szCs w:val="96"/>
                                <w14:textFill>
                                  <w14:solidFill>
                                    <w14:srgbClr w14:val="FFFFFF"/>
                                  </w14:solidFill>
                                </w14:textFill>
                                <w:lang w:bidi="ar-SA"/>
                              </w:rPr>
                            </w:pPr>
                            <w:r>
                              <w:rPr>
                                <w:rFonts w:ascii="微软雅黑" w:eastAsia="微软雅黑" w:cs="微软雅黑" w:hAnsi="微软雅黑" w:hint="eastAsia"/>
                                <w:b/>
                                <w:color w:val="FFFFFF"/>
                                <w:kern w:val="2"/>
                                <w:sz w:val="96"/>
                                <w:szCs w:val="96"/>
                                <w14:textFill>
                                  <w14:solidFill>
                                    <w14:srgbClr w14:val="FFFFFF"/>
                                  </w14:solidFill>
                                </w14:textFill>
                                <w:lang w:bidi="ar-SA"/>
                              </w:rPr>
                              <w:t>202</w:t>
                            </w:r>
                            <w:r>
                              <w:rPr>
                                <w:rFonts w:ascii="微软雅黑" w:eastAsia="微软雅黑" w:cs="微软雅黑" w:hAnsi="微软雅黑" w:hint="eastAsia"/>
                                <w:b/>
                                <w:color w:val="FFFFFF"/>
                                <w:kern w:val="2"/>
                                <w:sz w:val="96"/>
                                <w:szCs w:val="96"/>
                                <w14:textFill>
                                  <w14:solidFill>
                                    <w14:srgbClr w14:val="FFFFFF"/>
                                  </w14:solidFill>
                                </w14:textFill>
                                <w:lang w:val="en-US" w:eastAsia="zh-CN" w:bidi="ar-SA"/>
                              </w:rPr>
                              <w:t>5</w:t>
                            </w:r>
                            <w:r>
                              <w:rPr>
                                <w:rFonts w:ascii="微软雅黑" w:eastAsia="微软雅黑" w:cs="微软雅黑" w:hAnsi="微软雅黑" w:hint="eastAsia"/>
                                <w:b/>
                                <w:color w:val="FFFFFF"/>
                                <w:kern w:val="2"/>
                                <w:sz w:val="96"/>
                                <w:szCs w:val="96"/>
                                <w14:textFill>
                                  <w14:solidFill>
                                    <w14:srgbClr w14:val="FFFFFF"/>
                                  </w14:solidFill>
                                </w14:textFill>
                                <w:lang w:bidi="ar-SA"/>
                              </w:rPr>
                              <w:t>年度</w:t>
                            </w:r>
                          </w:p>
                          <w:p>
                            <w:pPr>
                              <w:pStyle w:val="19"/>
                              <w:spacing w:before="0" w:beforeAutospacing="0" w:after="0" w:afterAutospacing="0" w:line="1400" w:lineRule="exact"/>
                              <w:ind w:left="0" w:right="0"/>
                              <w:jc w:val="left"/>
                              <w:rPr>
                                <w:rFonts w:ascii="微软雅黑" w:eastAsia="微软雅黑" w:cs="微软雅黑" w:hAnsi="微软雅黑" w:hint="eastAsia"/>
                                <w:b/>
                                <w:color w:val="FFFFFF"/>
                                <w:kern w:val="2"/>
                                <w:sz w:val="96"/>
                                <w:szCs w:val="96"/>
                                <w14:textFill>
                                  <w14:solidFill>
                                    <w14:srgbClr w14:val="FFFFFF"/>
                                  </w14:solidFill>
                                </w14:textFill>
                                <w:lang w:bidi="ar-SA"/>
                              </w:rPr>
                            </w:pPr>
                            <w:r>
                              <w:rPr>
                                <w:rFonts w:ascii="微软雅黑" w:eastAsia="微软雅黑" w:cs="微软雅黑" w:hAnsi="微软雅黑" w:hint="eastAsia"/>
                                <w:b/>
                                <w:color w:val="FFFFFF"/>
                                <w:kern w:val="2"/>
                                <w:sz w:val="96"/>
                                <w:szCs w:val="96"/>
                                <w14:textFill>
                                  <w14:solidFill>
                                    <w14:srgbClr w14:val="FFFFFF"/>
                                  </w14:solidFill>
                                </w14:textFill>
                                <w:lang w:bidi="ar-SA"/>
                              </w:rPr>
                              <w:t>部门决算公开文本</w:t>
                            </w:r>
                          </w:p>
                        </w:txbxContent>
                      </wps:txbx>
                      <wps:bodyPr vert="horz" wrap="square" lIns="91440" tIns="45720" rIns="91440" bIns="45720" anchor="t" anchorCtr="0" upright="1">
                        <a:noAutofit/>
                      </wps:bodyPr>
                    </wps:wsp>
                  </a:graphicData>
                </a:graphic>
              </wp:anchor>
            </w:drawing>
          </mc:Choice>
          <mc:Fallback>
            <w:pict>
              <v:rect type="#_x0000_t1" id="文本框 1" o:spid="_x0000_s4" filled="f" stroked="f" strokeweight="-1.0pt" alt="7b0a2020202022776f7264617274223a20227b5c2269645c223a32353030323136362c5c227469645c223a5c225c227d220a7d0a" style="position:absolute;margin-left:-37.2pt;margin-top:-1.35pt;width:506.4pt;height:225.4pt;z-index:28;mso-position-horizontal:absolute;mso-position-vertical:absolute;mso-wrap-style:square;">
                <v:stroke/>
                <v:textbox id="849" inset="2.54mm,1.27mm,2.54mm,1.27mm" o:insetmode="custom" style="layout-flow:horizontal;v-text-anchor:top;">
                  <w:txbxContent>
                    <w:p>
                      <w:pPr>
                        <w:pStyle w:val="19"/>
                        <w:spacing w:before="0" w:beforeAutospacing="0" w:after="0" w:afterAutospacing="0" w:line="1400" w:lineRule="exact"/>
                        <w:ind w:left="0" w:right="0"/>
                        <w:jc w:val="left"/>
                        <w:rPr>
                          <w:rFonts w:ascii="微软雅黑" w:eastAsia="微软雅黑" w:cs="微软雅黑" w:hAnsi="微软雅黑" w:hint="eastAsia"/>
                          <w:b/>
                          <w:color w:val="FFFFFF"/>
                          <w:kern w:val="2"/>
                          <w:sz w:val="96"/>
                          <w:szCs w:val="96"/>
                          <w14:textFill>
                            <w14:solidFill>
                              <w14:srgbClr w14:val="FFFFFF"/>
                            </w14:solidFill>
                          </w14:textFill>
                          <w:lang w:bidi="ar-SA"/>
                        </w:rPr>
                      </w:pPr>
                      <w:r>
                        <w:rPr>
                          <w:rFonts w:ascii="微软雅黑" w:eastAsia="微软雅黑" w:cs="微软雅黑" w:hAnsi="微软雅黑" w:hint="eastAsia"/>
                          <w:b/>
                          <w:color w:val="FFFFFF"/>
                          <w:kern w:val="2"/>
                          <w:sz w:val="96"/>
                          <w:szCs w:val="96"/>
                          <w14:textFill>
                            <w14:solidFill>
                              <w14:srgbClr w14:val="FFFFFF"/>
                            </w14:solidFill>
                          </w14:textFill>
                          <w:lang w:bidi="ar-SA"/>
                        </w:rPr>
                        <w:t>202</w:t>
                      </w:r>
                      <w:r>
                        <w:rPr>
                          <w:rFonts w:ascii="微软雅黑" w:eastAsia="微软雅黑" w:cs="微软雅黑" w:hAnsi="微软雅黑" w:hint="eastAsia"/>
                          <w:b/>
                          <w:color w:val="FFFFFF"/>
                          <w:kern w:val="2"/>
                          <w:sz w:val="96"/>
                          <w:szCs w:val="96"/>
                          <w14:textFill>
                            <w14:solidFill>
                              <w14:srgbClr w14:val="FFFFFF"/>
                            </w14:solidFill>
                          </w14:textFill>
                          <w:lang w:val="en-US" w:eastAsia="zh-CN" w:bidi="ar-SA"/>
                        </w:rPr>
                        <w:t>5</w:t>
                      </w:r>
                      <w:r>
                        <w:rPr>
                          <w:rFonts w:ascii="微软雅黑" w:eastAsia="微软雅黑" w:cs="微软雅黑" w:hAnsi="微软雅黑" w:hint="eastAsia"/>
                          <w:b/>
                          <w:color w:val="FFFFFF"/>
                          <w:kern w:val="2"/>
                          <w:sz w:val="96"/>
                          <w:szCs w:val="96"/>
                          <w14:textFill>
                            <w14:solidFill>
                              <w14:srgbClr w14:val="FFFFFF"/>
                            </w14:solidFill>
                          </w14:textFill>
                          <w:lang w:bidi="ar-SA"/>
                        </w:rPr>
                        <w:t>年度</w:t>
                      </w:r>
                    </w:p>
                    <w:p>
                      <w:pPr>
                        <w:pStyle w:val="19"/>
                        <w:spacing w:before="0" w:beforeAutospacing="0" w:after="0" w:afterAutospacing="0" w:line="1400" w:lineRule="exact"/>
                        <w:ind w:left="0" w:right="0"/>
                        <w:jc w:val="left"/>
                        <w:rPr>
                          <w:rFonts w:ascii="微软雅黑" w:eastAsia="微软雅黑" w:cs="微软雅黑" w:hAnsi="微软雅黑" w:hint="eastAsia"/>
                          <w:b/>
                          <w:color w:val="FFFFFF"/>
                          <w:kern w:val="2"/>
                          <w:sz w:val="96"/>
                          <w:szCs w:val="96"/>
                          <w14:textFill>
                            <w14:solidFill>
                              <w14:srgbClr w14:val="FFFFFF"/>
                            </w14:solidFill>
                          </w14:textFill>
                          <w:lang w:bidi="ar-SA"/>
                        </w:rPr>
                      </w:pPr>
                      <w:r>
                        <w:rPr>
                          <w:rFonts w:ascii="微软雅黑" w:eastAsia="微软雅黑" w:cs="微软雅黑" w:hAnsi="微软雅黑" w:hint="eastAsia"/>
                          <w:b/>
                          <w:color w:val="FFFFFF"/>
                          <w:kern w:val="2"/>
                          <w:sz w:val="96"/>
                          <w:szCs w:val="96"/>
                          <w14:textFill>
                            <w14:solidFill>
                              <w14:srgbClr w14:val="FFFFFF"/>
                            </w14:solidFill>
                          </w14:textFill>
                          <w:lang w:bidi="ar-SA"/>
                        </w:rPr>
                        <w:t>部门决算公开文本</w:t>
                      </w:r>
                    </w:p>
                  </w:txbxContent>
                </v:textbox>
              </v:rect>
            </w:pict>
          </mc:Fallback>
        </mc:AlternateContent>
      </w:r>
    </w:p>
    <w:p>
      <w:pPr>
        <w:spacing w:line="600" w:lineRule="auto"/>
        <w:jc w:val="both"/>
        <w:rPr>
          <w:rFonts w:ascii="楷体_GB2312" w:eastAsia="楷体_GB2312" w:cs="楷体_GB2312" w:hAnsi="楷体_GB2312" w:hint="eastAsia"/>
          <w:color w:val="000000"/>
          <w:sz w:val="40"/>
          <w:szCs w:val="40"/>
        </w:rPr>
      </w:pPr>
    </w:p>
    <w:p>
      <w:pPr>
        <w:spacing w:line="600" w:lineRule="auto"/>
        <w:jc w:val="both"/>
        <w:rPr>
          <w:rFonts w:ascii="楷体_GB2312" w:eastAsia="楷体_GB2312" w:cs="楷体_GB2312" w:hAnsi="楷体_GB2312" w:hint="eastAsia"/>
          <w:color w:val="000000"/>
          <w:sz w:val="40"/>
          <w:szCs w:val="40"/>
        </w:rPr>
      </w:pPr>
    </w:p>
    <w:p>
      <w:pPr>
        <w:spacing w:line="600" w:lineRule="auto"/>
        <w:jc w:val="both"/>
        <w:rPr>
          <w:rFonts w:ascii="楷体_GB2312" w:eastAsia="楷体_GB2312" w:cs="楷体_GB2312" w:hAnsi="楷体_GB2312" w:hint="eastAsia"/>
          <w:color w:val="000000"/>
          <w:sz w:val="40"/>
          <w:szCs w:val="40"/>
        </w:rPr>
      </w:pPr>
    </w:p>
    <w:p>
      <w:pPr>
        <w:spacing w:line="600" w:lineRule="auto"/>
        <w:jc w:val="both"/>
        <w:rPr>
          <w:rFonts w:ascii="楷体_GB2312" w:eastAsia="楷体_GB2312" w:cs="楷体_GB2312" w:hAnsi="楷体_GB2312" w:hint="eastAsia"/>
          <w:color w:val="000000"/>
          <w:sz w:val="40"/>
          <w:szCs w:val="40"/>
        </w:rPr>
      </w:pPr>
    </w:p>
    <w:p>
      <w:pPr>
        <w:spacing w:line="600" w:lineRule="auto"/>
        <w:jc w:val="both"/>
        <w:rPr>
          <w:rFonts w:ascii="楷体_GB2312" w:eastAsia="楷体_GB2312" w:cs="楷体_GB2312" w:hAnsi="楷体_GB2312" w:hint="eastAsia"/>
          <w:color w:val="000000"/>
          <w:sz w:val="40"/>
          <w:szCs w:val="40"/>
        </w:rPr>
      </w:pPr>
    </w:p>
    <w:p>
      <w:pPr>
        <w:spacing w:line="600" w:lineRule="auto"/>
        <w:jc w:val="both"/>
        <w:rPr>
          <w:rFonts w:ascii="楷体_GB2312" w:eastAsia="楷体_GB2312" w:cs="楷体_GB2312" w:hAnsi="楷体_GB2312" w:hint="eastAsia"/>
          <w:color w:val="000000"/>
          <w:sz w:val="40"/>
          <w:szCs w:val="40"/>
        </w:rPr>
      </w:pPr>
    </w:p>
    <w:p>
      <w:pPr>
        <w:spacing w:line="600" w:lineRule="auto"/>
        <w:jc w:val="both"/>
        <w:rPr>
          <w:rFonts w:ascii="楷体_GB2312" w:eastAsia="楷体_GB2312" w:cs="楷体_GB2312" w:hAnsi="楷体_GB2312" w:hint="eastAsia"/>
          <w:color w:val="000000"/>
          <w:sz w:val="40"/>
          <w:szCs w:val="40"/>
        </w:rPr>
      </w:pPr>
    </w:p>
    <w:p>
      <w:pPr>
        <w:jc w:val="center"/>
        <w:rPr>
          <w:rFonts w:ascii="楷体_GB2312" w:eastAsia="楷体_GB2312" w:cs="楷体_GB2312" w:hAnsi="楷体_GB2312" w:hint="eastAsia"/>
          <w:b/>
          <w:bCs/>
          <w:color w:val="0D0D0D"/>
          <w:kern w:val="2"/>
          <w:sz w:val="48"/>
          <w:szCs w:val="56"/>
          <w14:textFill>
            <w14:solidFill>
              <w14:srgbClr w14:val="0D0D0D"/>
            </w14:solidFill>
          </w14:textFill>
        </w:rPr>
      </w:pPr>
    </w:p>
    <w:p>
      <w:pPr>
        <w:jc w:val="center"/>
        <w:rPr>
          <w:rFonts w:ascii="楷体_GB2312" w:eastAsia="楷体_GB2312" w:cs="楷体_GB2312" w:hAnsi="楷体_GB2312" w:hint="eastAsia"/>
          <w:b/>
          <w:bCs/>
          <w:color w:val="0D0D0D"/>
          <w:kern w:val="2"/>
          <w:sz w:val="48"/>
          <w:szCs w:val="56"/>
          <w14:textFill>
            <w14:solidFill>
              <w14:srgbClr w14:val="0D0D0D"/>
            </w14:solidFill>
          </w14:textFill>
        </w:rPr>
      </w:pPr>
    </w:p>
    <w:p>
      <w:pPr>
        <w:jc w:val="center"/>
        <w:rPr>
          <w:rFonts w:ascii="楷体_GB2312" w:eastAsia="楷体_GB2312" w:cs="楷体_GB2312" w:hAnsi="楷体_GB2312" w:hint="eastAsia"/>
          <w:b/>
          <w:bCs/>
          <w:color w:val="0D0D0D"/>
          <w:kern w:val="2"/>
          <w:sz w:val="48"/>
          <w:szCs w:val="56"/>
          <w14:textFill>
            <w14:solidFill>
              <w14:srgbClr w14:val="0D0D0D"/>
            </w14:solidFill>
          </w14:textFill>
        </w:rPr>
      </w:pPr>
    </w:p>
    <w:p>
      <w:pPr>
        <w:jc w:val="center"/>
        <w:rPr>
          <w:rFonts w:ascii="楷体_GB2312" w:eastAsia="楷体_GB2312" w:cs="楷体_GB2312" w:hAnsi="楷体_GB2312" w:hint="eastAsia"/>
          <w:b/>
          <w:bCs/>
          <w:color w:val="0D0D0D"/>
          <w:kern w:val="2"/>
          <w:sz w:val="48"/>
          <w:szCs w:val="56"/>
          <w14:textFill>
            <w14:solidFill>
              <w14:srgbClr w14:val="0D0D0D"/>
            </w14:solidFill>
          </w14:textFill>
        </w:rPr>
      </w:pPr>
    </w:p>
    <w:p>
      <w:pPr>
        <w:jc w:val="both"/>
        <w:rPr>
          <w:rFonts w:ascii="楷体_GB2312" w:eastAsia="楷体_GB2312" w:cs="楷体_GB2312" w:hAnsi="楷体_GB2312" w:hint="eastAsia"/>
          <w:b/>
          <w:bCs/>
          <w:color w:val="0D0D0D"/>
          <w:kern w:val="2"/>
          <w:sz w:val="48"/>
          <w:szCs w:val="56"/>
          <w14:textFill>
            <w14:solidFill>
              <w14:srgbClr w14:val="0D0D0D"/>
            </w14:solidFill>
          </w14:textFill>
        </w:rPr>
      </w:pPr>
    </w:p>
    <w:p>
      <w:pPr>
        <w:jc w:val="center"/>
        <w:rPr>
          <w:rFonts w:ascii="楷体_GB2312" w:eastAsia="楷体_GB2312" w:cs="楷体_GB2312" w:hAnsi="楷体_GB2312" w:hint="eastAsia"/>
          <w:b/>
          <w:bCs/>
          <w:color w:val="0D0D0D"/>
          <w:kern w:val="2"/>
          <w:sz w:val="48"/>
          <w:szCs w:val="56"/>
          <w14:textFill>
            <w14:solidFill>
              <w14:srgbClr w14:val="0D0D0D"/>
            </w14:solidFill>
          </w14:textFill>
        </w:rPr>
      </w:pPr>
      <w:r>
        <w:rPr>
          <w:rFonts w:ascii="楷体_GB2312" w:eastAsia="楷体_GB2312" w:cs="楷体_GB2312" w:hAnsi="楷体_GB2312" w:hint="eastAsia"/>
          <w:b/>
          <w:bCs/>
          <w:color w:val="0D0D0D"/>
          <w:kern w:val="2"/>
          <w:sz w:val="48"/>
          <w:szCs w:val="56"/>
          <w14:textFill>
            <w14:solidFill>
              <w14:srgbClr w14:val="0D0D0D"/>
            </w14:solidFill>
          </w14:textFill>
        </w:rPr>
        <w:t>行唐县房地产管理所</w:t>
      </w:r>
    </w:p>
    <w:p>
      <w:pPr>
        <w:jc w:val="center"/>
        <w:rPr>
          <w:rFonts w:ascii="楷体_GB2312" w:eastAsia="楷体_GB2312" w:cs="楷体_GB2312" w:hAnsi="楷体_GB2312" w:hint="eastAsia"/>
          <w:b/>
          <w:bCs/>
          <w:color w:val="0D0D0D"/>
          <w:kern w:val="2"/>
          <w:sz w:val="48"/>
          <w:szCs w:val="56"/>
          <w14:textFill>
            <w14:solidFill>
              <w14:srgbClr w14:val="0D0D0D"/>
            </w14:solidFill>
          </w14:textFill>
        </w:rPr>
      </w:pPr>
      <w:r>
        <w:rPr>
          <w:rFonts w:ascii="楷体_GB2312" w:eastAsia="楷体_GB2312" w:cs="楷体_GB2312" w:hAnsi="楷体_GB2312" w:hint="eastAsia"/>
          <w:b/>
          <w:bCs/>
          <w:color w:val="0D0D0D"/>
          <w:kern w:val="2"/>
          <w:sz w:val="48"/>
          <w:szCs w:val="56"/>
          <w14:textFill>
            <w14:solidFill>
              <w14:srgbClr w14:val="0D0D0D"/>
            </w14:solidFill>
          </w14:textFill>
        </w:rPr>
        <w:t>预算代码：</w:t>
      </w:r>
      <w:r>
        <w:rPr>
          <w:rFonts w:ascii="楷体_GB2312" w:eastAsia="楷体_GB2312" w:cs="楷体_GB2312" w:hAnsi="楷体_GB2312" w:hint="eastAsia"/>
          <w:b/>
          <w:bCs/>
          <w:color w:val="0D0D0D"/>
          <w:kern w:val="2"/>
          <w:sz w:val="48"/>
          <w:szCs w:val="56"/>
          <w14:textFill>
            <w14:solidFill>
              <w14:srgbClr w14:val="0D0D0D"/>
            </w14:solidFill>
          </w14:textFill>
          <w:lang w:val="en-US" w:eastAsia="zh-CN"/>
        </w:rPr>
        <w:t>333002</w:t>
      </w:r>
    </w:p>
    <w:p>
      <w:pPr>
        <w:jc w:val="center"/>
        <w:rPr>
          <w:rFonts w:ascii="楷体_GB2312" w:eastAsia="楷体_GB2312" w:cs="楷体_GB2312" w:hAnsi="楷体_GB2312"/>
          <w:b/>
          <w:bCs/>
          <w:color w:val="0D0D0D"/>
          <w:sz w:val="48"/>
          <w:szCs w:val="56"/>
          <w14:textFill>
            <w14:solidFill>
              <w14:srgbClr w14:val="0D0D0D"/>
            </w14:solidFill>
          </w14:textFill>
        </w:rPr>
      </w:pPr>
    </w:p>
    <w:p>
      <w:pPr>
        <w:jc w:val="center"/>
        <w:rPr>
          <w:rFonts w:ascii="楷体_GB2312" w:eastAsia="楷体_GB2312" w:cs="楷体_GB2312" w:hAnsi="楷体_GB2312"/>
          <w:b/>
          <w:bCs/>
          <w:color w:val="0D0D0D"/>
          <w:sz w:val="48"/>
          <w:szCs w:val="56"/>
          <w14:textFill>
            <w14:solidFill>
              <w14:srgbClr w14:val="0D0D0D"/>
            </w14:solidFill>
          </w14:textFill>
        </w:rPr>
      </w:pPr>
      <w:r>
        <w:rPr>
          <w:rFonts w:ascii="楷体_GB2312" w:eastAsia="楷体_GB2312" w:cs="楷体_GB2312" w:hAnsi="楷体_GB2312" w:hint="eastAsia"/>
          <w:b/>
          <w:bCs/>
          <w:color w:val="0D0D0D"/>
          <w:sz w:val="48"/>
          <w:szCs w:val="56"/>
          <w14:textFill>
            <w14:solidFill>
              <w14:srgbClr w14:val="0D0D0D"/>
            </w14:solidFill>
          </w14:textFill>
        </w:rPr>
        <w:t>二〇二六年八月</w:t>
      </w:r>
    </w:p>
    <w:p>
      <w:pPr>
        <w:spacing w:line="600" w:lineRule="auto"/>
        <w:jc w:val="both"/>
        <w:rPr>
          <w:rFonts w:ascii="楷体_GB2312" w:eastAsia="楷体_GB2312" w:cs="楷体_GB2312" w:hAnsi="楷体_GB2312" w:hint="eastAsia"/>
          <w:color w:val="000000"/>
          <w:sz w:val="40"/>
          <w:szCs w:val="40"/>
        </w:rPr>
        <w:sectPr>
          <w:footerReference w:type="default" r:id="rId2"/>
          <w:pgSz w:w="11906" w:h="16838"/>
          <w:pgMar w:top="2098" w:right="1417" w:bottom="1871" w:left="1417" w:header="851" w:footer="992" w:gutter="0"/>
          <w:pgBorders>
            <w:top w:val="none" w:sz="0" w:space="0" w:color="auto"/>
            <w:left w:val="none" w:sz="0" w:space="0" w:color="auto"/>
            <w:bottom w:val="none" w:sz="0" w:space="0" w:color="auto"/>
            <w:right w:val="none" w:sz="0" w:space="0" w:color="auto"/>
          </w:pgBorders>
          <w:cols w:num="1" w:space="720"/>
          <w:docGrid w:type="lines" w:linePitch="312" w:charSpace="0"/>
        </w:sectPr>
      </w:pPr>
    </w:p>
    <w:p>
      <w:pPr>
        <w:spacing w:line="600" w:lineRule="auto"/>
        <w:jc w:val="center"/>
        <w:rPr>
          <w:rFonts w:ascii="楷体_GB2312" w:eastAsia="楷体_GB2312" w:cs="楷体_GB2312" w:hAnsi="楷体_GB2312" w:hint="eastAsia"/>
          <w:color w:val="000000"/>
          <w:sz w:val="40"/>
          <w:szCs w:val="40"/>
        </w:rPr>
      </w:pPr>
    </w:p>
    <w:p>
      <w:pPr>
        <w:rPr>
          <w:rFonts w:ascii="黑体" w:eastAsia="黑体" w:cs="黑体" w:hAnsi="黑体" w:hint="eastAsia"/>
          <w:b/>
          <w:bCs/>
          <w:sz w:val="32"/>
          <w:szCs w:val="36"/>
          <w:highlight w:val="yellow"/>
        </w:rPr>
      </w:pPr>
    </w:p>
    <w:p>
      <w:pPr>
        <w:widowControl/>
        <w:spacing w:before="0" w:beforeAutospacing="0" w:after="0" w:afterAutospacing="0" w:line="360" w:lineRule="auto"/>
        <w:jc w:val="center"/>
        <w:rPr>
          <w:rFonts w:ascii="Times New Roman" w:eastAsia="方正小标宋_GBK" w:hAnsi="Times New Roman"/>
          <w:sz w:val="72"/>
          <w:szCs w:val="72"/>
        </w:rPr>
      </w:pPr>
      <w:r>
        <w:rPr>
          <w:rFonts w:ascii="Times New Roman" w:eastAsia="方正小标宋_GBK" w:hAnsi="Times New Roman"/>
          <w:b w:val="0"/>
          <w:sz w:val="72"/>
          <w:szCs w:val="72"/>
        </w:rPr>
        <w:t>行唐县房地产管理所</w:t>
      </w:r>
    </w:p>
    <w:p>
      <w:pPr>
        <w:widowControl/>
        <w:spacing w:before="0" w:beforeAutospacing="0" w:after="0" w:afterAutospacing="0" w:line="360" w:lineRule="auto"/>
        <w:jc w:val="center"/>
        <w:rPr>
          <w:rFonts w:ascii="Times New Roman" w:eastAsia="方正小标宋_GBK" w:hAnsi="Times New Roman"/>
          <w:sz w:val="72"/>
          <w:szCs w:val="72"/>
        </w:rPr>
      </w:pPr>
      <w:r>
        <w:rPr>
          <w:rFonts w:ascii="Times New Roman" w:eastAsia="仿宋_GB2312" w:hAnsi="Times New Roman"/>
          <w:b w:val="0"/>
          <w:sz w:val="72"/>
          <w:szCs w:val="72"/>
        </w:rPr>
        <w:t>2025</w:t>
      </w:r>
      <w:r>
        <w:rPr>
          <w:rFonts w:ascii="Times New Roman" w:eastAsia="方正小标宋_GBK" w:hAnsi="Times New Roman"/>
          <w:b w:val="0"/>
          <w:sz w:val="72"/>
          <w:szCs w:val="72"/>
        </w:rPr>
        <w:t>年度部门决算公开文本</w:t>
      </w:r>
    </w:p>
    <w:p>
      <w:pPr>
        <w:spacing w:line="360" w:lineRule="auto"/>
        <w:jc w:val="center"/>
        <w:rPr>
          <w:rFonts w:ascii="黑体" w:eastAsia="黑体" w:cs="黑体" w:hAnsi="黑体"/>
          <w:sz w:val="56"/>
          <w:szCs w:val="72"/>
        </w:rPr>
      </w:pPr>
    </w:p>
    <w:p>
      <w:pPr>
        <w:spacing w:line="360" w:lineRule="auto"/>
        <w:jc w:val="center"/>
        <w:rPr>
          <w:rFonts w:ascii="黑体" w:eastAsia="黑体" w:cs="黑体" w:hAnsi="黑体"/>
          <w:sz w:val="56"/>
          <w:szCs w:val="72"/>
        </w:rPr>
      </w:pPr>
    </w:p>
    <w:p>
      <w:pPr>
        <w:spacing w:line="360" w:lineRule="auto"/>
        <w:jc w:val="center"/>
        <w:rPr>
          <w:rFonts w:ascii="黑体" w:eastAsia="黑体" w:cs="黑体" w:hAnsi="黑体"/>
          <w:sz w:val="56"/>
          <w:szCs w:val="72"/>
        </w:rPr>
      </w:pPr>
    </w:p>
    <w:p>
      <w:pPr>
        <w:spacing w:line="360" w:lineRule="auto"/>
        <w:jc w:val="center"/>
        <w:rPr>
          <w:rFonts w:ascii="黑体" w:eastAsia="黑体" w:cs="黑体" w:hAnsi="黑体"/>
          <w:sz w:val="56"/>
          <w:szCs w:val="72"/>
        </w:rPr>
      </w:pPr>
    </w:p>
    <w:p>
      <w:pPr>
        <w:spacing w:line="360" w:lineRule="auto"/>
        <w:jc w:val="center"/>
        <w:rPr>
          <w:rFonts w:ascii="黑体" w:eastAsia="黑体" w:cs="黑体" w:hAnsi="黑体"/>
          <w:sz w:val="56"/>
          <w:szCs w:val="72"/>
        </w:rPr>
      </w:pPr>
    </w:p>
    <w:p>
      <w:pPr>
        <w:spacing w:line="360" w:lineRule="auto"/>
        <w:jc w:val="center"/>
        <w:rPr>
          <w:rFonts w:ascii="黑体" w:eastAsia="黑体" w:cs="黑体" w:hAnsi="黑体"/>
          <w:sz w:val="56"/>
          <w:szCs w:val="72"/>
        </w:rPr>
      </w:pPr>
    </w:p>
    <w:p>
      <w:pPr>
        <w:spacing w:line="480" w:lineRule="auto"/>
        <w:jc w:val="both"/>
        <w:rPr>
          <w:rFonts w:ascii="黑体" w:eastAsia="黑体" w:cs="黑体" w:hAnsi="黑体"/>
          <w:sz w:val="56"/>
          <w:szCs w:val="72"/>
        </w:rPr>
      </w:pPr>
    </w:p>
    <w:p>
      <w:pPr>
        <w:widowControl/>
        <w:spacing w:before="0" w:beforeAutospacing="0" w:after="0" w:afterAutospacing="0" w:line="360" w:lineRule="auto"/>
        <w:jc w:val="center"/>
        <w:rPr>
          <w:rFonts w:ascii="Times New Roman" w:eastAsia="楷体_GB2312" w:hAnsi="Times New Roman"/>
          <w:sz w:val="44"/>
          <w:szCs w:val="44"/>
        </w:rPr>
      </w:pPr>
      <w:r>
        <w:rPr>
          <w:rFonts w:ascii="Times New Roman" w:eastAsia="楷体_GB2312" w:hAnsi="Times New Roman"/>
          <w:b w:val="0"/>
          <w:sz w:val="44"/>
          <w:szCs w:val="44"/>
        </w:rPr>
        <w:t>行唐县房地产管理所</w:t>
      </w:r>
    </w:p>
    <w:p>
      <w:pPr>
        <w:widowControl/>
        <w:spacing w:before="0" w:beforeAutospacing="0" w:after="0" w:afterAutospacing="0" w:line="240" w:lineRule="auto"/>
        <w:jc w:val="center"/>
        <w:rPr>
          <w:rFonts w:ascii="Times New Roman" w:eastAsia="楷体_GB2312" w:hAnsi="Times New Roman"/>
          <w:sz w:val="44"/>
          <w:szCs w:val="44"/>
        </w:rPr>
      </w:pPr>
      <w:r>
        <w:rPr>
          <w:rFonts w:ascii="Times New Roman" w:eastAsia="楷体_GB2312" w:hAnsi="Times New Roman"/>
          <w:b w:val="0"/>
          <w:sz w:val="44"/>
          <w:szCs w:val="44"/>
        </w:rPr>
        <w:t>(加盖公章）</w:t>
      </w:r>
    </w:p>
    <w:p>
      <w:pPr>
        <w:widowControl/>
        <w:spacing w:before="0" w:beforeAutospacing="0" w:after="0" w:afterAutospacing="0" w:line="360" w:lineRule="auto"/>
        <w:jc w:val="center"/>
        <w:rPr>
          <w:rFonts w:ascii="Times New Roman" w:eastAsia="楷体_GB2312" w:hAnsi="Times New Roman"/>
          <w:sz w:val="44"/>
          <w:szCs w:val="44"/>
        </w:rPr>
      </w:pPr>
      <w:r>
        <w:rPr>
          <w:rFonts w:ascii="Times New Roman" w:eastAsia="楷体_GB2312" w:hAnsi="Times New Roman"/>
          <w:b w:val="0"/>
          <w:sz w:val="44"/>
          <w:szCs w:val="44"/>
        </w:rPr>
        <w:t>二〇二六年八月</w:t>
      </w:r>
    </w:p>
    <w:p>
      <w:pPr>
        <w:rPr>
          <w:lang w:val="en-US" w:eastAsia="zh-CN"/>
        </w:rPr>
        <w:sectPr>
          <w:footerReference w:type="default" r:id="rId4"/>
          <w:pgSz w:w="11906" w:h="16838"/>
          <w:pgMar w:top="1531" w:right="1984" w:bottom="1531" w:left="2098" w:header="851" w:footer="992" w:gutter="0"/>
          <w:pgBorders>
            <w:top w:val="none" w:sz="0" w:space="0" w:color="auto"/>
            <w:left w:val="none" w:sz="0" w:space="0" w:color="auto"/>
            <w:bottom w:val="none" w:sz="0" w:space="0" w:color="auto"/>
            <w:right w:val="none" w:sz="0" w:space="0" w:color="auto"/>
          </w:pgBorders>
          <w:pgNumType w:start="1"/>
          <w:cols w:num="1" w:space="720"/>
          <w:docGrid w:type="lines" w:linePitch="312" w:charSpace="0"/>
        </w:sectPr>
      </w:pPr>
      <w:r>
        <w:rPr>
          <w:rFonts w:ascii="楷体_GB2312" w:eastAsia="楷体_GB2312" w:cs="楷体_GB2312" w:hAnsi="楷体_GB2312"/>
          <w:color w:val="000000"/>
          <w:kern w:val="0"/>
          <w:sz w:val="44"/>
          <w:szCs w:val="44"/>
          <w14:shadow w14:sx="100000" w14:sy="100000" w14:blurRad="38100" w14:dir="2700000" w14:dist="19050" w14:algn="tl">
            <w14:srgbClr w14:val="000000">
              <w14:alpha w14:val="60000"/>
            </w14:srgbClr>
          </w14:shadow>
          <w14:textFill>
            <w14:solidFill>
              <w14:srgbClr w14:val="000000"/>
            </w14:solidFill>
          </w14:textFill>
          <w:lang w:val="en-US" w:eastAsia="zh-CN"/>
        </w:rPr>
        <w:br w:type="page"/>
      </w:r>
    </w:p>
    <w:p>
      <w:pPr>
        <w:widowControl/>
        <w:spacing w:before="0" w:beforeAutospacing="0" w:after="0" w:afterAutospacing="0" w:line="360" w:lineRule="auto"/>
        <w:jc w:val="center"/>
        <w:outlineLvl w:val="0"/>
        <w:rPr>
          <w:rFonts w:ascii="Times New Roman" w:eastAsia="黑体" w:hAnsi="Times New Roman"/>
          <w:sz w:val="44"/>
          <w:szCs w:val="44"/>
        </w:rPr>
      </w:pPr>
      <w:r>
        <w:rPr>
          <w:rFonts w:ascii="Times New Roman" w:eastAsia="黑体" w:hAnsi="Times New Roman"/>
          <w:b w:val="0"/>
          <w:sz w:val="44"/>
          <w:szCs w:val="44"/>
        </w:rPr>
        <w:t>目  录</w:t>
      </w:r>
    </w:p>
    <w:p>
      <w:pPr>
        <w:widowControl/>
        <w:spacing w:after="160" w:line="580" w:lineRule="exact"/>
        <w:ind w:firstLineChars="200" w:firstLine="640"/>
        <w:rPr>
          <w:rFonts w:ascii="Times New Roman" w:eastAsia="黑体" w:cs="Times New Roman" w:hAnsi="Times New Roman"/>
          <w:sz w:val="32"/>
          <w:szCs w:val="32"/>
        </w:rPr>
      </w:pPr>
    </w:p>
    <w:p>
      <w:pPr>
        <w:widowControl/>
        <w:spacing w:before="0" w:beforeAutospacing="0" w:after="0" w:afterAutospacing="0" w:line="360" w:lineRule="auto"/>
        <w:jc w:val="left"/>
        <w:rPr>
          <w:rFonts w:ascii="Times New Roman" w:eastAsia="黑体" w:hAnsi="Times New Roman"/>
          <w:sz w:val="32"/>
          <w:szCs w:val="32"/>
        </w:rPr>
      </w:pPr>
      <w:r>
        <w:rPr>
          <w:rFonts w:ascii="Times New Roman" w:eastAsia="黑体" w:hAnsi="Times New Roman"/>
          <w:b w:val="0"/>
          <w:sz w:val="32"/>
          <w:szCs w:val="32"/>
        </w:rPr>
        <w:t>第一部分单位概况</w:t>
      </w:r>
    </w:p>
    <w:p>
      <w:pPr>
        <w:widowControl/>
        <w:numPr>
          <w:ilvl w:val="0"/>
          <w:numId w:val="1"/>
        </w:numPr>
        <w:spacing w:before="0" w:beforeAutospacing="0" w:after="0" w:afterAutospacing="0" w:line="360" w:lineRule="auto"/>
        <w:ind w:left="0" w:firstLineChars="200" w:firstLine="640"/>
        <w:jc w:val="left"/>
        <w:rPr>
          <w:rFonts w:ascii="Times New Roman" w:eastAsia="仿宋_GB2312" w:hAnsi="Times New Roman"/>
          <w:b w:val="0"/>
          <w:sz w:val="32"/>
          <w:szCs w:val="32"/>
        </w:rPr>
      </w:pPr>
      <w:r>
        <w:rPr>
          <w:rFonts w:ascii="Times New Roman" w:eastAsia="仿宋_GB2312" w:hAnsi="Times New Roman"/>
          <w:b w:val="0"/>
          <w:sz w:val="32"/>
          <w:szCs w:val="32"/>
        </w:rPr>
        <w:t>单位职责</w:t>
      </w:r>
    </w:p>
    <w:p>
      <w:pPr>
        <w:widowControl/>
        <w:numPr>
          <w:ilvl w:val="0"/>
          <w:numId w:val="1"/>
        </w:numPr>
        <w:spacing w:before="0" w:beforeAutospacing="0" w:after="0" w:afterAutospacing="0" w:line="360" w:lineRule="auto"/>
        <w:ind w:left="0" w:firstLineChars="200" w:firstLine="640"/>
        <w:jc w:val="left"/>
        <w:rPr>
          <w:rFonts w:ascii="Times New Roman" w:eastAsia="仿宋_GB2312" w:hAnsi="Times New Roman" w:hint="eastAsia"/>
          <w:b w:val="0"/>
          <w:sz w:val="32"/>
          <w:szCs w:val="32"/>
          <w:lang w:eastAsia="zh-CN"/>
        </w:rPr>
      </w:pPr>
      <w:r>
        <w:rPr>
          <w:rFonts w:ascii="Times New Roman" w:eastAsia="仿宋_GB2312" w:hAnsi="Times New Roman"/>
          <w:b w:val="0"/>
          <w:sz w:val="32"/>
          <w:szCs w:val="32"/>
        </w:rPr>
        <w:t>机构设置</w:t>
      </w:r>
    </w:p>
    <w:p>
      <w:pPr>
        <w:widowControl/>
        <w:spacing w:before="0" w:beforeAutospacing="0" w:after="0" w:afterAutospacing="0" w:line="360" w:lineRule="auto"/>
        <w:jc w:val="left"/>
        <w:outlineLvl w:val="0"/>
        <w:rPr>
          <w:rFonts w:ascii="Times New Roman" w:eastAsia="黑体" w:hAnsi="Times New Roman"/>
          <w:sz w:val="32"/>
          <w:szCs w:val="32"/>
        </w:rPr>
      </w:pPr>
      <w:r>
        <w:rPr>
          <w:rFonts w:ascii="Times New Roman" w:eastAsia="黑体" w:hAnsi="Times New Roman"/>
          <w:b w:val="0"/>
          <w:sz w:val="32"/>
          <w:szCs w:val="32"/>
        </w:rPr>
        <w:t>第二部分 2025年度部门决算报表</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一、收入支出决算总表</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二、收入决算表</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三、支出决算表</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四、财政拨款收入支出决算总表</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五、一般公共预算财政拨款支出决算表</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六、一般公共预算财政拨款基本支出决算明细表</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七、政府性基金预算财政拨款收入支出决算表</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八、国有资本经营预算财政拨款支出决算表</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九、财政拨款“三公”经费支出决算表</w:t>
      </w:r>
    </w:p>
    <w:p>
      <w:pPr>
        <w:widowControl/>
        <w:spacing w:before="0" w:beforeAutospacing="0" w:after="0" w:afterAutospacing="0" w:line="360" w:lineRule="auto"/>
        <w:jc w:val="left"/>
        <w:rPr>
          <w:rFonts w:ascii="Times New Roman" w:eastAsia="黑体" w:hAnsi="Times New Roman"/>
          <w:sz w:val="32"/>
          <w:szCs w:val="32"/>
        </w:rPr>
      </w:pPr>
      <w:r>
        <w:rPr>
          <w:rFonts w:ascii="Times New Roman" w:eastAsia="黑体" w:hAnsi="Times New Roman"/>
          <w:b w:val="0"/>
          <w:sz w:val="32"/>
          <w:szCs w:val="32"/>
        </w:rPr>
        <w:t>第三部分 2025年度部门决算情况说明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一、收入支出决算总体情况说明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二、收入决算情况说明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三、支出决算情况说明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四、财政拨款收入支出决算总体情况说明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五、财政拨款“三公”经费支出决算情况说明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六、机关运行经费支出说明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七、政府采购支出说明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八、国有资产占用情况说明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九、关于2025年度绩效评价情况的说明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十、其他需要说明的情况</w:t>
      </w:r>
    </w:p>
    <w:p>
      <w:pPr>
        <w:widowControl/>
        <w:spacing w:before="0" w:beforeAutospacing="0" w:after="0" w:afterAutospacing="0" w:line="360" w:lineRule="auto"/>
        <w:jc w:val="left"/>
        <w:rPr>
          <w:rFonts w:ascii="Times New Roman" w:eastAsia="黑体" w:cs="Times New Roman" w:hAnsi="Times New Roman" w:hint="eastAsia"/>
          <w:sz w:val="32"/>
          <w:szCs w:val="32"/>
          <w:lang w:val="en-US" w:eastAsia="zh-CN"/>
        </w:rPr>
        <w:sectPr>
          <w:headerReference w:type="default" r:id="rId5"/>
          <w:headerReference w:type="first" r:id="rId6"/>
          <w:footerReference w:type="default" r:id="rId7"/>
          <w:footerReference w:type="first" r:id="rId8"/>
          <w:pgSz w:w="11906" w:h="16838"/>
          <w:pgMar w:top="1474" w:right="1531" w:bottom="1134" w:left="1531" w:header="851" w:footer="992" w:gutter="0"/>
          <w:pgBorders>
            <w:top w:val="none" w:sz="0" w:space="0" w:color="auto"/>
            <w:left w:val="none" w:sz="0" w:space="0" w:color="auto"/>
            <w:bottom w:val="none" w:sz="0" w:space="0" w:color="auto"/>
            <w:right w:val="none" w:sz="0" w:space="0" w:color="auto"/>
          </w:pgBorders>
          <w:cols w:num="1" w:space="0"/>
          <w:titlePg/>
          <w:docGrid w:type="lines" w:linePitch="312" w:charSpace="0"/>
        </w:sectPr>
      </w:pPr>
      <w:r>
        <w:rPr>
          <w:rFonts w:ascii="Times New Roman" w:eastAsia="黑体" w:hAnsi="Times New Roman"/>
          <w:b w:val="0"/>
          <w:sz w:val="32"/>
          <w:szCs w:val="32"/>
        </w:rPr>
        <w:t>第四部分 名词解释</w:t>
      </w:r>
    </w:p>
    <w:p>
      <w:pPr>
        <w:widowControl/>
        <w:spacing w:before="0" w:beforeAutospacing="0" w:after="0" w:afterAutospacing="0" w:line="360" w:lineRule="auto"/>
        <w:jc w:val="center"/>
        <w:outlineLvl w:val="0"/>
        <w:rPr>
          <w:rFonts w:ascii="黑体" w:eastAsia="黑体" w:cs="黑体" w:hAnsi="宋体" w:hint="eastAsia"/>
          <w:i w:val="0"/>
          <w:iCs w:val="0"/>
          <w:caps w:val="0"/>
          <w:smallCaps w:val="0"/>
          <w:color w:val="000000"/>
          <w:spacing w:val="0"/>
          <w:sz w:val="72"/>
          <w:szCs w:val="72"/>
          <w:shd w:val="clear" w:color="auto" w:fill="FFFFFF"/>
          <w:lang w:val="en-US" w:eastAsia="zh-CN"/>
          <w:highlight w:val="none"/>
        </w:rPr>
      </w:pPr>
      <w:r>
        <w:rPr>
          <w:rFonts w:ascii="Times New Roman" w:eastAsia="黑体" w:hAnsi="Times New Roman"/>
          <w:b w:val="0"/>
          <w:sz w:val="44"/>
          <w:szCs w:val="44"/>
        </w:rPr>
        <w:t>第一部分单位概况</w:t>
      </w:r>
    </w:p>
    <w:p>
      <w:pPr>
        <w:widowControl/>
        <w:spacing w:before="0" w:beforeAutospacing="0" w:after="0" w:afterAutospacing="0" w:line="360" w:lineRule="auto"/>
        <w:jc w:val="left"/>
        <w:outlineLvl w:val="1"/>
        <w:rPr>
          <w:rFonts w:ascii="Times New Roman" w:eastAsia="黑体" w:hAnsi="Times New Roman"/>
          <w:b w:val="0"/>
          <w:sz w:val="32"/>
          <w:szCs w:val="32"/>
        </w:rPr>
      </w:pPr>
    </w:p>
    <w:p>
      <w:pPr>
        <w:widowControl/>
        <w:spacing w:before="0" w:beforeAutospacing="0" w:after="0" w:afterAutospacing="0" w:line="360" w:lineRule="auto"/>
        <w:jc w:val="left"/>
        <w:outlineLvl w:val="1"/>
        <w:rPr>
          <w:rFonts w:ascii="Times New Roman" w:eastAsia="黑体" w:hAnsi="Times New Roman"/>
          <w:sz w:val="32"/>
          <w:szCs w:val="32"/>
        </w:rPr>
      </w:pPr>
      <w:r>
        <w:rPr>
          <w:rFonts w:ascii="Times New Roman" w:eastAsia="黑体" w:hAnsi="Times New Roman"/>
          <w:b w:val="0"/>
          <w:sz w:val="32"/>
          <w:szCs w:val="32"/>
        </w:rPr>
        <w:t>一、单位职责</w:t>
      </w:r>
    </w:p>
    <w:p>
      <w:pPr>
        <w:spacing w:line="240" w:lineRule="auto"/>
        <w:ind w:firstLine="0"/>
        <w:rPr>
          <w:rFonts w:ascii="Times New Roman" w:eastAsia="仿宋_GB2312" w:hAnsi="Times New Roman"/>
          <w:sz w:val="32"/>
          <w:szCs w:val="32"/>
        </w:rPr>
      </w:pPr>
      <w:r>
        <w:rPr>
          <w:rFonts w:ascii="仿宋" w:eastAsia="仿宋" w:cs="仿宋" w:hint="eastAsia"/>
          <w:sz w:val="32"/>
          <w:szCs w:val="32"/>
          <w:lang w:bidi="ar-SA"/>
        </w:rPr>
        <w:t>负责全县各类房屋产权产籍管理工作，办理房屋确权、变更和抵押备案，负责全县保障房建设、分配、管理工作。</w:t>
      </w:r>
    </w:p>
    <w:p>
      <w:pPr>
        <w:widowControl/>
        <w:spacing w:before="0" w:beforeAutospacing="0" w:after="0" w:afterAutospacing="0" w:line="360" w:lineRule="auto"/>
        <w:jc w:val="left"/>
        <w:outlineLvl w:val="1"/>
        <w:rPr>
          <w:rFonts w:ascii="Times New Roman" w:eastAsia="黑体" w:hAnsi="Times New Roman"/>
          <w:sz w:val="32"/>
          <w:szCs w:val="32"/>
        </w:rPr>
      </w:pPr>
      <w:r>
        <w:rPr>
          <w:rFonts w:ascii="Times New Roman" w:eastAsia="黑体" w:hAnsi="Times New Roman"/>
          <w:b w:val="0"/>
          <w:sz w:val="32"/>
          <w:szCs w:val="32"/>
        </w:rPr>
        <w:t>二、机构设置</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从决算编报单位构成看，纳入2025年度本部门决算汇编范围的独立核算单位（以下简称“单位”）共个，具体情况如下：</w:t>
      </w:r>
    </w:p>
    <w:tbl>
      <w:tblPr>
        <w:tblpPr w:leftFromText="180" w:rightFromText="180" w:vertAnchor="text" w:horzAnchor="page" w:tblpXSpec="center" w:tblpY="10"/>
        <w:tblOverlap w:val="never"/>
        <w:tblW w:w="9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985"/>
        <w:gridCol w:w="3485"/>
        <w:gridCol w:w="2445"/>
        <w:gridCol w:w="2665"/>
      </w:tblGrid>
      <w:tr>
        <w:trPr>
          <w:trHeight w:val="811"/>
        </w:trPr>
        <w:tc>
          <w:tcPr>
            <w:tcW w:w="985" w:type="dxa"/>
            <w:vAlign w:val="center"/>
          </w:tcPr>
          <w:p>
            <w:pPr>
              <w:spacing w:line="560" w:lineRule="exact"/>
              <w:jc w:val="center"/>
              <w:rPr>
                <w:rFonts w:ascii="仿宋_GB2312" w:eastAsia="仿宋_GB2312" w:cs="ArialUnicodeMS" w:hAnsi="Calibri"/>
                <w:b/>
                <w:bCs/>
                <w:kern w:val="0"/>
                <w:sz w:val="28"/>
                <w:szCs w:val="28"/>
              </w:rPr>
            </w:pPr>
            <w:r>
              <w:rPr>
                <w:rFonts w:ascii="仿宋_GB2312" w:eastAsia="仿宋_GB2312" w:cs="ArialUnicodeMS" w:hAnsi="Calibri" w:hint="eastAsia"/>
                <w:b/>
                <w:bCs/>
                <w:kern w:val="0"/>
                <w:sz w:val="28"/>
                <w:szCs w:val="28"/>
              </w:rPr>
              <w:t>序号</w:t>
            </w:r>
          </w:p>
        </w:tc>
        <w:tc>
          <w:tcPr>
            <w:tcW w:w="3485" w:type="dxa"/>
            <w:vAlign w:val="center"/>
          </w:tcPr>
          <w:p>
            <w:pPr>
              <w:spacing w:line="560" w:lineRule="exact"/>
              <w:jc w:val="center"/>
              <w:rPr>
                <w:rFonts w:ascii="仿宋_GB2312" w:eastAsia="仿宋_GB2312" w:cs="ArialUnicodeMS" w:hAnsi="Calibri"/>
                <w:b/>
                <w:bCs/>
                <w:kern w:val="0"/>
                <w:sz w:val="28"/>
                <w:szCs w:val="28"/>
              </w:rPr>
            </w:pPr>
            <w:r>
              <w:rPr>
                <w:rFonts w:ascii="仿宋_GB2312" w:eastAsia="仿宋_GB2312" w:cs="ArialUnicodeMS" w:hAnsi="Calibri" w:hint="eastAsia"/>
                <w:b/>
                <w:bCs/>
                <w:kern w:val="0"/>
                <w:sz w:val="28"/>
                <w:szCs w:val="28"/>
              </w:rPr>
              <w:t>单位名称</w:t>
            </w:r>
          </w:p>
        </w:tc>
        <w:tc>
          <w:tcPr>
            <w:tcW w:w="2445" w:type="dxa"/>
            <w:vAlign w:val="center"/>
          </w:tcPr>
          <w:p>
            <w:pPr>
              <w:spacing w:line="560" w:lineRule="exact"/>
              <w:jc w:val="center"/>
              <w:rPr>
                <w:rFonts w:ascii="仿宋_GB2312" w:eastAsia="仿宋_GB2312" w:cs="ArialUnicodeMS" w:hAnsi="Calibri"/>
                <w:b/>
                <w:bCs/>
                <w:kern w:val="0"/>
                <w:sz w:val="28"/>
                <w:szCs w:val="28"/>
              </w:rPr>
            </w:pPr>
            <w:r>
              <w:rPr>
                <w:rFonts w:ascii="仿宋_GB2312" w:eastAsia="仿宋_GB2312" w:cs="ArialUnicodeMS" w:hAnsi="Calibri" w:hint="eastAsia"/>
                <w:b/>
                <w:bCs/>
                <w:kern w:val="0"/>
                <w:sz w:val="28"/>
                <w:szCs w:val="28"/>
              </w:rPr>
              <w:t>单位基本性质</w:t>
            </w:r>
          </w:p>
        </w:tc>
        <w:tc>
          <w:tcPr>
            <w:tcW w:w="2665" w:type="dxa"/>
            <w:vAlign w:val="center"/>
          </w:tcPr>
          <w:p>
            <w:pPr>
              <w:spacing w:line="560" w:lineRule="exact"/>
              <w:jc w:val="center"/>
              <w:rPr>
                <w:rFonts w:ascii="仿宋_GB2312" w:eastAsia="仿宋_GB2312" w:cs="ArialUnicodeMS" w:hAnsi="Calibri"/>
                <w:b/>
                <w:bCs/>
                <w:kern w:val="0"/>
                <w:sz w:val="28"/>
                <w:szCs w:val="28"/>
              </w:rPr>
            </w:pPr>
            <w:r>
              <w:rPr>
                <w:rFonts w:ascii="仿宋_GB2312" w:eastAsia="仿宋_GB2312" w:cs="ArialUnicodeMS" w:hAnsi="Calibri" w:hint="eastAsia"/>
                <w:b/>
                <w:bCs/>
                <w:kern w:val="0"/>
                <w:sz w:val="28"/>
                <w:szCs w:val="28"/>
              </w:rPr>
              <w:t>经费形式</w:t>
            </w:r>
          </w:p>
        </w:tc>
      </w:tr>
      <w:tr>
        <w:trPr>
          <w:trHeight w:val="596"/>
        </w:trPr>
        <w:tc>
          <w:tcPr>
            <w:tcW w:w="985" w:type="dxa"/>
          </w:tcPr>
          <w:p>
            <w:pPr>
              <w:spacing w:line="560" w:lineRule="exact"/>
              <w:jc w:val="center"/>
              <w:rPr>
                <w:rFonts w:ascii="仿宋_GB2312" w:eastAsia="仿宋_GB2312" w:cs="ArialUnicodeMS" w:hAnsi="Calibri"/>
                <w:kern w:val="0"/>
                <w:sz w:val="28"/>
                <w:szCs w:val="28"/>
              </w:rPr>
            </w:pPr>
            <w:r>
              <w:rPr>
                <w:rFonts w:ascii="仿宋_GB2312" w:eastAsia="仿宋_GB2312" w:cs="ArialUnicodeMS" w:hAnsi="Calibri" w:hint="eastAsia"/>
                <w:kern w:val="0"/>
                <w:sz w:val="28"/>
                <w:szCs w:val="28"/>
                <w:lang w:val="en-US" w:eastAsia="zh-CN"/>
              </w:rPr>
              <w:t>1</w:t>
            </w:r>
          </w:p>
        </w:tc>
        <w:tc>
          <w:tcPr>
            <w:tcW w:w="3485" w:type="dxa"/>
          </w:tcPr>
          <w:p>
            <w:pPr>
              <w:spacing w:line="560" w:lineRule="exact"/>
              <w:jc w:val="center"/>
              <w:rPr>
                <w:rFonts w:ascii="仿宋_GB2312" w:eastAsia="仿宋_GB2312" w:cs="ArialUnicodeMS" w:hAnsi="Calibri"/>
                <w:kern w:val="0"/>
                <w:sz w:val="28"/>
                <w:szCs w:val="28"/>
              </w:rPr>
            </w:pPr>
            <w:r>
              <w:rPr>
                <w:rFonts w:ascii="仿宋_GB2312" w:eastAsia="仿宋_GB2312" w:cs="ArialUnicodeMS" w:hAnsi="Calibri" w:hint="eastAsia"/>
                <w:kern w:val="0"/>
                <w:sz w:val="28"/>
                <w:szCs w:val="28"/>
                <w:lang w:val="en-US" w:eastAsia="zh-CN"/>
              </w:rPr>
              <w:t>行唐县房地产管理所</w:t>
            </w:r>
          </w:p>
        </w:tc>
        <w:tc>
          <w:tcPr>
            <w:tcW w:w="2445" w:type="dxa"/>
          </w:tcPr>
          <w:p>
            <w:pPr>
              <w:spacing w:line="560" w:lineRule="exact"/>
              <w:jc w:val="center"/>
              <w:rPr>
                <w:rFonts w:ascii="仿宋_GB2312" w:eastAsia="仿宋_GB2312" w:cs="ArialUnicodeMS" w:hAnsi="Calibri" w:hint="eastAsia"/>
                <w:kern w:val="0"/>
                <w:sz w:val="28"/>
                <w:szCs w:val="28"/>
                <w:lang w:eastAsia="zh-CN"/>
              </w:rPr>
            </w:pPr>
            <w:r>
              <w:rPr>
                <w:rFonts w:ascii="仿宋_GB2312" w:eastAsia="仿宋_GB2312" w:cs="ArialUnicodeMS" w:hAnsi="Calibri" w:hint="eastAsia"/>
                <w:kern w:val="0"/>
                <w:sz w:val="28"/>
                <w:szCs w:val="28"/>
                <w:lang w:eastAsia="zh-CN"/>
              </w:rPr>
              <w:t>事业</w:t>
            </w:r>
          </w:p>
        </w:tc>
        <w:tc>
          <w:tcPr>
            <w:tcW w:w="2665" w:type="dxa"/>
          </w:tcPr>
          <w:p>
            <w:pPr>
              <w:spacing w:line="560" w:lineRule="exact"/>
              <w:jc w:val="center"/>
              <w:rPr>
                <w:rFonts w:ascii="仿宋_GB2312" w:eastAsia="仿宋_GB2312" w:cs="ArialUnicodeMS" w:hAnsi="Calibri"/>
                <w:kern w:val="0"/>
                <w:sz w:val="28"/>
                <w:szCs w:val="28"/>
              </w:rPr>
            </w:pPr>
            <w:r>
              <w:rPr>
                <w:rFonts w:ascii="仿宋_GB2312" w:eastAsia="仿宋_GB2312" w:cs="ArialUnicodeMS" w:hAnsi="Calibri" w:hint="eastAsia"/>
                <w:kern w:val="0"/>
                <w:sz w:val="28"/>
                <w:szCs w:val="28"/>
                <w:lang w:val="en-US" w:eastAsia="zh-CN"/>
              </w:rPr>
              <w:t>差额</w:t>
            </w:r>
          </w:p>
        </w:tc>
      </w:tr>
    </w:tbl>
    <w:p>
      <w:pPr>
        <w:widowControl/>
        <w:spacing w:before="0" w:beforeAutospacing="0" w:after="0" w:afterAutospacing="0" w:line="360" w:lineRule="auto"/>
        <w:jc w:val="center"/>
        <w:outlineLvl w:val="0"/>
        <w:rPr>
          <w:rFonts w:ascii="Times New Roman" w:eastAsia="黑体" w:hAnsi="Times New Roman"/>
          <w:b w:val="0"/>
          <w:sz w:val="44"/>
          <w:szCs w:val="44"/>
        </w:rPr>
      </w:pPr>
    </w:p>
    <w:p>
      <w:pPr>
        <w:widowControl/>
        <w:spacing w:before="0" w:beforeAutospacing="0" w:after="0" w:afterAutospacing="0" w:line="360" w:lineRule="auto"/>
        <w:jc w:val="center"/>
        <w:outlineLvl w:val="0"/>
        <w:rPr>
          <w:rFonts w:ascii="Times New Roman" w:eastAsia="黑体" w:hAnsi="Times New Roman"/>
          <w:b w:val="0"/>
          <w:sz w:val="44"/>
          <w:szCs w:val="44"/>
        </w:rPr>
      </w:pPr>
    </w:p>
    <w:p>
      <w:pPr>
        <w:widowControl/>
        <w:spacing w:before="0" w:beforeAutospacing="0" w:after="0" w:afterAutospacing="0" w:line="360" w:lineRule="auto"/>
        <w:jc w:val="center"/>
        <w:outlineLvl w:val="0"/>
        <w:rPr>
          <w:rFonts w:ascii="Times New Roman" w:eastAsia="黑体" w:hAnsi="Times New Roman"/>
          <w:b w:val="0"/>
          <w:sz w:val="44"/>
          <w:szCs w:val="44"/>
        </w:rPr>
      </w:pPr>
    </w:p>
    <w:p>
      <w:pPr>
        <w:widowControl/>
        <w:spacing w:before="0" w:beforeAutospacing="0" w:after="0" w:afterAutospacing="0" w:line="360" w:lineRule="auto"/>
        <w:jc w:val="center"/>
        <w:outlineLvl w:val="0"/>
        <w:rPr>
          <w:rFonts w:ascii="Times New Roman" w:eastAsia="黑体" w:hAnsi="Times New Roman"/>
          <w:b w:val="0"/>
          <w:sz w:val="44"/>
          <w:szCs w:val="44"/>
        </w:rPr>
      </w:pPr>
    </w:p>
    <w:p>
      <w:pPr>
        <w:widowControl/>
        <w:spacing w:before="0" w:beforeAutospacing="0" w:after="0" w:afterAutospacing="0" w:line="360" w:lineRule="auto"/>
        <w:jc w:val="center"/>
        <w:outlineLvl w:val="0"/>
        <w:rPr>
          <w:rFonts w:ascii="Times New Roman" w:eastAsia="黑体" w:hAnsi="Times New Roman"/>
          <w:b w:val="0"/>
          <w:sz w:val="44"/>
          <w:szCs w:val="44"/>
        </w:rPr>
      </w:pPr>
    </w:p>
    <w:p>
      <w:pPr>
        <w:widowControl/>
        <w:spacing w:before="0" w:beforeAutospacing="0" w:after="0" w:afterAutospacing="0" w:line="360" w:lineRule="auto"/>
        <w:jc w:val="center"/>
        <w:outlineLvl w:val="0"/>
        <w:rPr>
          <w:rFonts w:ascii="Times New Roman" w:eastAsia="黑体" w:hAnsi="Times New Roman"/>
          <w:b w:val="0"/>
          <w:sz w:val="44"/>
          <w:szCs w:val="44"/>
        </w:rPr>
      </w:pPr>
    </w:p>
    <w:p>
      <w:pPr>
        <w:widowControl/>
        <w:spacing w:before="0" w:beforeAutospacing="0" w:after="0" w:afterAutospacing="0" w:line="360" w:lineRule="auto"/>
        <w:jc w:val="center"/>
        <w:outlineLvl w:val="0"/>
        <w:rPr>
          <w:rFonts w:ascii="Times New Roman" w:eastAsia="黑体" w:hAnsi="Times New Roman"/>
          <w:b w:val="0"/>
          <w:sz w:val="44"/>
          <w:szCs w:val="44"/>
        </w:rPr>
      </w:pPr>
    </w:p>
    <w:p>
      <w:pPr>
        <w:widowControl/>
        <w:spacing w:before="0" w:beforeAutospacing="0" w:after="0" w:afterAutospacing="0" w:line="360" w:lineRule="auto"/>
        <w:jc w:val="center"/>
        <w:outlineLvl w:val="0"/>
        <w:rPr>
          <w:rFonts w:ascii="Times New Roman" w:eastAsia="黑体" w:hAnsi="Times New Roman"/>
          <w:b w:val="0"/>
          <w:sz w:val="44"/>
          <w:szCs w:val="44"/>
        </w:rPr>
      </w:pPr>
    </w:p>
    <w:p>
      <w:pPr>
        <w:widowControl/>
        <w:spacing w:before="0" w:beforeAutospacing="0" w:after="0" w:afterAutospacing="0" w:line="360" w:lineRule="auto"/>
        <w:jc w:val="center"/>
        <w:outlineLvl w:val="0"/>
        <w:rPr>
          <w:rFonts w:ascii="Times New Roman" w:eastAsia="黑体" w:hAnsi="Times New Roman"/>
          <w:b w:val="0"/>
          <w:sz w:val="44"/>
          <w:szCs w:val="44"/>
        </w:rPr>
      </w:pPr>
    </w:p>
    <w:p>
      <w:pPr>
        <w:widowControl/>
        <w:spacing w:before="0" w:beforeAutospacing="0" w:after="0" w:afterAutospacing="0" w:line="360" w:lineRule="auto"/>
        <w:jc w:val="center"/>
        <w:outlineLvl w:val="0"/>
        <w:rPr>
          <w:rFonts w:ascii="Times New Roman" w:eastAsia="黑体" w:hAnsi="Times New Roman"/>
          <w:b w:val="0"/>
          <w:sz w:val="44"/>
          <w:szCs w:val="44"/>
        </w:rPr>
      </w:pPr>
    </w:p>
    <w:p>
      <w:pPr>
        <w:widowControl/>
        <w:spacing w:before="0" w:beforeAutospacing="0" w:after="0" w:afterAutospacing="0" w:line="360" w:lineRule="auto"/>
        <w:jc w:val="center"/>
        <w:outlineLvl w:val="0"/>
        <w:rPr>
          <w:rFonts w:ascii="黑体" w:eastAsia="黑体" w:cs="黑体" w:hAnsi="宋体" w:hint="eastAsia"/>
          <w:i w:val="0"/>
          <w:iCs w:val="0"/>
          <w:caps w:val="0"/>
          <w:smallCaps w:val="0"/>
          <w:color w:val="000000"/>
          <w:spacing w:val="0"/>
          <w:sz w:val="72"/>
          <w:szCs w:val="72"/>
          <w:shd w:val="clear" w:color="auto" w:fill="FFFFFF"/>
          <w:lang w:val="en-US" w:eastAsia="zh-CN"/>
          <w:highlight w:val="none"/>
        </w:rPr>
      </w:pPr>
      <w:r>
        <w:rPr>
          <w:rFonts w:ascii="Times New Roman" w:eastAsia="黑体" w:hAnsi="Times New Roman"/>
          <w:b w:val="0"/>
          <w:sz w:val="44"/>
          <w:szCs w:val="44"/>
        </w:rPr>
        <w:t>第二部分</w:t>
      </w:r>
      <w:r>
        <w:rPr>
          <w:rFonts w:ascii="Times New Roman" w:eastAsia="仿宋_GB2312" w:hAnsi="Times New Roman"/>
          <w:b w:val="0"/>
          <w:sz w:val="44"/>
          <w:szCs w:val="44"/>
        </w:rPr>
        <w:t>2025</w:t>
      </w:r>
      <w:r>
        <w:rPr>
          <w:rFonts w:ascii="Times New Roman" w:eastAsia="黑体" w:hAnsi="Times New Roman"/>
          <w:b w:val="0"/>
          <w:sz w:val="44"/>
          <w:szCs w:val="44"/>
        </w:rPr>
        <w:t>年度部门决算表</w:t>
      </w:r>
    </w:p>
    <w:p>
      <w:pPr>
        <w:bidi w:val="0"/>
        <w:rPr>
          <w:lang w:val="en-US" w:eastAsia="zh-CN"/>
        </w:rPr>
      </w:pPr>
    </w:p>
    <w:p>
      <w:pPr>
        <w:bidi w:val="0"/>
        <w:rPr>
          <w:lang w:val="en-US" w:eastAsia="zh-CN"/>
        </w:rPr>
      </w:pPr>
    </w:p>
    <w:tbl>
      <w:tblPr>
        <w:jc w:val="left"/>
        <w:tblInd w:w="-1817" w:type="dxa"/>
        <w:tblW w:w="11659"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Look w:val="0600" w:firstRow="0" w:lastRow="0" w:firstColumn="0" w:lastColumn="0" w:noHBand="1" w:noVBand="1"/>
      </w:tblPr>
      <w:tblGrid>
        <w:gridCol w:w="3346"/>
        <w:gridCol w:w="624"/>
        <w:gridCol w:w="611"/>
        <w:gridCol w:w="1154"/>
        <w:gridCol w:w="1791"/>
        <w:gridCol w:w="1300"/>
        <w:gridCol w:w="675"/>
        <w:gridCol w:w="2124"/>
        <w:gridCol w:w="34"/>
      </w:tblGrid>
      <w:tr>
        <w:trPr>
          <w:trHeight w:val="361"/>
          <w:gridAfter w:val="1"/>
          <w:wAfter w:w="34" w:type="dxa"/>
        </w:trPr>
        <w:tc>
          <w:tcPr>
            <w:tcW w:w="11625" w:type="dxa"/>
            <w:gridSpan w:val="8"/>
            <w:tcBorders>
              <w:top w:val="nil"/>
              <w:left w:val="nil"/>
              <w:bottom w:val="nil"/>
              <w:right w:val="nil"/>
            </w:tcBorders>
            <w:noWrap/>
            <w:vAlign w:val="bottom"/>
          </w:tcPr>
          <w:p>
            <w:pPr>
              <w:keepNext w:val="0"/>
              <w:keepLines w:val="0"/>
              <w:widowControl/>
              <w:suppressLineNumbers w:val="0"/>
              <w:jc w:val="center"/>
              <w:textAlignment w:val="bottom"/>
              <w:rPr>
                <w:rFonts w:ascii="宋体" w:eastAsia="宋体" w:cs="宋体" w:hAnsi="宋体" w:hint="eastAsia"/>
                <w:i w:val="0"/>
                <w:iCs w:val="0"/>
                <w:color w:val="000000"/>
                <w:sz w:val="20"/>
                <w:szCs w:val="20"/>
                <w:u w:val="none"/>
                <w:highlight w:val="none"/>
              </w:rPr>
            </w:pPr>
            <w:r>
              <w:rPr>
                <w:rFonts w:ascii="方正仿宋_GB2312" w:eastAsia="方正仿宋_GB2312" w:cs="方正仿宋_GB2312" w:hAnsi="方正仿宋_GB2312" w:hint="eastAsia"/>
                <w:b w:val="0"/>
                <w:bCs/>
                <w:color w:val="auto"/>
                <w:kern w:val="0"/>
                <w:sz w:val="32"/>
                <w:szCs w:val="32"/>
                <w:lang w:val="en-US" w:eastAsia="zh-CN"/>
                <w:highlight w:val="none"/>
              </w:rPr>
              <w:t>收入支出决算总表</w:t>
            </w:r>
          </w:p>
        </w:tc>
      </w:tr>
      <w:tr>
        <w:trPr>
          <w:trHeight w:val="357"/>
          <w:gridAfter w:val="1"/>
          <w:wAfter w:w="34" w:type="dxa"/>
        </w:trPr>
        <w:tc>
          <w:tcPr>
            <w:tcW w:w="11625" w:type="dxa"/>
            <w:gridSpan w:val="8"/>
            <w:tcBorders>
              <w:top w:val="nil"/>
              <w:left w:val="nil"/>
              <w:bottom w:val="nil"/>
              <w:right w:val="nil"/>
            </w:tcBorders>
            <w:noWrap/>
            <w:vAlign w:val="bottom"/>
          </w:tcPr>
          <w:p>
            <w:pPr>
              <w:keepNext w:val="0"/>
              <w:keepLines w:val="0"/>
              <w:widowControl/>
              <w:suppressLineNumbers w:val="0"/>
              <w:jc w:val="right"/>
              <w:textAlignment w:val="bottom"/>
              <w:rPr>
                <w:rFonts w:ascii="宋体" w:eastAsia="宋体" w:cs="宋体" w:hAnsi="宋体"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 xml:space="preserve"> 公开</w:t>
            </w:r>
            <w:r>
              <w:rPr>
                <w:rFonts w:ascii="Times New Roman" w:eastAsia="宋体" w:cs="Times New Roman" w:hAnsi="Times New Roman" w:hint="eastAsia"/>
                <w:i w:val="0"/>
                <w:iCs w:val="0"/>
                <w:color w:val="000000"/>
                <w:sz w:val="20"/>
                <w:szCs w:val="20"/>
                <w:u w:val="none"/>
                <w:lang w:val="en-US" w:eastAsia="zh-CN"/>
                <w:highlight w:val="none"/>
              </w:rPr>
              <w:t>01</w:t>
            </w:r>
            <w:r>
              <w:rPr>
                <w:rFonts w:ascii="方正仿宋_GB2312" w:eastAsia="方正仿宋_GB2312" w:cs="方正仿宋_GB2312" w:hAnsi="方正仿宋_GB2312" w:hint="eastAsia"/>
                <w:i w:val="0"/>
                <w:iCs w:val="0"/>
                <w:color w:val="000000"/>
                <w:kern w:val="0"/>
                <w:sz w:val="20"/>
                <w:szCs w:val="20"/>
                <w:u w:val="none"/>
                <w:lang w:val="en-US" w:eastAsia="zh-CN"/>
                <w:highlight w:val="none"/>
              </w:rPr>
              <w:t>表</w:t>
            </w:r>
          </w:p>
        </w:tc>
      </w:tr>
      <w:tr>
        <w:trPr>
          <w:trHeight w:val="351"/>
          <w:gridAfter w:val="1"/>
          <w:wAfter w:w="34" w:type="dxa"/>
        </w:trPr>
        <w:tc>
          <w:tcPr>
            <w:tcW w:w="4581" w:type="dxa"/>
            <w:gridSpan w:val="3"/>
            <w:tcBorders>
              <w:top w:val="nil"/>
              <w:left w:val="nil"/>
              <w:bottom w:val="single" w:sz="8" w:space="0" w:color="000000"/>
              <w:right w:val="nil"/>
            </w:tcBorders>
            <w:noWrap/>
            <w:vAlign w:val="bottom"/>
          </w:tcPr>
          <w:p>
            <w:pPr>
              <w:jc w:val="both"/>
              <w:rPr>
                <w:rFonts w:ascii="宋体" w:eastAsia="宋体" w:cs="宋体" w:hAnsi="宋体"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部门（单位）：行唐县房地产管理所</w:t>
            </w:r>
          </w:p>
        </w:tc>
        <w:tc>
          <w:tcPr>
            <w:tcW w:w="2945" w:type="dxa"/>
            <w:gridSpan w:val="2"/>
            <w:tcBorders>
              <w:top w:val="nil"/>
              <w:left w:val="nil"/>
              <w:bottom w:val="single" w:sz="8" w:space="0" w:color="000000"/>
              <w:right w:val="nil"/>
            </w:tcBorders>
            <w:noWrap/>
            <w:vAlign w:val="bottom"/>
          </w:tcPr>
          <w:p>
            <w:pPr>
              <w:jc w:val="center"/>
              <w:rPr>
                <w:rFonts w:ascii="宋体" w:eastAsia="宋体" w:cs="宋体" w:hAnsi="宋体"/>
                <w:i w:val="0"/>
                <w:iCs w:val="0"/>
                <w:color w:val="000000"/>
                <w:kern w:val="0"/>
                <w:sz w:val="20"/>
                <w:szCs w:val="20"/>
                <w:u w:val="none"/>
                <w:lang w:val="en-US" w:eastAsia="zh-CN"/>
                <w:highlight w:val="none"/>
              </w:rPr>
            </w:pPr>
            <w:r>
              <w:rPr>
                <w:rFonts w:ascii="Times New Roman" w:eastAsia="宋体" w:cs="Times New Roman" w:hAnsi="Times New Roman" w:hint="eastAsia"/>
                <w:i w:val="0"/>
                <w:iCs w:val="0"/>
                <w:color w:val="000000"/>
                <w:sz w:val="20"/>
                <w:szCs w:val="20"/>
                <w:u w:val="none"/>
                <w:lang w:val="en-US" w:eastAsia="zh-CN"/>
                <w:highlight w:val="none"/>
              </w:rPr>
              <w:t>2025</w:t>
            </w:r>
            <w:r>
              <w:rPr>
                <w:rFonts w:ascii="方正仿宋_GB2312" w:eastAsia="方正仿宋_GB2312" w:cs="方正仿宋_GB2312" w:hAnsi="方正仿宋_GB2312" w:hint="eastAsia"/>
                <w:i w:val="0"/>
                <w:iCs w:val="0"/>
                <w:color w:val="000000"/>
                <w:kern w:val="0"/>
                <w:sz w:val="20"/>
                <w:szCs w:val="20"/>
                <w:u w:val="none"/>
                <w:lang w:val="en-US" w:eastAsia="zh-CN"/>
                <w:highlight w:val="none"/>
              </w:rPr>
              <w:t>年度</w:t>
            </w:r>
          </w:p>
        </w:tc>
        <w:tc>
          <w:tcPr>
            <w:tcW w:w="4099" w:type="dxa"/>
            <w:gridSpan w:val="3"/>
            <w:tcBorders>
              <w:top w:val="nil"/>
              <w:left w:val="nil"/>
              <w:bottom w:val="single" w:sz="8" w:space="0" w:color="000000"/>
              <w:right w:val="nil"/>
            </w:tcBorders>
            <w:noWrap/>
            <w:vAlign w:val="bottom"/>
          </w:tcPr>
          <w:p>
            <w:pPr>
              <w:jc w:val="right"/>
              <w:rPr>
                <w:rFonts w:ascii="宋体" w:eastAsia="宋体" w:cs="宋体" w:hAnsi="宋体"/>
                <w:i w:val="0"/>
                <w:iCs w:val="0"/>
                <w:color w:val="000000"/>
                <w:kern w:val="0"/>
                <w:sz w:val="20"/>
                <w:szCs w:val="20"/>
                <w:u w:val="none"/>
                <w:lang w:val="en-US" w:eastAsia="zh-CN"/>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金额单位：万元</w:t>
            </w:r>
          </w:p>
        </w:tc>
      </w:tr>
      <w:tr>
        <w:trPr>
          <w:trHeight w:val="544"/>
          <w:gridAfter w:val="1"/>
          <w:wAfter w:w="34" w:type="dxa"/>
        </w:trPr>
        <w:tc>
          <w:tcPr>
            <w:tcW w:w="5735" w:type="dxa"/>
            <w:gridSpan w:val="4"/>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none"/>
              </w:rPr>
            </w:pPr>
            <w:r>
              <w:rPr>
                <w:rFonts w:ascii="宋体" w:eastAsia="宋体" w:cs="宋体" w:hAnsi="宋体" w:hint="eastAsia"/>
                <w:i w:val="0"/>
                <w:iCs w:val="0"/>
                <w:color w:val="000000"/>
                <w:kern w:val="0"/>
                <w:sz w:val="20"/>
                <w:szCs w:val="20"/>
                <w:u w:val="none"/>
                <w:lang w:val="en-US" w:eastAsia="zh-CN"/>
                <w:highlight w:val="none"/>
              </w:rPr>
              <w:t>收入</w:t>
            </w:r>
          </w:p>
        </w:tc>
        <w:tc>
          <w:tcPr>
            <w:tcW w:w="5890" w:type="dxa"/>
            <w:gridSpan w:val="4"/>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none"/>
              </w:rPr>
            </w:pPr>
            <w:r>
              <w:rPr>
                <w:rFonts w:ascii="宋体" w:eastAsia="宋体" w:cs="宋体" w:hAnsi="宋体" w:hint="eastAsia"/>
                <w:i w:val="0"/>
                <w:iCs w:val="0"/>
                <w:color w:val="000000"/>
                <w:kern w:val="0"/>
                <w:sz w:val="20"/>
                <w:szCs w:val="20"/>
                <w:u w:val="none"/>
                <w:lang w:val="en-US" w:eastAsia="zh-CN"/>
                <w:highlight w:val="none"/>
              </w:rPr>
              <w:t>支出</w:t>
            </w:r>
          </w:p>
        </w:tc>
      </w:tr>
      <w:tr>
        <w:trPr>
          <w:trHeight w:val="308"/>
          <w:gridAfter w:val="1"/>
          <w:wAfter w:w="34" w:type="dxa"/>
        </w:trPr>
        <w:tc>
          <w:tcPr>
            <w:tcW w:w="3346"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项目</w:t>
            </w: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行次</w:t>
            </w:r>
          </w:p>
        </w:tc>
        <w:tc>
          <w:tcPr>
            <w:tcW w:w="1765"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决算数</w:t>
            </w:r>
          </w:p>
        </w:tc>
        <w:tc>
          <w:tcPr>
            <w:tcW w:w="3091"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项目</w:t>
            </w:r>
          </w:p>
        </w:tc>
        <w:tc>
          <w:tcPr>
            <w:tcW w:w="675"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行次</w:t>
            </w:r>
          </w:p>
        </w:tc>
        <w:tc>
          <w:tcPr>
            <w:tcW w:w="21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决算数</w:t>
            </w: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栏次</w:t>
            </w:r>
          </w:p>
        </w:tc>
        <w:tc>
          <w:tcPr>
            <w:tcW w:w="624" w:type="dxa"/>
            <w:tcBorders>
              <w:top w:val="single" w:sz="8" w:space="0" w:color="000000"/>
              <w:left w:val="single" w:sz="8" w:space="0" w:color="000000"/>
              <w:bottom w:val="single" w:sz="8" w:space="0" w:color="000000"/>
              <w:right w:val="single" w:sz="8" w:space="0" w:color="000000"/>
            </w:tcBorders>
            <w:noWrap/>
            <w:vAlign w:val="center"/>
          </w:tcPr>
          <w:p>
            <w:pPr>
              <w:jc w:val="center"/>
              <w:rPr>
                <w:rFonts w:ascii="宋体" w:eastAsia="宋体" w:cs="宋体" w:hAnsi="宋体" w:hint="eastAsia"/>
                <w:i w:val="0"/>
                <w:iCs w:val="0"/>
                <w:color w:val="000000"/>
                <w:sz w:val="20"/>
                <w:szCs w:val="20"/>
                <w:u w:val="none"/>
                <w:highlight w:val="none"/>
              </w:rPr>
            </w:pPr>
          </w:p>
        </w:tc>
        <w:tc>
          <w:tcPr>
            <w:tcW w:w="1765"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none"/>
              </w:rPr>
            </w:pPr>
            <w:r>
              <w:rPr>
                <w:rFonts w:ascii="Times New Roman" w:eastAsia="宋体" w:cs="Times New Roman" w:hAnsi="Times New Roman" w:hint="eastAsia"/>
                <w:i w:val="0"/>
                <w:iCs w:val="0"/>
                <w:color w:val="000000"/>
                <w:sz w:val="20"/>
                <w:szCs w:val="20"/>
                <w:u w:val="none"/>
                <w:lang w:val="en-US" w:eastAsia="zh-CN"/>
                <w:highlight w:val="none"/>
              </w:rPr>
              <w:t>1</w:t>
            </w:r>
          </w:p>
        </w:tc>
        <w:tc>
          <w:tcPr>
            <w:tcW w:w="3091"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栏次</w:t>
            </w:r>
          </w:p>
        </w:tc>
        <w:tc>
          <w:tcPr>
            <w:tcW w:w="675" w:type="dxa"/>
            <w:tcBorders>
              <w:top w:val="single" w:sz="8" w:space="0" w:color="000000"/>
              <w:left w:val="single" w:sz="8" w:space="0" w:color="000000"/>
              <w:bottom w:val="single" w:sz="8" w:space="0" w:color="000000"/>
              <w:right w:val="single" w:sz="8" w:space="0" w:color="000000"/>
            </w:tcBorders>
            <w:noWrap/>
            <w:vAlign w:val="center"/>
          </w:tcPr>
          <w:p>
            <w:pPr>
              <w:jc w:val="center"/>
              <w:rPr>
                <w:rFonts w:ascii="宋体" w:eastAsia="宋体" w:cs="宋体" w:hAnsi="宋体" w:hint="eastAsia"/>
                <w:i w:val="0"/>
                <w:iCs w:val="0"/>
                <w:color w:val="000000"/>
                <w:sz w:val="20"/>
                <w:szCs w:val="20"/>
                <w:u w:val="none"/>
                <w:highlight w:val="none"/>
              </w:rPr>
            </w:pPr>
          </w:p>
        </w:tc>
        <w:tc>
          <w:tcPr>
            <w:tcW w:w="21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none"/>
              </w:rPr>
            </w:pPr>
            <w:r>
              <w:rPr>
                <w:rFonts w:ascii="Times New Roman" w:eastAsia="宋体" w:cs="Times New Roman" w:hAnsi="Times New Roman" w:hint="eastAsia"/>
                <w:i w:val="0"/>
                <w:iCs w:val="0"/>
                <w:color w:val="000000"/>
                <w:sz w:val="20"/>
                <w:szCs w:val="20"/>
                <w:u w:val="none"/>
                <w:lang w:val="en-US" w:eastAsia="zh-CN"/>
                <w:highlight w:val="none"/>
              </w:rPr>
              <w:t>2</w:t>
            </w: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一、一般公共预算财政拨款收入</w:t>
            </w: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宋体" w:eastAsia="宋体" w:cs="宋体" w:hAnsi="宋体"/>
                <w:i w:val="0"/>
                <w:iCs w:val="0"/>
                <w:color w:val="000000"/>
                <w:sz w:val="20"/>
                <w:szCs w:val="20"/>
                <w:u w:val="none"/>
                <w:lang w:val="en-US" w:eastAsia="zh-CN"/>
                <w:highlight w:val="none"/>
              </w:rPr>
              <w:t>1</w:t>
            </w:r>
          </w:p>
        </w:tc>
        <w:tc>
          <w:tcPr>
            <w:tcW w:w="176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cs="Times New Roman" w:hAnsi="Times New Roman"/>
                <w:sz w:val="20"/>
                <w:szCs w:val="20"/>
                <w:highlight w:val="none"/>
              </w:rPr>
              <w:t>127.89</w:t>
            </w:r>
          </w:p>
        </w:tc>
        <w:tc>
          <w:tcPr>
            <w:tcW w:w="3091"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一、一般公共服务支出</w:t>
            </w:r>
          </w:p>
        </w:tc>
        <w:tc>
          <w:tcPr>
            <w:tcW w:w="675"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none"/>
              </w:rPr>
            </w:pPr>
            <w:r>
              <w:rPr>
                <w:rFonts w:ascii="Times New Roman" w:eastAsia="宋体" w:cs="Times New Roman" w:hAnsi="Times New Roman"/>
                <w:i w:val="0"/>
                <w:iCs w:val="0"/>
                <w:color w:val="000000"/>
                <w:kern w:val="0"/>
                <w:sz w:val="20"/>
                <w:szCs w:val="20"/>
                <w:u w:val="none"/>
                <w:lang w:val="en-US" w:eastAsia="zh-CN"/>
                <w:highlight w:val="none"/>
              </w:rPr>
              <w:t>32</w:t>
            </w:r>
          </w:p>
        </w:tc>
        <w:tc>
          <w:tcPr>
            <w:tcW w:w="212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二、政府性基金预算财政拨款收入</w:t>
            </w: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2</w:t>
            </w:r>
          </w:p>
        </w:tc>
        <w:tc>
          <w:tcPr>
            <w:tcW w:w="176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3091"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二、外交支出</w:t>
            </w:r>
          </w:p>
        </w:tc>
        <w:tc>
          <w:tcPr>
            <w:tcW w:w="675"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none"/>
              </w:rPr>
            </w:pPr>
            <w:r>
              <w:rPr>
                <w:rFonts w:ascii="Times New Roman" w:eastAsia="宋体" w:cs="Times New Roman" w:hAnsi="Times New Roman"/>
                <w:i w:val="0"/>
                <w:iCs w:val="0"/>
                <w:color w:val="000000"/>
                <w:kern w:val="0"/>
                <w:sz w:val="20"/>
                <w:szCs w:val="20"/>
                <w:u w:val="none"/>
                <w:lang w:val="en-US" w:eastAsia="zh-CN"/>
                <w:highlight w:val="none"/>
              </w:rPr>
              <w:t>33</w:t>
            </w:r>
          </w:p>
        </w:tc>
        <w:tc>
          <w:tcPr>
            <w:tcW w:w="212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三、国有资本经营预算财政拨款收入</w:t>
            </w: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3</w:t>
            </w:r>
          </w:p>
        </w:tc>
        <w:tc>
          <w:tcPr>
            <w:tcW w:w="176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3091"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三、国防支出</w:t>
            </w:r>
          </w:p>
        </w:tc>
        <w:tc>
          <w:tcPr>
            <w:tcW w:w="675"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none"/>
              </w:rPr>
            </w:pPr>
            <w:r>
              <w:rPr>
                <w:rFonts w:ascii="Times New Roman" w:eastAsia="宋体" w:cs="Times New Roman" w:hAnsi="Times New Roman"/>
                <w:i w:val="0"/>
                <w:iCs w:val="0"/>
                <w:color w:val="000000"/>
                <w:kern w:val="0"/>
                <w:sz w:val="20"/>
                <w:szCs w:val="20"/>
                <w:u w:val="none"/>
                <w:lang w:val="en-US" w:eastAsia="zh-CN"/>
                <w:highlight w:val="none"/>
              </w:rPr>
              <w:t>34</w:t>
            </w:r>
          </w:p>
        </w:tc>
        <w:tc>
          <w:tcPr>
            <w:tcW w:w="212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四、上级补助收入</w:t>
            </w: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4</w:t>
            </w:r>
          </w:p>
        </w:tc>
        <w:tc>
          <w:tcPr>
            <w:tcW w:w="176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3091"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四、公共安全支出</w:t>
            </w:r>
          </w:p>
        </w:tc>
        <w:tc>
          <w:tcPr>
            <w:tcW w:w="675"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none"/>
              </w:rPr>
            </w:pPr>
            <w:r>
              <w:rPr>
                <w:rFonts w:ascii="Times New Roman" w:eastAsia="宋体" w:cs="Times New Roman" w:hAnsi="Times New Roman"/>
                <w:i w:val="0"/>
                <w:iCs w:val="0"/>
                <w:color w:val="000000"/>
                <w:kern w:val="0"/>
                <w:sz w:val="20"/>
                <w:szCs w:val="20"/>
                <w:u w:val="none"/>
                <w:lang w:val="en-US" w:eastAsia="zh-CN"/>
                <w:highlight w:val="none"/>
              </w:rPr>
              <w:t>35</w:t>
            </w:r>
          </w:p>
        </w:tc>
        <w:tc>
          <w:tcPr>
            <w:tcW w:w="212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五、事业收入</w:t>
            </w: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5</w:t>
            </w:r>
          </w:p>
        </w:tc>
        <w:tc>
          <w:tcPr>
            <w:tcW w:w="176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3091"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五、教育支出</w:t>
            </w:r>
          </w:p>
        </w:tc>
        <w:tc>
          <w:tcPr>
            <w:tcW w:w="675"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none"/>
              </w:rPr>
            </w:pPr>
            <w:r>
              <w:rPr>
                <w:rFonts w:ascii="Times New Roman" w:eastAsia="宋体" w:cs="Times New Roman" w:hAnsi="Times New Roman"/>
                <w:i w:val="0"/>
                <w:iCs w:val="0"/>
                <w:color w:val="000000"/>
                <w:kern w:val="0"/>
                <w:sz w:val="20"/>
                <w:szCs w:val="20"/>
                <w:u w:val="none"/>
                <w:lang w:val="en-US" w:eastAsia="zh-CN"/>
                <w:highlight w:val="none"/>
              </w:rPr>
              <w:t>36</w:t>
            </w:r>
          </w:p>
        </w:tc>
        <w:tc>
          <w:tcPr>
            <w:tcW w:w="212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六、经营收入</w:t>
            </w: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6</w:t>
            </w:r>
          </w:p>
        </w:tc>
        <w:tc>
          <w:tcPr>
            <w:tcW w:w="176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3091"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六、科学技术支出</w:t>
            </w:r>
          </w:p>
        </w:tc>
        <w:tc>
          <w:tcPr>
            <w:tcW w:w="675"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none"/>
              </w:rPr>
            </w:pPr>
            <w:r>
              <w:rPr>
                <w:rFonts w:ascii="Times New Roman" w:eastAsia="宋体" w:cs="Times New Roman" w:hAnsi="Times New Roman"/>
                <w:i w:val="0"/>
                <w:iCs w:val="0"/>
                <w:color w:val="000000"/>
                <w:kern w:val="0"/>
                <w:sz w:val="20"/>
                <w:szCs w:val="20"/>
                <w:u w:val="none"/>
                <w:lang w:val="en-US" w:eastAsia="zh-CN"/>
                <w:highlight w:val="none"/>
              </w:rPr>
              <w:t>37</w:t>
            </w:r>
          </w:p>
        </w:tc>
        <w:tc>
          <w:tcPr>
            <w:tcW w:w="212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七、附属单位上缴收入</w:t>
            </w: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7</w:t>
            </w:r>
          </w:p>
        </w:tc>
        <w:tc>
          <w:tcPr>
            <w:tcW w:w="176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3091"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七、文化旅游体育与传媒支出</w:t>
            </w:r>
          </w:p>
        </w:tc>
        <w:tc>
          <w:tcPr>
            <w:tcW w:w="675"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none"/>
              </w:rPr>
            </w:pPr>
            <w:r>
              <w:rPr>
                <w:rFonts w:ascii="Times New Roman" w:eastAsia="宋体" w:cs="Times New Roman" w:hAnsi="Times New Roman"/>
                <w:i w:val="0"/>
                <w:iCs w:val="0"/>
                <w:color w:val="000000"/>
                <w:kern w:val="0"/>
                <w:sz w:val="20"/>
                <w:szCs w:val="20"/>
                <w:u w:val="none"/>
                <w:lang w:val="en-US" w:eastAsia="zh-CN"/>
                <w:highlight w:val="none"/>
              </w:rPr>
              <w:t>38</w:t>
            </w:r>
          </w:p>
        </w:tc>
        <w:tc>
          <w:tcPr>
            <w:tcW w:w="212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八、其他收入</w:t>
            </w: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8</w:t>
            </w:r>
          </w:p>
        </w:tc>
        <w:tc>
          <w:tcPr>
            <w:tcW w:w="176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3091"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八、社会保障和就业支出</w:t>
            </w:r>
          </w:p>
        </w:tc>
        <w:tc>
          <w:tcPr>
            <w:tcW w:w="675"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none"/>
              </w:rPr>
            </w:pPr>
            <w:r>
              <w:rPr>
                <w:rFonts w:ascii="Times New Roman" w:eastAsia="宋体" w:cs="Times New Roman" w:hAnsi="Times New Roman"/>
                <w:i w:val="0"/>
                <w:iCs w:val="0"/>
                <w:color w:val="000000"/>
                <w:kern w:val="0"/>
                <w:sz w:val="20"/>
                <w:szCs w:val="20"/>
                <w:u w:val="none"/>
                <w:lang w:val="en-US" w:eastAsia="zh-CN"/>
                <w:highlight w:val="none"/>
              </w:rPr>
              <w:t>39</w:t>
            </w:r>
          </w:p>
        </w:tc>
        <w:tc>
          <w:tcPr>
            <w:tcW w:w="212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cs="Times New Roman" w:hAnsi="Times New Roman"/>
                <w:sz w:val="20"/>
                <w:szCs w:val="20"/>
                <w:highlight w:val="none"/>
              </w:rPr>
              <w:t>5.09</w:t>
            </w: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noWrap/>
            <w:vAlign w:val="center"/>
          </w:tcPr>
          <w:p>
            <w:pPr>
              <w:jc w:val="left"/>
              <w:rPr>
                <w:rFonts w:ascii="宋体" w:eastAsia="宋体" w:cs="宋体" w:hAnsi="宋体" w:hint="eastAsia"/>
                <w:i w:val="0"/>
                <w:iCs w:val="0"/>
                <w:color w:val="000000"/>
                <w:sz w:val="20"/>
                <w:szCs w:val="20"/>
                <w:u w:val="none"/>
                <w:highlight w:val="none"/>
              </w:rPr>
            </w:pP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9</w:t>
            </w:r>
          </w:p>
        </w:tc>
        <w:tc>
          <w:tcPr>
            <w:tcW w:w="176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3091"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九、卫生健康支出</w:t>
            </w:r>
          </w:p>
        </w:tc>
        <w:tc>
          <w:tcPr>
            <w:tcW w:w="675"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eastAsia="zh-CN"/>
                <w:highlight w:val="none"/>
              </w:rPr>
            </w:pPr>
            <w:r>
              <w:rPr>
                <w:rFonts w:ascii="Times New Roman" w:eastAsia="宋体" w:cs="Times New Roman" w:hAnsi="Times New Roman"/>
                <w:i w:val="0"/>
                <w:iCs w:val="0"/>
                <w:color w:val="000000"/>
                <w:sz w:val="20"/>
                <w:szCs w:val="20"/>
                <w:u w:val="none"/>
                <w:lang w:val="en-US" w:eastAsia="zh-CN"/>
                <w:highlight w:val="none"/>
              </w:rPr>
              <w:t>40</w:t>
            </w:r>
          </w:p>
        </w:tc>
        <w:tc>
          <w:tcPr>
            <w:tcW w:w="212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cs="Times New Roman" w:hAnsi="Times New Roman"/>
                <w:sz w:val="20"/>
                <w:szCs w:val="20"/>
                <w:highlight w:val="none"/>
              </w:rPr>
              <w:t>2.79</w:t>
            </w: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noWrap/>
            <w:vAlign w:val="center"/>
          </w:tcPr>
          <w:p>
            <w:pPr>
              <w:jc w:val="left"/>
              <w:rPr>
                <w:rFonts w:ascii="宋体" w:eastAsia="宋体" w:cs="宋体" w:hAnsi="宋体" w:hint="eastAsia"/>
                <w:i w:val="0"/>
                <w:iCs w:val="0"/>
                <w:color w:val="000000"/>
                <w:sz w:val="20"/>
                <w:szCs w:val="20"/>
                <w:u w:val="none"/>
                <w:highlight w:val="none"/>
              </w:rPr>
            </w:pP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10</w:t>
            </w:r>
          </w:p>
        </w:tc>
        <w:tc>
          <w:tcPr>
            <w:tcW w:w="176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3091"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十、节能环保支出</w:t>
            </w:r>
          </w:p>
        </w:tc>
        <w:tc>
          <w:tcPr>
            <w:tcW w:w="675"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none"/>
              </w:rPr>
            </w:pPr>
            <w:r>
              <w:rPr>
                <w:rFonts w:ascii="Times New Roman" w:eastAsia="宋体" w:cs="Times New Roman" w:hAnsi="Times New Roman"/>
                <w:i w:val="0"/>
                <w:iCs w:val="0"/>
                <w:color w:val="000000"/>
                <w:kern w:val="0"/>
                <w:sz w:val="20"/>
                <w:szCs w:val="20"/>
                <w:u w:val="none"/>
                <w:lang w:val="en-US" w:eastAsia="zh-CN"/>
                <w:highlight w:val="none"/>
              </w:rPr>
              <w:t>41</w:t>
            </w:r>
          </w:p>
        </w:tc>
        <w:tc>
          <w:tcPr>
            <w:tcW w:w="212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noWrap/>
            <w:vAlign w:val="center"/>
          </w:tcPr>
          <w:p>
            <w:pPr>
              <w:jc w:val="left"/>
              <w:rPr>
                <w:rFonts w:ascii="宋体" w:eastAsia="宋体" w:cs="宋体" w:hAnsi="宋体" w:hint="eastAsia"/>
                <w:i w:val="0"/>
                <w:iCs w:val="0"/>
                <w:color w:val="000000"/>
                <w:sz w:val="20"/>
                <w:szCs w:val="20"/>
                <w:u w:val="none"/>
                <w:highlight w:val="none"/>
              </w:rPr>
            </w:pP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11</w:t>
            </w:r>
          </w:p>
        </w:tc>
        <w:tc>
          <w:tcPr>
            <w:tcW w:w="176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3091"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十一、城乡社区支出</w:t>
            </w:r>
          </w:p>
        </w:tc>
        <w:tc>
          <w:tcPr>
            <w:tcW w:w="675"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none"/>
              </w:rPr>
            </w:pPr>
            <w:r>
              <w:rPr>
                <w:rFonts w:ascii="Times New Roman" w:eastAsia="宋体" w:cs="Times New Roman" w:hAnsi="Times New Roman"/>
                <w:i w:val="0"/>
                <w:iCs w:val="0"/>
                <w:color w:val="000000"/>
                <w:kern w:val="0"/>
                <w:sz w:val="20"/>
                <w:szCs w:val="20"/>
                <w:u w:val="none"/>
                <w:lang w:val="en-US" w:eastAsia="zh-CN"/>
                <w:highlight w:val="none"/>
              </w:rPr>
              <w:t>42</w:t>
            </w:r>
          </w:p>
        </w:tc>
        <w:tc>
          <w:tcPr>
            <w:tcW w:w="212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cs="Times New Roman" w:hAnsi="Times New Roman"/>
                <w:sz w:val="20"/>
                <w:szCs w:val="20"/>
                <w:highlight w:val="none"/>
              </w:rPr>
              <w:t>115.80</w:t>
            </w: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noWrap/>
            <w:vAlign w:val="center"/>
          </w:tcPr>
          <w:p>
            <w:pPr>
              <w:jc w:val="left"/>
              <w:rPr>
                <w:rFonts w:ascii="宋体" w:eastAsia="宋体" w:cs="宋体" w:hAnsi="宋体" w:hint="eastAsia"/>
                <w:i w:val="0"/>
                <w:iCs w:val="0"/>
                <w:color w:val="000000"/>
                <w:sz w:val="20"/>
                <w:szCs w:val="20"/>
                <w:u w:val="none"/>
                <w:highlight w:val="none"/>
              </w:rPr>
            </w:pP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12</w:t>
            </w:r>
          </w:p>
        </w:tc>
        <w:tc>
          <w:tcPr>
            <w:tcW w:w="176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3091"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十二、农林水支出</w:t>
            </w:r>
          </w:p>
        </w:tc>
        <w:tc>
          <w:tcPr>
            <w:tcW w:w="675"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none"/>
              </w:rPr>
            </w:pPr>
            <w:r>
              <w:rPr>
                <w:rFonts w:ascii="Times New Roman" w:eastAsia="宋体" w:cs="Times New Roman" w:hAnsi="Times New Roman"/>
                <w:i w:val="0"/>
                <w:iCs w:val="0"/>
                <w:color w:val="000000"/>
                <w:kern w:val="0"/>
                <w:sz w:val="20"/>
                <w:szCs w:val="20"/>
                <w:u w:val="none"/>
                <w:lang w:val="en-US" w:eastAsia="zh-CN"/>
                <w:highlight w:val="none"/>
              </w:rPr>
              <w:t>43</w:t>
            </w:r>
          </w:p>
        </w:tc>
        <w:tc>
          <w:tcPr>
            <w:tcW w:w="212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539"/>
          <w:gridAfter w:val="1"/>
          <w:wAfter w:w="34" w:type="dxa"/>
        </w:trPr>
        <w:tc>
          <w:tcPr>
            <w:tcW w:w="3346" w:type="dxa"/>
            <w:tcBorders>
              <w:top w:val="single" w:sz="8" w:space="0" w:color="000000"/>
              <w:left w:val="single" w:sz="8" w:space="0" w:color="000000"/>
              <w:bottom w:val="single" w:sz="8" w:space="0" w:color="000000"/>
              <w:right w:val="single" w:sz="8" w:space="0" w:color="000000"/>
            </w:tcBorders>
            <w:noWrap/>
            <w:vAlign w:val="center"/>
          </w:tcPr>
          <w:p>
            <w:pPr>
              <w:jc w:val="left"/>
              <w:rPr>
                <w:rFonts w:ascii="宋体" w:eastAsia="宋体" w:cs="宋体" w:hAnsi="宋体" w:hint="eastAsia"/>
                <w:i w:val="0"/>
                <w:iCs w:val="0"/>
                <w:color w:val="000000"/>
                <w:sz w:val="20"/>
                <w:szCs w:val="20"/>
                <w:u w:val="none"/>
                <w:highlight w:val="none"/>
              </w:rPr>
            </w:pP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13</w:t>
            </w:r>
          </w:p>
        </w:tc>
        <w:tc>
          <w:tcPr>
            <w:tcW w:w="176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3091"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十三、交通运输支出</w:t>
            </w:r>
          </w:p>
        </w:tc>
        <w:tc>
          <w:tcPr>
            <w:tcW w:w="675"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none"/>
              </w:rPr>
            </w:pPr>
            <w:r>
              <w:rPr>
                <w:rFonts w:ascii="Times New Roman" w:eastAsia="宋体" w:cs="Times New Roman" w:hAnsi="Times New Roman"/>
                <w:i w:val="0"/>
                <w:iCs w:val="0"/>
                <w:color w:val="000000"/>
                <w:kern w:val="0"/>
                <w:sz w:val="20"/>
                <w:szCs w:val="20"/>
                <w:u w:val="none"/>
                <w:lang w:val="en-US" w:eastAsia="zh-CN"/>
                <w:highlight w:val="none"/>
              </w:rPr>
              <w:t>44</w:t>
            </w:r>
          </w:p>
        </w:tc>
        <w:tc>
          <w:tcPr>
            <w:tcW w:w="212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681"/>
          <w:gridAfter w:val="1"/>
          <w:wAfter w:w="34" w:type="dxa"/>
        </w:trPr>
        <w:tc>
          <w:tcPr>
            <w:tcW w:w="3346" w:type="dxa"/>
            <w:tcBorders>
              <w:top w:val="single" w:sz="8" w:space="0" w:color="000000"/>
              <w:left w:val="single" w:sz="8" w:space="0" w:color="000000"/>
              <w:bottom w:val="single" w:sz="8" w:space="0" w:color="000000"/>
              <w:right w:val="single" w:sz="8" w:space="0" w:color="000000"/>
            </w:tcBorders>
            <w:noWrap/>
            <w:vAlign w:val="center"/>
          </w:tcPr>
          <w:p>
            <w:pPr>
              <w:jc w:val="left"/>
              <w:rPr>
                <w:rFonts w:ascii="宋体" w:eastAsia="宋体" w:cs="宋体" w:hAnsi="宋体" w:hint="eastAsia"/>
                <w:i w:val="0"/>
                <w:iCs w:val="0"/>
                <w:color w:val="000000"/>
                <w:sz w:val="20"/>
                <w:szCs w:val="20"/>
                <w:u w:val="none"/>
                <w:highlight w:val="none"/>
              </w:rPr>
            </w:pP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14</w:t>
            </w:r>
          </w:p>
        </w:tc>
        <w:tc>
          <w:tcPr>
            <w:tcW w:w="176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3091"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十四、资源勘探工业信息等支出</w:t>
            </w:r>
          </w:p>
        </w:tc>
        <w:tc>
          <w:tcPr>
            <w:tcW w:w="675"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none"/>
              </w:rPr>
            </w:pPr>
            <w:r>
              <w:rPr>
                <w:rFonts w:ascii="Times New Roman" w:eastAsia="宋体" w:cs="Times New Roman" w:hAnsi="Times New Roman"/>
                <w:i w:val="0"/>
                <w:iCs w:val="0"/>
                <w:color w:val="000000"/>
                <w:kern w:val="0"/>
                <w:sz w:val="20"/>
                <w:szCs w:val="20"/>
                <w:u w:val="none"/>
                <w:lang w:val="en-US" w:eastAsia="zh-CN"/>
                <w:highlight w:val="none"/>
              </w:rPr>
              <w:t>45</w:t>
            </w:r>
          </w:p>
        </w:tc>
        <w:tc>
          <w:tcPr>
            <w:tcW w:w="212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780"/>
          <w:gridAfter w:val="1"/>
          <w:wAfter w:w="34" w:type="dxa"/>
        </w:trPr>
        <w:tc>
          <w:tcPr>
            <w:tcW w:w="3346" w:type="dxa"/>
            <w:tcBorders>
              <w:top w:val="single" w:sz="8" w:space="0" w:color="000000"/>
              <w:left w:val="single" w:sz="8" w:space="0" w:color="000000"/>
              <w:bottom w:val="single" w:sz="8" w:space="0" w:color="000000"/>
              <w:right w:val="single" w:sz="8" w:space="0" w:color="000000"/>
            </w:tcBorders>
            <w:noWrap/>
            <w:vAlign w:val="center"/>
          </w:tcPr>
          <w:p>
            <w:pPr>
              <w:jc w:val="left"/>
              <w:rPr>
                <w:rFonts w:ascii="宋体" w:eastAsia="宋体" w:cs="宋体" w:hAnsi="宋体" w:hint="eastAsia"/>
                <w:i w:val="0"/>
                <w:iCs w:val="0"/>
                <w:color w:val="000000"/>
                <w:sz w:val="20"/>
                <w:szCs w:val="20"/>
                <w:u w:val="none"/>
                <w:highlight w:val="none"/>
              </w:rPr>
            </w:pP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15</w:t>
            </w:r>
          </w:p>
        </w:tc>
        <w:tc>
          <w:tcPr>
            <w:tcW w:w="176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3091"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十五、商业服务业等支出</w:t>
            </w:r>
          </w:p>
        </w:tc>
        <w:tc>
          <w:tcPr>
            <w:tcW w:w="675"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none"/>
              </w:rPr>
            </w:pPr>
            <w:r>
              <w:rPr>
                <w:rFonts w:ascii="Times New Roman" w:eastAsia="宋体" w:cs="Times New Roman" w:hAnsi="Times New Roman"/>
                <w:i w:val="0"/>
                <w:iCs w:val="0"/>
                <w:color w:val="000000"/>
                <w:kern w:val="0"/>
                <w:sz w:val="20"/>
                <w:szCs w:val="20"/>
                <w:u w:val="none"/>
                <w:lang w:val="en-US" w:eastAsia="zh-CN"/>
                <w:highlight w:val="none"/>
              </w:rPr>
              <w:t>46</w:t>
            </w:r>
          </w:p>
        </w:tc>
        <w:tc>
          <w:tcPr>
            <w:tcW w:w="212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90"/>
          <w:gridAfter w:val="1"/>
          <w:wAfter w:w="34" w:type="dxa"/>
        </w:trPr>
        <w:tc>
          <w:tcPr>
            <w:tcW w:w="3346" w:type="dxa"/>
            <w:tcBorders>
              <w:top w:val="single" w:sz="8" w:space="0" w:color="000000"/>
              <w:left w:val="single" w:sz="8" w:space="0" w:color="000000"/>
              <w:bottom w:val="single" w:sz="8" w:space="0" w:color="000000"/>
              <w:right w:val="single" w:sz="8" w:space="0" w:color="000000"/>
            </w:tcBorders>
            <w:noWrap/>
            <w:vAlign w:val="center"/>
          </w:tcPr>
          <w:p>
            <w:pPr>
              <w:jc w:val="left"/>
              <w:rPr>
                <w:rFonts w:ascii="宋体" w:eastAsia="宋体" w:cs="宋体" w:hAnsi="宋体" w:hint="eastAsia"/>
                <w:i w:val="0"/>
                <w:iCs w:val="0"/>
                <w:color w:val="000000"/>
                <w:sz w:val="20"/>
                <w:szCs w:val="20"/>
                <w:u w:val="none"/>
                <w:highlight w:val="none"/>
              </w:rPr>
            </w:pP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16</w:t>
            </w:r>
          </w:p>
        </w:tc>
        <w:tc>
          <w:tcPr>
            <w:tcW w:w="176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3091"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十六、金融支出</w:t>
            </w:r>
          </w:p>
        </w:tc>
        <w:tc>
          <w:tcPr>
            <w:tcW w:w="675"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none"/>
              </w:rPr>
            </w:pPr>
            <w:r>
              <w:rPr>
                <w:rFonts w:ascii="Times New Roman" w:eastAsia="宋体" w:cs="Times New Roman" w:hAnsi="Times New Roman"/>
                <w:i w:val="0"/>
                <w:iCs w:val="0"/>
                <w:color w:val="000000"/>
                <w:kern w:val="0"/>
                <w:sz w:val="20"/>
                <w:szCs w:val="20"/>
                <w:u w:val="none"/>
                <w:lang w:val="en-US" w:eastAsia="zh-CN"/>
                <w:highlight w:val="none"/>
              </w:rPr>
              <w:t>47</w:t>
            </w:r>
          </w:p>
        </w:tc>
        <w:tc>
          <w:tcPr>
            <w:tcW w:w="212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noWrap/>
            <w:vAlign w:val="center"/>
          </w:tcPr>
          <w:p>
            <w:pPr>
              <w:jc w:val="left"/>
              <w:rPr>
                <w:rFonts w:ascii="宋体" w:eastAsia="宋体" w:cs="宋体" w:hAnsi="宋体" w:hint="eastAsia"/>
                <w:i w:val="0"/>
                <w:iCs w:val="0"/>
                <w:color w:val="000000"/>
                <w:sz w:val="20"/>
                <w:szCs w:val="20"/>
                <w:u w:val="none"/>
                <w:highlight w:val="none"/>
              </w:rPr>
            </w:pP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17</w:t>
            </w:r>
          </w:p>
        </w:tc>
        <w:tc>
          <w:tcPr>
            <w:tcW w:w="176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3091"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十七、援助其他地区支出</w:t>
            </w:r>
          </w:p>
        </w:tc>
        <w:tc>
          <w:tcPr>
            <w:tcW w:w="675"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none"/>
              </w:rPr>
            </w:pPr>
            <w:r>
              <w:rPr>
                <w:rFonts w:ascii="Times New Roman" w:eastAsia="宋体" w:cs="Times New Roman" w:hAnsi="Times New Roman"/>
                <w:i w:val="0"/>
                <w:iCs w:val="0"/>
                <w:color w:val="000000"/>
                <w:kern w:val="0"/>
                <w:sz w:val="20"/>
                <w:szCs w:val="20"/>
                <w:u w:val="none"/>
                <w:lang w:val="en-US" w:eastAsia="zh-CN"/>
                <w:highlight w:val="none"/>
              </w:rPr>
              <w:t>48</w:t>
            </w:r>
          </w:p>
        </w:tc>
        <w:tc>
          <w:tcPr>
            <w:tcW w:w="212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539"/>
          <w:gridAfter w:val="1"/>
          <w:wAfter w:w="34" w:type="dxa"/>
        </w:trPr>
        <w:tc>
          <w:tcPr>
            <w:tcW w:w="3346" w:type="dxa"/>
            <w:tcBorders>
              <w:top w:val="single" w:sz="8" w:space="0" w:color="000000"/>
              <w:left w:val="single" w:sz="8" w:space="0" w:color="000000"/>
              <w:bottom w:val="single" w:sz="8" w:space="0" w:color="000000"/>
              <w:right w:val="single" w:sz="8" w:space="0" w:color="000000"/>
            </w:tcBorders>
            <w:noWrap/>
            <w:vAlign w:val="center"/>
          </w:tcPr>
          <w:p>
            <w:pPr>
              <w:jc w:val="left"/>
              <w:rPr>
                <w:rFonts w:ascii="宋体" w:eastAsia="宋体" w:cs="宋体" w:hAnsi="宋体" w:hint="eastAsia"/>
                <w:i w:val="0"/>
                <w:iCs w:val="0"/>
                <w:color w:val="000000"/>
                <w:sz w:val="20"/>
                <w:szCs w:val="20"/>
                <w:u w:val="none"/>
                <w:highlight w:val="none"/>
              </w:rPr>
            </w:pP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18</w:t>
            </w:r>
          </w:p>
        </w:tc>
        <w:tc>
          <w:tcPr>
            <w:tcW w:w="176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3091"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十八、自然资源海洋气象等支出</w:t>
            </w:r>
          </w:p>
        </w:tc>
        <w:tc>
          <w:tcPr>
            <w:tcW w:w="675"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none"/>
              </w:rPr>
            </w:pPr>
            <w:r>
              <w:rPr>
                <w:rFonts w:ascii="Times New Roman" w:eastAsia="宋体" w:cs="Times New Roman" w:hAnsi="Times New Roman"/>
                <w:i w:val="0"/>
                <w:iCs w:val="0"/>
                <w:color w:val="000000"/>
                <w:kern w:val="0"/>
                <w:sz w:val="20"/>
                <w:szCs w:val="20"/>
                <w:u w:val="none"/>
                <w:lang w:val="en-US" w:eastAsia="zh-CN"/>
                <w:highlight w:val="none"/>
              </w:rPr>
              <w:t>49</w:t>
            </w:r>
          </w:p>
        </w:tc>
        <w:tc>
          <w:tcPr>
            <w:tcW w:w="212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noWrap/>
            <w:vAlign w:val="center"/>
          </w:tcPr>
          <w:p>
            <w:pPr>
              <w:jc w:val="left"/>
              <w:rPr>
                <w:rFonts w:ascii="宋体" w:eastAsia="宋体" w:cs="宋体" w:hAnsi="宋体" w:hint="eastAsia"/>
                <w:i w:val="0"/>
                <w:iCs w:val="0"/>
                <w:color w:val="000000"/>
                <w:sz w:val="20"/>
                <w:szCs w:val="20"/>
                <w:u w:val="none"/>
                <w:highlight w:val="none"/>
              </w:rPr>
            </w:pP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19</w:t>
            </w:r>
          </w:p>
        </w:tc>
        <w:tc>
          <w:tcPr>
            <w:tcW w:w="176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3091"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十九、住房保障支出</w:t>
            </w:r>
          </w:p>
        </w:tc>
        <w:tc>
          <w:tcPr>
            <w:tcW w:w="675"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eastAsia="zh-CN"/>
                <w:highlight w:val="none"/>
              </w:rPr>
            </w:pPr>
            <w:r>
              <w:rPr>
                <w:rFonts w:ascii="Times New Roman" w:eastAsia="宋体" w:cs="Times New Roman" w:hAnsi="Times New Roman"/>
                <w:i w:val="0"/>
                <w:iCs w:val="0"/>
                <w:color w:val="000000"/>
                <w:sz w:val="20"/>
                <w:szCs w:val="20"/>
                <w:u w:val="none"/>
                <w:lang w:val="en-US" w:eastAsia="zh-CN"/>
                <w:highlight w:val="none"/>
              </w:rPr>
              <w:t>50</w:t>
            </w:r>
          </w:p>
        </w:tc>
        <w:tc>
          <w:tcPr>
            <w:tcW w:w="212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cs="Times New Roman" w:hAnsi="Times New Roman"/>
                <w:sz w:val="20"/>
                <w:szCs w:val="20"/>
                <w:highlight w:val="none"/>
              </w:rPr>
              <w:t>4.21</w:t>
            </w: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noWrap/>
            <w:vAlign w:val="center"/>
          </w:tcPr>
          <w:p>
            <w:pPr>
              <w:jc w:val="left"/>
              <w:rPr>
                <w:rFonts w:ascii="宋体" w:eastAsia="宋体" w:cs="宋体" w:hAnsi="宋体" w:hint="eastAsia"/>
                <w:i w:val="0"/>
                <w:iCs w:val="0"/>
                <w:color w:val="000000"/>
                <w:sz w:val="20"/>
                <w:szCs w:val="20"/>
                <w:u w:val="none"/>
                <w:highlight w:val="none"/>
              </w:rPr>
            </w:pP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20</w:t>
            </w:r>
          </w:p>
        </w:tc>
        <w:tc>
          <w:tcPr>
            <w:tcW w:w="176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3091"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二十、粮油物资储备支出</w:t>
            </w:r>
          </w:p>
        </w:tc>
        <w:tc>
          <w:tcPr>
            <w:tcW w:w="675"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none"/>
              </w:rPr>
            </w:pPr>
            <w:r>
              <w:rPr>
                <w:rFonts w:ascii="Times New Roman" w:eastAsia="宋体" w:cs="Times New Roman" w:hAnsi="Times New Roman"/>
                <w:i w:val="0"/>
                <w:iCs w:val="0"/>
                <w:color w:val="000000"/>
                <w:kern w:val="0"/>
                <w:sz w:val="20"/>
                <w:szCs w:val="20"/>
                <w:u w:val="none"/>
                <w:lang w:val="en-US" w:eastAsia="zh-CN"/>
                <w:highlight w:val="none"/>
              </w:rPr>
              <w:t>51</w:t>
            </w:r>
          </w:p>
        </w:tc>
        <w:tc>
          <w:tcPr>
            <w:tcW w:w="212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noWrap/>
            <w:vAlign w:val="center"/>
          </w:tcPr>
          <w:p>
            <w:pPr>
              <w:jc w:val="left"/>
              <w:rPr>
                <w:rFonts w:ascii="宋体" w:eastAsia="宋体" w:cs="宋体" w:hAnsi="宋体" w:hint="eastAsia"/>
                <w:i w:val="0"/>
                <w:iCs w:val="0"/>
                <w:color w:val="000000"/>
                <w:sz w:val="20"/>
                <w:szCs w:val="20"/>
                <w:u w:val="none"/>
                <w:highlight w:val="none"/>
              </w:rPr>
            </w:pP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21</w:t>
            </w:r>
          </w:p>
        </w:tc>
        <w:tc>
          <w:tcPr>
            <w:tcW w:w="176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3091"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二十一、国有资本经营预算支出</w:t>
            </w:r>
          </w:p>
        </w:tc>
        <w:tc>
          <w:tcPr>
            <w:tcW w:w="675"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none"/>
              </w:rPr>
            </w:pPr>
            <w:r>
              <w:rPr>
                <w:rFonts w:ascii="Times New Roman" w:eastAsia="宋体" w:cs="Times New Roman" w:hAnsi="Times New Roman"/>
                <w:i w:val="0"/>
                <w:iCs w:val="0"/>
                <w:color w:val="000000"/>
                <w:kern w:val="0"/>
                <w:sz w:val="20"/>
                <w:szCs w:val="20"/>
                <w:u w:val="none"/>
                <w:lang w:val="en-US" w:eastAsia="zh-CN"/>
                <w:highlight w:val="none"/>
              </w:rPr>
              <w:t>52</w:t>
            </w:r>
          </w:p>
        </w:tc>
        <w:tc>
          <w:tcPr>
            <w:tcW w:w="212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noWrap/>
            <w:vAlign w:val="center"/>
          </w:tcPr>
          <w:p>
            <w:pPr>
              <w:jc w:val="left"/>
              <w:rPr>
                <w:rFonts w:ascii="宋体" w:eastAsia="宋体" w:cs="宋体" w:hAnsi="宋体" w:hint="eastAsia"/>
                <w:i w:val="0"/>
                <w:iCs w:val="0"/>
                <w:color w:val="000000"/>
                <w:sz w:val="20"/>
                <w:szCs w:val="20"/>
                <w:u w:val="none"/>
                <w:highlight w:val="none"/>
              </w:rPr>
            </w:pP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22</w:t>
            </w:r>
          </w:p>
        </w:tc>
        <w:tc>
          <w:tcPr>
            <w:tcW w:w="176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3091"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18"/>
                <w:szCs w:val="18"/>
                <w:u w:val="none"/>
                <w:lang w:val="en-US" w:eastAsia="zh-CN"/>
                <w:highlight w:val="none"/>
              </w:rPr>
              <w:t>二十二、灾害防治及应急管理支出</w:t>
            </w:r>
          </w:p>
        </w:tc>
        <w:tc>
          <w:tcPr>
            <w:tcW w:w="675"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none"/>
              </w:rPr>
            </w:pPr>
            <w:r>
              <w:rPr>
                <w:rFonts w:ascii="Times New Roman" w:eastAsia="宋体" w:cs="Times New Roman" w:hAnsi="Times New Roman"/>
                <w:i w:val="0"/>
                <w:iCs w:val="0"/>
                <w:color w:val="000000"/>
                <w:kern w:val="0"/>
                <w:sz w:val="20"/>
                <w:szCs w:val="20"/>
                <w:u w:val="none"/>
                <w:lang w:val="en-US" w:eastAsia="zh-CN"/>
                <w:highlight w:val="none"/>
              </w:rPr>
              <w:t>53</w:t>
            </w:r>
          </w:p>
        </w:tc>
        <w:tc>
          <w:tcPr>
            <w:tcW w:w="212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noWrap/>
            <w:vAlign w:val="center"/>
          </w:tcPr>
          <w:p>
            <w:pPr>
              <w:jc w:val="left"/>
              <w:rPr>
                <w:rFonts w:ascii="宋体" w:eastAsia="宋体" w:cs="宋体" w:hAnsi="宋体" w:hint="eastAsia"/>
                <w:i w:val="0"/>
                <w:iCs w:val="0"/>
                <w:color w:val="000000"/>
                <w:sz w:val="20"/>
                <w:szCs w:val="20"/>
                <w:u w:val="none"/>
                <w:highlight w:val="none"/>
              </w:rPr>
            </w:pP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23</w:t>
            </w:r>
          </w:p>
        </w:tc>
        <w:tc>
          <w:tcPr>
            <w:tcW w:w="176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3091"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二十三、其他支出</w:t>
            </w:r>
          </w:p>
        </w:tc>
        <w:tc>
          <w:tcPr>
            <w:tcW w:w="675"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none"/>
              </w:rPr>
            </w:pPr>
            <w:r>
              <w:rPr>
                <w:rFonts w:ascii="Times New Roman" w:eastAsia="宋体" w:cs="Times New Roman" w:hAnsi="Times New Roman"/>
                <w:i w:val="0"/>
                <w:iCs w:val="0"/>
                <w:color w:val="000000"/>
                <w:kern w:val="0"/>
                <w:sz w:val="20"/>
                <w:szCs w:val="20"/>
                <w:u w:val="none"/>
                <w:lang w:val="en-US" w:eastAsia="zh-CN"/>
                <w:highlight w:val="none"/>
              </w:rPr>
              <w:t>54</w:t>
            </w:r>
          </w:p>
        </w:tc>
        <w:tc>
          <w:tcPr>
            <w:tcW w:w="212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noWrap/>
            <w:vAlign w:val="center"/>
          </w:tcPr>
          <w:p>
            <w:pPr>
              <w:jc w:val="left"/>
              <w:rPr>
                <w:rFonts w:ascii="宋体" w:eastAsia="宋体" w:cs="宋体" w:hAnsi="宋体" w:hint="eastAsia"/>
                <w:i w:val="0"/>
                <w:iCs w:val="0"/>
                <w:color w:val="000000"/>
                <w:sz w:val="20"/>
                <w:szCs w:val="20"/>
                <w:u w:val="none"/>
                <w:highlight w:val="none"/>
              </w:rPr>
            </w:pP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24</w:t>
            </w:r>
          </w:p>
        </w:tc>
        <w:tc>
          <w:tcPr>
            <w:tcW w:w="176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3091"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二十四、债务还本支出</w:t>
            </w:r>
          </w:p>
        </w:tc>
        <w:tc>
          <w:tcPr>
            <w:tcW w:w="675"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none"/>
              </w:rPr>
            </w:pPr>
            <w:r>
              <w:rPr>
                <w:rFonts w:ascii="Times New Roman" w:eastAsia="宋体" w:cs="Times New Roman" w:hAnsi="Times New Roman"/>
                <w:i w:val="0"/>
                <w:iCs w:val="0"/>
                <w:color w:val="000000"/>
                <w:kern w:val="0"/>
                <w:sz w:val="20"/>
                <w:szCs w:val="20"/>
                <w:u w:val="none"/>
                <w:lang w:val="en-US" w:eastAsia="zh-CN"/>
                <w:highlight w:val="none"/>
              </w:rPr>
              <w:t>55</w:t>
            </w:r>
          </w:p>
        </w:tc>
        <w:tc>
          <w:tcPr>
            <w:tcW w:w="212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noWrap/>
            <w:vAlign w:val="center"/>
          </w:tcPr>
          <w:p>
            <w:pPr>
              <w:jc w:val="left"/>
              <w:rPr>
                <w:rFonts w:ascii="宋体" w:eastAsia="宋体" w:cs="宋体" w:hAnsi="宋体" w:hint="eastAsia"/>
                <w:i w:val="0"/>
                <w:iCs w:val="0"/>
                <w:color w:val="000000"/>
                <w:sz w:val="20"/>
                <w:szCs w:val="20"/>
                <w:u w:val="none"/>
                <w:highlight w:val="none"/>
              </w:rPr>
            </w:pP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25</w:t>
            </w:r>
          </w:p>
        </w:tc>
        <w:tc>
          <w:tcPr>
            <w:tcW w:w="176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3091"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二十五、债务付息支出</w:t>
            </w:r>
          </w:p>
        </w:tc>
        <w:tc>
          <w:tcPr>
            <w:tcW w:w="675"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none"/>
              </w:rPr>
            </w:pPr>
            <w:r>
              <w:rPr>
                <w:rFonts w:ascii="Times New Roman" w:eastAsia="宋体" w:cs="Times New Roman" w:hAnsi="Times New Roman"/>
                <w:i w:val="0"/>
                <w:iCs w:val="0"/>
                <w:color w:val="000000"/>
                <w:kern w:val="0"/>
                <w:sz w:val="20"/>
                <w:szCs w:val="20"/>
                <w:u w:val="none"/>
                <w:lang w:val="en-US" w:eastAsia="zh-CN"/>
                <w:highlight w:val="none"/>
              </w:rPr>
              <w:t>56</w:t>
            </w:r>
          </w:p>
        </w:tc>
        <w:tc>
          <w:tcPr>
            <w:tcW w:w="212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noWrap/>
            <w:vAlign w:val="center"/>
          </w:tcPr>
          <w:p>
            <w:pPr>
              <w:jc w:val="left"/>
              <w:rPr>
                <w:rFonts w:ascii="宋体" w:eastAsia="宋体" w:cs="宋体" w:hAnsi="宋体" w:hint="eastAsia"/>
                <w:i w:val="0"/>
                <w:iCs w:val="0"/>
                <w:color w:val="000000"/>
                <w:sz w:val="20"/>
                <w:szCs w:val="20"/>
                <w:u w:val="none"/>
                <w:highlight w:val="none"/>
              </w:rPr>
            </w:pP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26</w:t>
            </w:r>
          </w:p>
        </w:tc>
        <w:tc>
          <w:tcPr>
            <w:tcW w:w="176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3091"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18"/>
                <w:szCs w:val="18"/>
                <w:u w:val="none"/>
                <w:lang w:val="en-US" w:eastAsia="zh-CN"/>
                <w:highlight w:val="none"/>
              </w:rPr>
              <w:t>二十六、抗疫特别国债安排的支出</w:t>
            </w:r>
          </w:p>
        </w:tc>
        <w:tc>
          <w:tcPr>
            <w:tcW w:w="675"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none"/>
              </w:rPr>
            </w:pPr>
            <w:r>
              <w:rPr>
                <w:rFonts w:ascii="Times New Roman" w:eastAsia="宋体" w:cs="Times New Roman" w:hAnsi="Times New Roman"/>
                <w:i w:val="0"/>
                <w:iCs w:val="0"/>
                <w:color w:val="000000"/>
                <w:kern w:val="0"/>
                <w:sz w:val="20"/>
                <w:szCs w:val="20"/>
                <w:u w:val="none"/>
                <w:lang w:val="en-US" w:eastAsia="zh-CN"/>
                <w:highlight w:val="none"/>
              </w:rPr>
              <w:t>57</w:t>
            </w:r>
          </w:p>
        </w:tc>
        <w:tc>
          <w:tcPr>
            <w:tcW w:w="212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b/>
                <w:bCs/>
                <w:i w:val="0"/>
                <w:iCs w:val="0"/>
                <w:color w:val="000000"/>
                <w:sz w:val="20"/>
                <w:szCs w:val="20"/>
                <w:u w:val="none"/>
                <w:highlight w:val="none"/>
              </w:rPr>
            </w:pPr>
            <w:r>
              <w:rPr>
                <w:rFonts w:ascii="方正仿宋_GB2312" w:eastAsia="方正仿宋_GB2312" w:cs="方正仿宋_GB2312" w:hAnsi="方正仿宋_GB2312" w:hint="eastAsia"/>
                <w:b/>
                <w:bCs/>
                <w:i w:val="0"/>
                <w:iCs w:val="0"/>
                <w:color w:val="000000"/>
                <w:kern w:val="0"/>
                <w:sz w:val="20"/>
                <w:szCs w:val="20"/>
                <w:u w:val="none"/>
                <w:lang w:val="en-US" w:eastAsia="zh-CN"/>
                <w:highlight w:val="none"/>
              </w:rPr>
              <w:t>本年收入合计</w:t>
            </w: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27</w:t>
            </w:r>
          </w:p>
        </w:tc>
        <w:tc>
          <w:tcPr>
            <w:tcW w:w="176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cs="Times New Roman" w:hAnsi="Times New Roman"/>
                <w:sz w:val="20"/>
                <w:szCs w:val="20"/>
                <w:highlight w:val="none"/>
              </w:rPr>
              <w:t>127.89</w:t>
            </w:r>
          </w:p>
        </w:tc>
        <w:tc>
          <w:tcPr>
            <w:tcW w:w="3091"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b/>
                <w:bCs/>
                <w:i w:val="0"/>
                <w:iCs w:val="0"/>
                <w:color w:val="000000"/>
                <w:sz w:val="20"/>
                <w:szCs w:val="20"/>
                <w:u w:val="none"/>
                <w:highlight w:val="none"/>
              </w:rPr>
            </w:pPr>
            <w:r>
              <w:rPr>
                <w:rFonts w:ascii="方正仿宋_GB2312" w:eastAsia="方正仿宋_GB2312" w:cs="方正仿宋_GB2312" w:hAnsi="方正仿宋_GB2312" w:hint="eastAsia"/>
                <w:b/>
                <w:bCs/>
                <w:i w:val="0"/>
                <w:iCs w:val="0"/>
                <w:color w:val="000000"/>
                <w:kern w:val="0"/>
                <w:sz w:val="20"/>
                <w:szCs w:val="20"/>
                <w:u w:val="none"/>
                <w:lang w:val="en-US" w:eastAsia="zh-CN"/>
                <w:highlight w:val="none"/>
              </w:rPr>
              <w:t>本年支出合计</w:t>
            </w:r>
          </w:p>
        </w:tc>
        <w:tc>
          <w:tcPr>
            <w:tcW w:w="675"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none"/>
              </w:rPr>
            </w:pPr>
            <w:r>
              <w:rPr>
                <w:rFonts w:ascii="Times New Roman" w:eastAsia="宋体" w:cs="Times New Roman" w:hAnsi="Times New Roman"/>
                <w:i w:val="0"/>
                <w:iCs w:val="0"/>
                <w:color w:val="000000"/>
                <w:kern w:val="0"/>
                <w:sz w:val="20"/>
                <w:szCs w:val="20"/>
                <w:u w:val="none"/>
                <w:lang w:val="en-US" w:eastAsia="zh-CN"/>
                <w:highlight w:val="none"/>
              </w:rPr>
              <w:t>58</w:t>
            </w:r>
          </w:p>
        </w:tc>
        <w:tc>
          <w:tcPr>
            <w:tcW w:w="212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cs="Times New Roman" w:hAnsi="Times New Roman"/>
                <w:sz w:val="20"/>
                <w:szCs w:val="20"/>
                <w:highlight w:val="none"/>
              </w:rPr>
              <w:t>127.89</w:t>
            </w: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使用非财政拨款结余（含专用结余）</w:t>
            </w: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28</w:t>
            </w:r>
          </w:p>
        </w:tc>
        <w:tc>
          <w:tcPr>
            <w:tcW w:w="176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3091"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结余分配</w:t>
            </w:r>
          </w:p>
        </w:tc>
        <w:tc>
          <w:tcPr>
            <w:tcW w:w="675"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none"/>
              </w:rPr>
            </w:pPr>
            <w:r>
              <w:rPr>
                <w:rFonts w:ascii="Times New Roman" w:eastAsia="宋体" w:cs="Times New Roman" w:hAnsi="Times New Roman"/>
                <w:i w:val="0"/>
                <w:iCs w:val="0"/>
                <w:color w:val="000000"/>
                <w:kern w:val="0"/>
                <w:sz w:val="20"/>
                <w:szCs w:val="20"/>
                <w:u w:val="none"/>
                <w:lang w:val="en-US" w:eastAsia="zh-CN"/>
                <w:highlight w:val="none"/>
              </w:rPr>
              <w:t>59</w:t>
            </w:r>
          </w:p>
        </w:tc>
        <w:tc>
          <w:tcPr>
            <w:tcW w:w="212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年初结转和结余</w:t>
            </w: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29</w:t>
            </w:r>
          </w:p>
        </w:tc>
        <w:tc>
          <w:tcPr>
            <w:tcW w:w="176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3091"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年末结转和结余</w:t>
            </w:r>
          </w:p>
        </w:tc>
        <w:tc>
          <w:tcPr>
            <w:tcW w:w="675"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eastAsia="zh-CN"/>
                <w:highlight w:val="none"/>
              </w:rPr>
            </w:pPr>
            <w:r>
              <w:rPr>
                <w:rFonts w:ascii="Times New Roman" w:eastAsia="宋体" w:cs="Times New Roman" w:hAnsi="Times New Roman"/>
                <w:i w:val="0"/>
                <w:iCs w:val="0"/>
                <w:color w:val="000000"/>
                <w:sz w:val="20"/>
                <w:szCs w:val="20"/>
                <w:u w:val="none"/>
                <w:lang w:val="en-US" w:eastAsia="zh-CN"/>
                <w:highlight w:val="none"/>
              </w:rPr>
              <w:t>60</w:t>
            </w:r>
          </w:p>
        </w:tc>
        <w:tc>
          <w:tcPr>
            <w:tcW w:w="212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b/>
                <w:bCs/>
                <w:i w:val="0"/>
                <w:iCs w:val="0"/>
                <w:color w:val="000000"/>
                <w:kern w:val="0"/>
                <w:sz w:val="20"/>
                <w:szCs w:val="20"/>
                <w:u w:val="none"/>
                <w:lang w:val="en-US" w:eastAsia="zh-CN"/>
                <w:highlight w:val="none"/>
              </w:rPr>
            </w:pP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kern w:val="0"/>
                <w:sz w:val="20"/>
                <w:szCs w:val="20"/>
                <w:u w:val="none"/>
                <w:lang w:val="en-US" w:eastAsia="zh-CN"/>
                <w:highlight w:val="none"/>
              </w:rPr>
            </w:pPr>
            <w:r>
              <w:rPr>
                <w:rFonts w:ascii="Times New Roman" w:eastAsia="宋体" w:cs="Times New Roman" w:hAnsi="Times New Roman"/>
                <w:i w:val="0"/>
                <w:iCs w:val="0"/>
                <w:color w:val="000000"/>
                <w:kern w:val="0"/>
                <w:sz w:val="20"/>
                <w:szCs w:val="20"/>
                <w:u w:val="none"/>
                <w:lang w:val="en-US" w:eastAsia="zh-CN"/>
                <w:highlight w:val="none"/>
              </w:rPr>
              <w:t>30</w:t>
            </w:r>
          </w:p>
        </w:tc>
        <w:tc>
          <w:tcPr>
            <w:tcW w:w="176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3091"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b/>
                <w:bCs/>
                <w:i w:val="0"/>
                <w:iCs w:val="0"/>
                <w:color w:val="000000"/>
                <w:kern w:val="0"/>
                <w:sz w:val="20"/>
                <w:szCs w:val="20"/>
                <w:u w:val="none"/>
                <w:lang w:val="en-US" w:eastAsia="zh-CN"/>
                <w:highlight w:val="none"/>
              </w:rPr>
            </w:pPr>
          </w:p>
        </w:tc>
        <w:tc>
          <w:tcPr>
            <w:tcW w:w="675"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kern w:val="0"/>
                <w:sz w:val="20"/>
                <w:szCs w:val="20"/>
                <w:u w:val="none"/>
                <w:lang w:val="en-US" w:eastAsia="zh-CN"/>
                <w:highlight w:val="none"/>
              </w:rPr>
            </w:pPr>
            <w:r>
              <w:rPr>
                <w:rFonts w:ascii="Times New Roman" w:eastAsia="宋体" w:cs="Times New Roman" w:hAnsi="Times New Roman"/>
                <w:i w:val="0"/>
                <w:iCs w:val="0"/>
                <w:color w:val="000000"/>
                <w:kern w:val="0"/>
                <w:sz w:val="20"/>
                <w:szCs w:val="20"/>
                <w:u w:val="none"/>
                <w:lang w:val="en-US" w:eastAsia="zh-CN"/>
                <w:highlight w:val="none"/>
              </w:rPr>
              <w:t>61</w:t>
            </w:r>
          </w:p>
        </w:tc>
        <w:tc>
          <w:tcPr>
            <w:tcW w:w="212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308"/>
          <w:gridAfter w:val="1"/>
          <w:wAfter w:w="34" w:type="dxa"/>
        </w:trPr>
        <w:tc>
          <w:tcPr>
            <w:tcW w:w="3346"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b/>
                <w:bCs/>
                <w:i w:val="0"/>
                <w:iCs w:val="0"/>
                <w:color w:val="000000"/>
                <w:sz w:val="20"/>
                <w:szCs w:val="20"/>
                <w:u w:val="none"/>
                <w:highlight w:val="none"/>
              </w:rPr>
            </w:pPr>
            <w:r>
              <w:rPr>
                <w:rFonts w:ascii="方正仿宋_GB2312" w:eastAsia="方正仿宋_GB2312" w:cs="方正仿宋_GB2312" w:hAnsi="方正仿宋_GB2312" w:hint="eastAsia"/>
                <w:b/>
                <w:bCs/>
                <w:i w:val="0"/>
                <w:iCs w:val="0"/>
                <w:color w:val="000000"/>
                <w:kern w:val="0"/>
                <w:sz w:val="20"/>
                <w:szCs w:val="20"/>
                <w:u w:val="none"/>
                <w:lang w:val="en-US" w:eastAsia="zh-CN"/>
                <w:highlight w:val="none"/>
              </w:rPr>
              <w:t>总计</w:t>
            </w: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none"/>
              </w:rPr>
            </w:pPr>
            <w:r>
              <w:rPr>
                <w:rFonts w:ascii="Times New Roman" w:eastAsia="宋体" w:cs="Times New Roman" w:hAnsi="Times New Roman"/>
                <w:i w:val="0"/>
                <w:iCs w:val="0"/>
                <w:color w:val="000000"/>
                <w:kern w:val="0"/>
                <w:sz w:val="20"/>
                <w:szCs w:val="20"/>
                <w:u w:val="none"/>
                <w:lang w:val="en-US" w:eastAsia="zh-CN"/>
                <w:highlight w:val="none"/>
              </w:rPr>
              <w:t>31</w:t>
            </w:r>
          </w:p>
        </w:tc>
        <w:tc>
          <w:tcPr>
            <w:tcW w:w="176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cs="Times New Roman" w:hAnsi="Times New Roman"/>
                <w:sz w:val="20"/>
                <w:szCs w:val="20"/>
                <w:highlight w:val="none"/>
              </w:rPr>
              <w:t>127.89</w:t>
            </w:r>
          </w:p>
        </w:tc>
        <w:tc>
          <w:tcPr>
            <w:tcW w:w="3091"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b/>
                <w:bCs/>
                <w:i w:val="0"/>
                <w:iCs w:val="0"/>
                <w:color w:val="000000"/>
                <w:sz w:val="20"/>
                <w:szCs w:val="20"/>
                <w:u w:val="none"/>
                <w:highlight w:val="none"/>
              </w:rPr>
            </w:pPr>
            <w:r>
              <w:rPr>
                <w:rFonts w:ascii="方正仿宋_GB2312" w:eastAsia="方正仿宋_GB2312" w:cs="方正仿宋_GB2312" w:hAnsi="方正仿宋_GB2312" w:hint="eastAsia"/>
                <w:b/>
                <w:bCs/>
                <w:i w:val="0"/>
                <w:iCs w:val="0"/>
                <w:color w:val="000000"/>
                <w:kern w:val="0"/>
                <w:sz w:val="20"/>
                <w:szCs w:val="20"/>
                <w:u w:val="none"/>
                <w:lang w:val="en-US" w:eastAsia="zh-CN"/>
                <w:highlight w:val="none"/>
              </w:rPr>
              <w:t>总计</w:t>
            </w:r>
          </w:p>
        </w:tc>
        <w:tc>
          <w:tcPr>
            <w:tcW w:w="675"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none"/>
              </w:rPr>
            </w:pPr>
            <w:r>
              <w:rPr>
                <w:rFonts w:ascii="Times New Roman" w:eastAsia="宋体" w:cs="Times New Roman" w:hAnsi="Times New Roman"/>
                <w:i w:val="0"/>
                <w:iCs w:val="0"/>
                <w:color w:val="000000"/>
                <w:kern w:val="0"/>
                <w:sz w:val="20"/>
                <w:szCs w:val="20"/>
                <w:u w:val="none"/>
                <w:lang w:val="en-US" w:eastAsia="zh-CN"/>
                <w:highlight w:val="none"/>
              </w:rPr>
              <w:t>62</w:t>
            </w:r>
          </w:p>
        </w:tc>
        <w:tc>
          <w:tcPr>
            <w:tcW w:w="212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cs="Times New Roman" w:hAnsi="Times New Roman"/>
                <w:sz w:val="20"/>
                <w:szCs w:val="20"/>
                <w:highlight w:val="none"/>
              </w:rPr>
              <w:t>127.89</w:t>
            </w:r>
          </w:p>
        </w:tc>
      </w:tr>
      <w:tr>
        <w:trPr>
          <w:trHeight w:val="308"/>
        </w:trPr>
        <w:tc>
          <w:tcPr>
            <w:tcW w:w="11659" w:type="dxa"/>
            <w:gridSpan w:val="9"/>
            <w:tcBorders>
              <w:top w:val="nil"/>
              <w:left w:val="nil"/>
              <w:bottom w:val="nil"/>
              <w:right w:val="nil"/>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kern w:val="0"/>
                <w:sz w:val="20"/>
                <w:szCs w:val="20"/>
                <w:u w:val="none"/>
                <w:lang w:val="en-US" w:eastAsia="zh-CN"/>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注：1.本表反映部门本年度的总收支和年末结转结余情况。</w:t>
            </w:r>
          </w:p>
          <w:p>
            <w:pPr>
              <w:keepNext w:val="0"/>
              <w:keepLines w:val="0"/>
              <w:widowControl/>
              <w:suppressLineNumbers w:val="0"/>
              <w:ind w:firstLineChars="200" w:firstLine="400"/>
              <w:jc w:val="left"/>
              <w:textAlignment w:val="center"/>
              <w:rPr>
                <w:rFonts w:ascii="宋体" w:eastAsia="宋体" w:cs="宋体" w:hAnsi="宋体"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2.本套报表金额转换时可能存在尾数误差。</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ascii="仿宋_GB2312" w:eastAsia="仿宋_GB2312" w:hAnsi="宋体" w:hint="eastAsia"/>
          <w:b/>
          <w:color w:val="auto"/>
          <w:kern w:val="0"/>
          <w:sz w:val="32"/>
          <w:szCs w:val="32"/>
          <w:highlight w:val="none"/>
        </w:rPr>
      </w:pPr>
    </w:p>
    <w:p>
      <w:pPr>
        <w:rPr>
          <w:rFonts w:ascii="仿宋_GB2312" w:eastAsia="仿宋_GB2312" w:hAnsi="宋体" w:hint="eastAsia"/>
          <w:b/>
          <w:color w:val="auto"/>
          <w:kern w:val="0"/>
          <w:sz w:val="32"/>
          <w:szCs w:val="32"/>
          <w:highlight w:val="none"/>
        </w:rPr>
      </w:pPr>
      <w:r>
        <w:rPr>
          <w:rFonts w:ascii="仿宋_GB2312" w:eastAsia="仿宋_GB2312" w:hAnsi="宋体" w:hint="eastAsia"/>
          <w:b/>
          <w:color w:val="auto"/>
          <w:kern w:val="0"/>
          <w:sz w:val="32"/>
          <w:szCs w:val="32"/>
          <w:highlight w:val="none"/>
        </w:rPr>
        <w:br w:type="page"/>
      </w:r>
    </w:p>
    <w:tbl>
      <w:tblPr>
        <w:jc w:val="center"/>
        <w:tblW w:w="9230"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Look w:val="0600" w:firstRow="0" w:lastRow="0" w:firstColumn="0" w:lastColumn="0" w:noHBand="1" w:noVBand="1"/>
      </w:tblPr>
      <w:tblGrid>
        <w:gridCol w:w="1040"/>
        <w:gridCol w:w="1160"/>
        <w:gridCol w:w="1037"/>
        <w:gridCol w:w="1037"/>
        <w:gridCol w:w="1037"/>
        <w:gridCol w:w="964"/>
        <w:gridCol w:w="367"/>
        <w:gridCol w:w="597"/>
        <w:gridCol w:w="1027"/>
        <w:gridCol w:w="964"/>
      </w:tblGrid>
      <w:tr>
        <w:trPr>
          <w:trHeight w:val="550"/>
        </w:trPr>
        <w:tc>
          <w:tcPr>
            <w:tcW w:w="9230" w:type="dxa"/>
            <w:gridSpan w:val="10"/>
            <w:tcBorders>
              <w:top w:val="nil"/>
              <w:left w:val="nil"/>
              <w:bottom w:val="nil"/>
              <w:right w:val="nil"/>
            </w:tcBorders>
            <w:noWrap/>
            <w:vAlign w:val="bottom"/>
          </w:tcPr>
          <w:p>
            <w:pPr>
              <w:keepNext w:val="0"/>
              <w:keepLines w:val="0"/>
              <w:widowControl/>
              <w:suppressLineNumbers w:val="0"/>
              <w:jc w:val="center"/>
              <w:textAlignment w:val="bottom"/>
              <w:rPr>
                <w:rFonts w:ascii="宋体" w:eastAsia="宋体" w:cs="宋体" w:hAnsi="宋体" w:hint="eastAsia"/>
                <w:i w:val="0"/>
                <w:iCs w:val="0"/>
                <w:color w:val="000000"/>
                <w:sz w:val="20"/>
                <w:szCs w:val="20"/>
                <w:u w:val="none"/>
                <w:highlight w:val="none"/>
              </w:rPr>
            </w:pPr>
            <w:r>
              <w:rPr>
                <w:rFonts w:ascii="方正仿宋_GB2312" w:eastAsia="方正仿宋_GB2312" w:cs="方正仿宋_GB2312" w:hAnsi="方正仿宋_GB2312" w:hint="eastAsia"/>
                <w:b w:val="0"/>
                <w:bCs/>
                <w:color w:val="auto"/>
                <w:kern w:val="0"/>
                <w:sz w:val="32"/>
                <w:szCs w:val="32"/>
                <w:lang w:val="en-US" w:eastAsia="zh-CN"/>
                <w:highlight w:val="none"/>
              </w:rPr>
              <w:t>收入决算表</w:t>
            </w:r>
          </w:p>
        </w:tc>
      </w:tr>
      <w:tr>
        <w:trPr>
          <w:trHeight w:val="300"/>
        </w:trPr>
        <w:tc>
          <w:tcPr>
            <w:tcW w:w="9230" w:type="dxa"/>
            <w:gridSpan w:val="10"/>
            <w:tcBorders>
              <w:top w:val="nil"/>
              <w:left w:val="nil"/>
              <w:bottom w:val="nil"/>
              <w:right w:val="nil"/>
            </w:tcBorders>
            <w:noWrap/>
            <w:vAlign w:val="bottom"/>
          </w:tcPr>
          <w:p>
            <w:pPr>
              <w:keepNext w:val="0"/>
              <w:keepLines w:val="0"/>
              <w:widowControl/>
              <w:suppressLineNumbers w:val="0"/>
              <w:jc w:val="right"/>
              <w:textAlignment w:val="bottom"/>
              <w:rPr>
                <w:rFonts w:ascii="宋体" w:eastAsia="宋体" w:cs="宋体" w:hAnsi="宋体"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公开</w:t>
            </w:r>
            <w:r>
              <w:rPr>
                <w:rFonts w:ascii="Times New Roman" w:eastAsia="宋体" w:cs="Times New Roman" w:hAnsi="Times New Roman" w:hint="eastAsia"/>
                <w:i w:val="0"/>
                <w:iCs w:val="0"/>
                <w:color w:val="000000"/>
                <w:sz w:val="20"/>
                <w:szCs w:val="20"/>
                <w:u w:val="none"/>
                <w:lang w:val="en-US" w:eastAsia="zh-CN"/>
                <w:highlight w:val="none"/>
              </w:rPr>
              <w:t>02</w:t>
            </w:r>
            <w:r>
              <w:rPr>
                <w:rFonts w:ascii="方正仿宋_GB2312" w:eastAsia="方正仿宋_GB2312" w:cs="方正仿宋_GB2312" w:hAnsi="方正仿宋_GB2312" w:hint="eastAsia"/>
                <w:i w:val="0"/>
                <w:iCs w:val="0"/>
                <w:color w:val="000000"/>
                <w:kern w:val="0"/>
                <w:sz w:val="20"/>
                <w:szCs w:val="20"/>
                <w:u w:val="none"/>
                <w:lang w:val="en-US" w:eastAsia="zh-CN"/>
                <w:highlight w:val="none"/>
              </w:rPr>
              <w:t>表</w:t>
            </w:r>
          </w:p>
        </w:tc>
      </w:tr>
      <w:tr>
        <w:trPr>
          <w:trHeight w:val="300"/>
        </w:trPr>
        <w:tc>
          <w:tcPr>
            <w:tcW w:w="3237" w:type="dxa"/>
            <w:gridSpan w:val="3"/>
            <w:tcBorders>
              <w:top w:val="nil"/>
              <w:left w:val="nil"/>
              <w:bottom w:val="single" w:sz="8" w:space="0" w:color="000000"/>
              <w:right w:val="nil"/>
            </w:tcBorders>
            <w:noWrap/>
            <w:vAlign w:val="bottom"/>
          </w:tcPr>
          <w:p>
            <w:pP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 xml:space="preserve">部门（单位）：行唐县房地产管理所                                                                                                         </w:t>
            </w:r>
          </w:p>
        </w:tc>
        <w:tc>
          <w:tcPr>
            <w:tcW w:w="3405" w:type="dxa"/>
            <w:gridSpan w:val="4"/>
            <w:tcBorders>
              <w:top w:val="nil"/>
              <w:left w:val="nil"/>
              <w:bottom w:val="single" w:sz="8" w:space="0" w:color="000000"/>
              <w:right w:val="nil"/>
            </w:tcBorders>
            <w:noWrap/>
            <w:vAlign w:val="bottom"/>
          </w:tcPr>
          <w:p>
            <w:pPr>
              <w:jc w:val="center"/>
              <w:rPr>
                <w:rFonts w:ascii="方正仿宋_GB2312" w:eastAsia="方正仿宋_GB2312" w:cs="方正仿宋_GB2312" w:hAnsi="方正仿宋_GB2312" w:hint="eastAsia"/>
                <w:i w:val="0"/>
                <w:iCs w:val="0"/>
                <w:color w:val="000000"/>
                <w:kern w:val="0"/>
                <w:sz w:val="20"/>
                <w:szCs w:val="20"/>
                <w:u w:val="none"/>
                <w:lang w:val="en-US" w:eastAsia="zh-CN"/>
                <w:highlight w:val="none"/>
              </w:rPr>
            </w:pPr>
            <w:r>
              <w:rPr>
                <w:rFonts w:ascii="Times New Roman" w:eastAsia="方正仿宋_GB2312" w:cs="Times New Roman" w:hAnsi="Times New Roman"/>
                <w:i w:val="0"/>
                <w:iCs w:val="0"/>
                <w:color w:val="000000"/>
                <w:sz w:val="20"/>
                <w:szCs w:val="20"/>
                <w:u w:val="none"/>
                <w:lang w:val="en-US" w:eastAsia="zh-CN"/>
                <w:highlight w:val="none"/>
              </w:rPr>
              <w:t>202</w:t>
            </w:r>
            <w:r>
              <w:rPr>
                <w:rFonts w:ascii="Times New Roman" w:eastAsia="方正仿宋_GB2312" w:cs="Times New Roman" w:hAnsi="Times New Roman" w:hint="eastAsia"/>
                <w:i w:val="0"/>
                <w:iCs w:val="0"/>
                <w:color w:val="000000"/>
                <w:sz w:val="20"/>
                <w:szCs w:val="20"/>
                <w:u w:val="none"/>
                <w:lang w:val="en-US" w:eastAsia="zh-CN"/>
                <w:highlight w:val="none"/>
              </w:rPr>
              <w:t>5</w:t>
            </w:r>
            <w:r>
              <w:rPr>
                <w:rFonts w:ascii="方正仿宋_GB2312" w:eastAsia="方正仿宋_GB2312" w:cs="方正仿宋_GB2312" w:hAnsi="方正仿宋_GB2312" w:hint="eastAsia"/>
                <w:i w:val="0"/>
                <w:iCs w:val="0"/>
                <w:color w:val="000000"/>
                <w:kern w:val="0"/>
                <w:sz w:val="20"/>
                <w:szCs w:val="20"/>
                <w:u w:val="none"/>
                <w:lang w:val="en-US" w:eastAsia="zh-CN"/>
                <w:highlight w:val="none"/>
              </w:rPr>
              <w:t>年度</w:t>
            </w:r>
          </w:p>
        </w:tc>
        <w:tc>
          <w:tcPr>
            <w:tcW w:w="2588" w:type="dxa"/>
            <w:gridSpan w:val="3"/>
            <w:tcBorders>
              <w:top w:val="nil"/>
              <w:left w:val="nil"/>
              <w:bottom w:val="single" w:sz="8" w:space="0" w:color="000000"/>
              <w:right w:val="nil"/>
            </w:tcBorders>
            <w:noWrap/>
            <w:vAlign w:val="bottom"/>
          </w:tcPr>
          <w:p>
            <w:pPr>
              <w:jc w:val="right"/>
              <w:rPr>
                <w:rFonts w:ascii="方正仿宋_GB2312" w:eastAsia="方正仿宋_GB2312" w:cs="方正仿宋_GB2312" w:hAnsi="方正仿宋_GB2312" w:hint="eastAsia"/>
                <w:i w:val="0"/>
                <w:iCs w:val="0"/>
                <w:color w:val="000000"/>
                <w:kern w:val="0"/>
                <w:sz w:val="20"/>
                <w:szCs w:val="20"/>
                <w:u w:val="none"/>
                <w:lang w:val="en-US" w:eastAsia="zh-CN"/>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金额单位：万元</w:t>
            </w:r>
          </w:p>
        </w:tc>
      </w:tr>
      <w:tr>
        <w:trPr>
          <w:trHeight w:val="510"/>
        </w:trPr>
        <w:tc>
          <w:tcPr>
            <w:tcW w:w="2200"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项目</w:t>
            </w:r>
          </w:p>
        </w:tc>
        <w:tc>
          <w:tcPr>
            <w:tcW w:w="1037"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本年收入合计</w:t>
            </w:r>
          </w:p>
        </w:tc>
        <w:tc>
          <w:tcPr>
            <w:tcW w:w="1037"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财政拨款收入</w:t>
            </w:r>
          </w:p>
        </w:tc>
        <w:tc>
          <w:tcPr>
            <w:tcW w:w="1037"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上级补助收入</w:t>
            </w:r>
          </w:p>
        </w:tc>
        <w:tc>
          <w:tcPr>
            <w:tcW w:w="964"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事业收入</w:t>
            </w:r>
          </w:p>
        </w:tc>
        <w:tc>
          <w:tcPr>
            <w:tcW w:w="964" w:type="dxa"/>
            <w:gridSpan w:val="2"/>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经营收入</w:t>
            </w:r>
          </w:p>
        </w:tc>
        <w:tc>
          <w:tcPr>
            <w:tcW w:w="1027"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附属单位上缴收入</w:t>
            </w:r>
          </w:p>
        </w:tc>
        <w:tc>
          <w:tcPr>
            <w:tcW w:w="964"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其他收入</w:t>
            </w:r>
          </w:p>
        </w:tc>
      </w:tr>
      <w:tr>
        <w:trPr>
          <w:trHeight w:val="312"/>
        </w:trPr>
        <w:tc>
          <w:tcPr>
            <w:tcW w:w="1040"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lang w:val="en-US" w:eastAsia="zh-CN"/>
                <w:highlight w:val="none"/>
              </w:rPr>
            </w:pPr>
            <w:r>
              <w:rPr>
                <w:rFonts w:ascii="方正仿宋_GB2312" w:eastAsia="方正仿宋_GB2312" w:cs="方正仿宋_GB2312" w:hAnsi="方正仿宋_GB2312" w:hint="eastAsia"/>
                <w:i w:val="0"/>
                <w:iCs w:val="0"/>
                <w:color w:val="000000"/>
                <w:sz w:val="20"/>
                <w:szCs w:val="20"/>
                <w:u w:val="none"/>
                <w:lang w:val="en-US" w:eastAsia="zh-CN"/>
                <w:highlight w:val="none"/>
              </w:rPr>
              <w:t>科目代码</w:t>
            </w:r>
          </w:p>
        </w:tc>
        <w:tc>
          <w:tcPr>
            <w:tcW w:w="1160" w:type="dxa"/>
            <w:vMerge w:val="restart"/>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科目名称</w:t>
            </w:r>
          </w:p>
        </w:tc>
        <w:tc>
          <w:tcPr>
            <w:tcW w:w="1037" w:type="dxa"/>
            <w:vMerge/>
            <w:tcBorders>
              <w:top w:val="single" w:sz="8" w:space="0" w:color="000000"/>
              <w:left w:val="single" w:sz="8" w:space="0" w:color="000000"/>
              <w:bottom w:val="single" w:sz="8" w:space="0" w:color="000000"/>
              <w:right w:val="single" w:sz="8" w:space="0" w:color="000000"/>
            </w:tcBorders>
            <w:vAlign w:val="center"/>
          </w:tcPr>
          <w:p/>
        </w:tc>
        <w:tc>
          <w:tcPr>
            <w:tcW w:w="1037" w:type="dxa"/>
            <w:vMerge/>
            <w:tcBorders>
              <w:top w:val="single" w:sz="8" w:space="0" w:color="000000"/>
              <w:left w:val="single" w:sz="8" w:space="0" w:color="000000"/>
              <w:bottom w:val="single" w:sz="8" w:space="0" w:color="000000"/>
              <w:right w:val="single" w:sz="8" w:space="0" w:color="000000"/>
            </w:tcBorders>
            <w:vAlign w:val="center"/>
          </w:tcPr>
          <w:p/>
        </w:tc>
        <w:tc>
          <w:tcPr>
            <w:tcW w:w="1037" w:type="dxa"/>
            <w:vMerge/>
            <w:tcBorders>
              <w:top w:val="single" w:sz="8" w:space="0" w:color="000000"/>
              <w:left w:val="single" w:sz="8" w:space="0" w:color="000000"/>
              <w:bottom w:val="single" w:sz="8" w:space="0" w:color="000000"/>
              <w:right w:val="single" w:sz="8" w:space="0" w:color="000000"/>
            </w:tcBorders>
            <w:vAlign w:val="center"/>
          </w:tcPr>
          <w:p/>
        </w:tc>
        <w:tc>
          <w:tcPr>
            <w:tcW w:w="964" w:type="dxa"/>
            <w:vMerge/>
            <w:tcBorders>
              <w:top w:val="single" w:sz="8" w:space="0" w:color="000000"/>
              <w:left w:val="single" w:sz="8" w:space="0" w:color="000000"/>
              <w:bottom w:val="single" w:sz="8" w:space="0" w:color="000000"/>
              <w:right w:val="single" w:sz="8" w:space="0" w:color="000000"/>
            </w:tcBorders>
            <w:vAlign w:val="center"/>
          </w:tcPr>
          <w:p/>
        </w:tc>
        <w:tc>
          <w:tcPr>
            <w:tcW w:w="964"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027" w:type="dxa"/>
            <w:vMerge/>
            <w:tcBorders>
              <w:top w:val="single" w:sz="8" w:space="0" w:color="000000"/>
              <w:left w:val="single" w:sz="8" w:space="0" w:color="000000"/>
              <w:bottom w:val="single" w:sz="8" w:space="0" w:color="000000"/>
              <w:right w:val="single" w:sz="8" w:space="0" w:color="000000"/>
            </w:tcBorders>
            <w:vAlign w:val="center"/>
          </w:tcPr>
          <w:p/>
        </w:tc>
        <w:tc>
          <w:tcPr>
            <w:tcW w:w="964" w:type="dxa"/>
            <w:vMerge/>
            <w:tcBorders>
              <w:top w:val="single" w:sz="8" w:space="0" w:color="000000"/>
              <w:left w:val="single" w:sz="8" w:space="0" w:color="000000"/>
              <w:bottom w:val="single" w:sz="8" w:space="0" w:color="000000"/>
              <w:right w:val="single" w:sz="8" w:space="0" w:color="000000"/>
            </w:tcBorders>
            <w:vAlign w:val="center"/>
          </w:tcPr>
          <w:p/>
        </w:tc>
      </w:tr>
      <w:tr>
        <w:trPr>
          <w:trHeight w:val="312"/>
        </w:trPr>
        <w:tc>
          <w:tcPr>
            <w:tcW w:w="1040" w:type="dxa"/>
            <w:vMerge/>
            <w:tcBorders>
              <w:top w:val="single" w:sz="8" w:space="0" w:color="000000"/>
              <w:left w:val="single" w:sz="8" w:space="0" w:color="000000"/>
              <w:bottom w:val="single" w:sz="8" w:space="0" w:color="000000"/>
              <w:right w:val="single" w:sz="8" w:space="0" w:color="000000"/>
            </w:tcBorders>
            <w:vAlign w:val="center"/>
          </w:tcPr>
          <w:p/>
        </w:tc>
        <w:tc>
          <w:tcPr>
            <w:tcW w:w="1160" w:type="dxa"/>
            <w:vMerge/>
            <w:tcBorders>
              <w:top w:val="single" w:sz="8" w:space="0" w:color="000000"/>
              <w:left w:val="single" w:sz="8" w:space="0" w:color="000000"/>
              <w:bottom w:val="single" w:sz="8" w:space="0" w:color="000000"/>
              <w:right w:val="single" w:sz="8" w:space="0" w:color="000000"/>
            </w:tcBorders>
            <w:noWrap/>
            <w:vAlign w:val="center"/>
          </w:tcPr>
          <w:p/>
        </w:tc>
        <w:tc>
          <w:tcPr>
            <w:tcW w:w="1037" w:type="dxa"/>
            <w:vMerge/>
            <w:tcBorders>
              <w:top w:val="single" w:sz="8" w:space="0" w:color="000000"/>
              <w:left w:val="single" w:sz="8" w:space="0" w:color="000000"/>
              <w:bottom w:val="single" w:sz="8" w:space="0" w:color="000000"/>
              <w:right w:val="single" w:sz="8" w:space="0" w:color="000000"/>
            </w:tcBorders>
            <w:vAlign w:val="center"/>
          </w:tcPr>
          <w:p/>
        </w:tc>
        <w:tc>
          <w:tcPr>
            <w:tcW w:w="1037" w:type="dxa"/>
            <w:vMerge/>
            <w:tcBorders>
              <w:top w:val="single" w:sz="8" w:space="0" w:color="000000"/>
              <w:left w:val="single" w:sz="8" w:space="0" w:color="000000"/>
              <w:bottom w:val="single" w:sz="8" w:space="0" w:color="000000"/>
              <w:right w:val="single" w:sz="8" w:space="0" w:color="000000"/>
            </w:tcBorders>
            <w:vAlign w:val="center"/>
          </w:tcPr>
          <w:p/>
        </w:tc>
        <w:tc>
          <w:tcPr>
            <w:tcW w:w="1037" w:type="dxa"/>
            <w:vMerge/>
            <w:tcBorders>
              <w:top w:val="single" w:sz="8" w:space="0" w:color="000000"/>
              <w:left w:val="single" w:sz="8" w:space="0" w:color="000000"/>
              <w:bottom w:val="single" w:sz="8" w:space="0" w:color="000000"/>
              <w:right w:val="single" w:sz="8" w:space="0" w:color="000000"/>
            </w:tcBorders>
            <w:vAlign w:val="center"/>
          </w:tcPr>
          <w:p/>
        </w:tc>
        <w:tc>
          <w:tcPr>
            <w:tcW w:w="964" w:type="dxa"/>
            <w:vMerge/>
            <w:tcBorders>
              <w:top w:val="single" w:sz="8" w:space="0" w:color="000000"/>
              <w:left w:val="single" w:sz="8" w:space="0" w:color="000000"/>
              <w:bottom w:val="single" w:sz="8" w:space="0" w:color="000000"/>
              <w:right w:val="single" w:sz="8" w:space="0" w:color="000000"/>
            </w:tcBorders>
            <w:vAlign w:val="center"/>
          </w:tcPr>
          <w:p/>
        </w:tc>
        <w:tc>
          <w:tcPr>
            <w:tcW w:w="964"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027" w:type="dxa"/>
            <w:vMerge/>
            <w:tcBorders>
              <w:top w:val="single" w:sz="8" w:space="0" w:color="000000"/>
              <w:left w:val="single" w:sz="8" w:space="0" w:color="000000"/>
              <w:bottom w:val="single" w:sz="8" w:space="0" w:color="000000"/>
              <w:right w:val="single" w:sz="8" w:space="0" w:color="000000"/>
            </w:tcBorders>
            <w:vAlign w:val="center"/>
          </w:tcPr>
          <w:p/>
        </w:tc>
        <w:tc>
          <w:tcPr>
            <w:tcW w:w="964" w:type="dxa"/>
            <w:vMerge/>
            <w:tcBorders>
              <w:top w:val="single" w:sz="8" w:space="0" w:color="000000"/>
              <w:left w:val="single" w:sz="8" w:space="0" w:color="000000"/>
              <w:bottom w:val="single" w:sz="8" w:space="0" w:color="000000"/>
              <w:right w:val="single" w:sz="8" w:space="0" w:color="000000"/>
            </w:tcBorders>
            <w:vAlign w:val="center"/>
          </w:tcPr>
          <w:p/>
        </w:tc>
      </w:tr>
      <w:tr>
        <w:trPr>
          <w:trHeight w:val="312"/>
        </w:trPr>
        <w:tc>
          <w:tcPr>
            <w:tcW w:w="1040" w:type="dxa"/>
            <w:vMerge/>
            <w:tcBorders>
              <w:top w:val="single" w:sz="8" w:space="0" w:color="000000"/>
              <w:left w:val="single" w:sz="8" w:space="0" w:color="000000"/>
              <w:bottom w:val="single" w:sz="8" w:space="0" w:color="000000"/>
              <w:right w:val="single" w:sz="8" w:space="0" w:color="000000"/>
            </w:tcBorders>
            <w:vAlign w:val="center"/>
          </w:tcPr>
          <w:p/>
        </w:tc>
        <w:tc>
          <w:tcPr>
            <w:tcW w:w="1160" w:type="dxa"/>
            <w:vMerge/>
            <w:tcBorders>
              <w:top w:val="single" w:sz="8" w:space="0" w:color="000000"/>
              <w:left w:val="single" w:sz="8" w:space="0" w:color="000000"/>
              <w:bottom w:val="single" w:sz="8" w:space="0" w:color="000000"/>
              <w:right w:val="single" w:sz="8" w:space="0" w:color="000000"/>
            </w:tcBorders>
            <w:noWrap/>
            <w:vAlign w:val="center"/>
          </w:tcPr>
          <w:p/>
        </w:tc>
        <w:tc>
          <w:tcPr>
            <w:tcW w:w="1037" w:type="dxa"/>
            <w:vMerge/>
            <w:tcBorders>
              <w:top w:val="single" w:sz="8" w:space="0" w:color="000000"/>
              <w:left w:val="single" w:sz="8" w:space="0" w:color="000000"/>
              <w:bottom w:val="single" w:sz="8" w:space="0" w:color="000000"/>
              <w:right w:val="single" w:sz="8" w:space="0" w:color="000000"/>
            </w:tcBorders>
            <w:vAlign w:val="center"/>
          </w:tcPr>
          <w:p/>
        </w:tc>
        <w:tc>
          <w:tcPr>
            <w:tcW w:w="1037" w:type="dxa"/>
            <w:vMerge/>
            <w:tcBorders>
              <w:top w:val="single" w:sz="8" w:space="0" w:color="000000"/>
              <w:left w:val="single" w:sz="8" w:space="0" w:color="000000"/>
              <w:bottom w:val="single" w:sz="8" w:space="0" w:color="000000"/>
              <w:right w:val="single" w:sz="8" w:space="0" w:color="000000"/>
            </w:tcBorders>
            <w:vAlign w:val="center"/>
          </w:tcPr>
          <w:p/>
        </w:tc>
        <w:tc>
          <w:tcPr>
            <w:tcW w:w="1037" w:type="dxa"/>
            <w:vMerge/>
            <w:tcBorders>
              <w:top w:val="single" w:sz="8" w:space="0" w:color="000000"/>
              <w:left w:val="single" w:sz="8" w:space="0" w:color="000000"/>
              <w:bottom w:val="single" w:sz="8" w:space="0" w:color="000000"/>
              <w:right w:val="single" w:sz="8" w:space="0" w:color="000000"/>
            </w:tcBorders>
            <w:vAlign w:val="center"/>
          </w:tcPr>
          <w:p/>
        </w:tc>
        <w:tc>
          <w:tcPr>
            <w:tcW w:w="964" w:type="dxa"/>
            <w:vMerge/>
            <w:tcBorders>
              <w:top w:val="single" w:sz="8" w:space="0" w:color="000000"/>
              <w:left w:val="single" w:sz="8" w:space="0" w:color="000000"/>
              <w:bottom w:val="single" w:sz="8" w:space="0" w:color="000000"/>
              <w:right w:val="single" w:sz="8" w:space="0" w:color="000000"/>
            </w:tcBorders>
            <w:vAlign w:val="center"/>
          </w:tcPr>
          <w:p/>
        </w:tc>
        <w:tc>
          <w:tcPr>
            <w:tcW w:w="964"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027" w:type="dxa"/>
            <w:vMerge/>
            <w:tcBorders>
              <w:top w:val="single" w:sz="8" w:space="0" w:color="000000"/>
              <w:left w:val="single" w:sz="8" w:space="0" w:color="000000"/>
              <w:bottom w:val="single" w:sz="8" w:space="0" w:color="000000"/>
              <w:right w:val="single" w:sz="8" w:space="0" w:color="000000"/>
            </w:tcBorders>
            <w:vAlign w:val="center"/>
          </w:tcPr>
          <w:p/>
        </w:tc>
        <w:tc>
          <w:tcPr>
            <w:tcW w:w="964" w:type="dxa"/>
            <w:vMerge/>
            <w:tcBorders>
              <w:top w:val="single" w:sz="8" w:space="0" w:color="000000"/>
              <w:left w:val="single" w:sz="8" w:space="0" w:color="000000"/>
              <w:bottom w:val="single" w:sz="8" w:space="0" w:color="000000"/>
              <w:right w:val="single" w:sz="8" w:space="0" w:color="000000"/>
            </w:tcBorders>
            <w:vAlign w:val="center"/>
          </w:tcPr>
          <w:p/>
        </w:tc>
      </w:tr>
      <w:tr>
        <w:trPr>
          <w:trHeight w:val="454"/>
        </w:trPr>
        <w:tc>
          <w:tcPr>
            <w:tcW w:w="2200"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栏次</w:t>
            </w:r>
          </w:p>
        </w:tc>
        <w:tc>
          <w:tcPr>
            <w:tcW w:w="1037"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none"/>
              </w:rPr>
            </w:pPr>
            <w:r>
              <w:rPr>
                <w:rFonts w:ascii="宋体" w:eastAsia="宋体" w:cs="宋体" w:hAnsi="宋体" w:hint="eastAsia"/>
                <w:i w:val="0"/>
                <w:iCs w:val="0"/>
                <w:color w:val="000000"/>
                <w:kern w:val="0"/>
                <w:sz w:val="20"/>
                <w:szCs w:val="20"/>
                <w:u w:val="none"/>
                <w:lang w:val="en-US" w:eastAsia="zh-CN"/>
                <w:highlight w:val="none"/>
              </w:rPr>
              <w:t>1</w:t>
            </w:r>
          </w:p>
        </w:tc>
        <w:tc>
          <w:tcPr>
            <w:tcW w:w="1037"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none"/>
              </w:rPr>
            </w:pPr>
            <w:r>
              <w:rPr>
                <w:rFonts w:ascii="宋体" w:eastAsia="宋体" w:cs="宋体" w:hAnsi="宋体" w:hint="eastAsia"/>
                <w:i w:val="0"/>
                <w:iCs w:val="0"/>
                <w:color w:val="000000"/>
                <w:kern w:val="0"/>
                <w:sz w:val="20"/>
                <w:szCs w:val="20"/>
                <w:u w:val="none"/>
                <w:lang w:val="en-US" w:eastAsia="zh-CN"/>
                <w:highlight w:val="none"/>
              </w:rPr>
              <w:t>2</w:t>
            </w:r>
          </w:p>
        </w:tc>
        <w:tc>
          <w:tcPr>
            <w:tcW w:w="1037"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none"/>
              </w:rPr>
            </w:pPr>
            <w:r>
              <w:rPr>
                <w:rFonts w:ascii="宋体" w:eastAsia="宋体" w:cs="宋体" w:hAnsi="宋体" w:hint="eastAsia"/>
                <w:i w:val="0"/>
                <w:iCs w:val="0"/>
                <w:color w:val="000000"/>
                <w:kern w:val="0"/>
                <w:sz w:val="20"/>
                <w:szCs w:val="20"/>
                <w:u w:val="none"/>
                <w:lang w:val="en-US" w:eastAsia="zh-CN"/>
                <w:highlight w:val="none"/>
              </w:rPr>
              <w:t>3</w:t>
            </w:r>
          </w:p>
        </w:tc>
        <w:tc>
          <w:tcPr>
            <w:tcW w:w="96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i w:val="0"/>
                <w:iCs w:val="0"/>
                <w:color w:val="000000"/>
                <w:sz w:val="20"/>
                <w:szCs w:val="20"/>
                <w:u w:val="none"/>
                <w:lang w:val="en-US" w:eastAsia="zh-CN"/>
                <w:highlight w:val="none"/>
              </w:rPr>
            </w:pPr>
            <w:r>
              <w:rPr>
                <w:rFonts w:ascii="宋体" w:eastAsia="宋体" w:cs="宋体" w:hAnsi="宋体" w:hint="eastAsia"/>
                <w:i w:val="0"/>
                <w:iCs w:val="0"/>
                <w:color w:val="000000"/>
                <w:sz w:val="20"/>
                <w:szCs w:val="20"/>
                <w:u w:val="none"/>
                <w:lang w:val="en-US" w:eastAsia="zh-CN"/>
                <w:highlight w:val="none"/>
              </w:rPr>
              <w:t>4</w:t>
            </w: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none"/>
              </w:rPr>
            </w:pPr>
            <w:r>
              <w:rPr>
                <w:rFonts w:ascii="宋体" w:eastAsia="宋体" w:cs="宋体" w:hAnsi="宋体" w:hint="eastAsia"/>
                <w:i w:val="0"/>
                <w:iCs w:val="0"/>
                <w:color w:val="000000"/>
                <w:kern w:val="0"/>
                <w:sz w:val="20"/>
                <w:szCs w:val="20"/>
                <w:u w:val="none"/>
                <w:lang w:val="en-US" w:eastAsia="zh-CN"/>
                <w:highlight w:val="none"/>
              </w:rPr>
              <w:t>5</w:t>
            </w:r>
          </w:p>
        </w:tc>
        <w:tc>
          <w:tcPr>
            <w:tcW w:w="1027"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none"/>
              </w:rPr>
            </w:pPr>
            <w:r>
              <w:rPr>
                <w:rFonts w:ascii="宋体" w:eastAsia="宋体" w:cs="宋体" w:hAnsi="宋体" w:hint="eastAsia"/>
                <w:i w:val="0"/>
                <w:iCs w:val="0"/>
                <w:color w:val="000000"/>
                <w:kern w:val="0"/>
                <w:sz w:val="20"/>
                <w:szCs w:val="20"/>
                <w:u w:val="none"/>
                <w:lang w:val="en-US" w:eastAsia="zh-CN"/>
                <w:highlight w:val="none"/>
              </w:rPr>
              <w:t>6</w:t>
            </w:r>
          </w:p>
        </w:tc>
        <w:tc>
          <w:tcPr>
            <w:tcW w:w="96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none"/>
              </w:rPr>
            </w:pPr>
            <w:r>
              <w:rPr>
                <w:rFonts w:ascii="宋体" w:eastAsia="宋体" w:cs="宋体" w:hAnsi="宋体" w:hint="eastAsia"/>
                <w:i w:val="0"/>
                <w:iCs w:val="0"/>
                <w:color w:val="000000"/>
                <w:kern w:val="0"/>
                <w:sz w:val="20"/>
                <w:szCs w:val="20"/>
                <w:u w:val="none"/>
                <w:lang w:val="en-US" w:eastAsia="zh-CN"/>
                <w:highlight w:val="none"/>
              </w:rPr>
              <w:t>7</w:t>
            </w:r>
          </w:p>
        </w:tc>
      </w:tr>
      <w:tr>
        <w:trPr>
          <w:trHeight w:val="567"/>
        </w:trPr>
        <w:tc>
          <w:tcPr>
            <w:tcW w:w="2200"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合计</w:t>
            </w:r>
          </w:p>
        </w:tc>
        <w:tc>
          <w:tcPr>
            <w:tcW w:w="103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highlight w:val="none"/>
              </w:rPr>
              <w:t>127.89</w:t>
            </w:r>
          </w:p>
        </w:tc>
        <w:tc>
          <w:tcPr>
            <w:tcW w:w="103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highlight w:val="none"/>
              </w:rPr>
              <w:t>127.89</w:t>
            </w:r>
          </w:p>
        </w:tc>
        <w:tc>
          <w:tcPr>
            <w:tcW w:w="103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96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964"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02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96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none"/>
              </w:rPr>
            </w:pPr>
            <w:r>
              <w:rPr>
                <w:rFonts w:ascii="Times New Roman" w:eastAsia="方正仿宋_GB2312" w:cs="Times New Roman" w:hAnsi="Times New Roman"/>
                <w:spacing w:val="-2"/>
                <w:sz w:val="20"/>
                <w:szCs w:val="20"/>
                <w:lang w:val="en-US" w:eastAsia="zh-CN"/>
              </w:rPr>
              <w:t>208</w:t>
            </w:r>
          </w:p>
        </w:tc>
        <w:tc>
          <w:tcPr>
            <w:tcW w:w="1160"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none"/>
              </w:rPr>
            </w:pPr>
            <w:r>
              <w:rPr>
                <w:rFonts w:ascii="方正仿宋_GB2312" w:eastAsia="方正仿宋_GB2312" w:cs="方正仿宋_GB2312" w:hAnsi="方正仿宋_GB2312" w:hint="eastAsia"/>
                <w:spacing w:val="-2"/>
                <w:sz w:val="20"/>
                <w:szCs w:val="20"/>
                <w:lang w:val="en-US" w:eastAsia="zh-CN"/>
              </w:rPr>
              <w:t>社会保障和就业支出</w:t>
            </w:r>
          </w:p>
        </w:tc>
        <w:tc>
          <w:tcPr>
            <w:tcW w:w="103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r>
              <w:rPr>
                <w:rFonts w:ascii="Times New Roman" w:eastAsia="宋体" w:cs="Times New Roman" w:hAnsi="Times New Roman"/>
                <w:spacing w:val="-2"/>
                <w:sz w:val="20"/>
                <w:szCs w:val="20"/>
                <w:lang w:val="en-US" w:eastAsia="zh-CN"/>
              </w:rPr>
              <w:t>5.09</w:t>
            </w:r>
          </w:p>
        </w:tc>
        <w:tc>
          <w:tcPr>
            <w:tcW w:w="103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r>
              <w:rPr>
                <w:rFonts w:ascii="Times New Roman" w:eastAsia="宋体" w:cs="Times New Roman" w:hAnsi="Times New Roman"/>
                <w:spacing w:val="-2"/>
                <w:sz w:val="20"/>
                <w:szCs w:val="20"/>
                <w:lang w:val="en-US" w:eastAsia="zh-CN"/>
              </w:rPr>
              <w:t>5.09</w:t>
            </w:r>
          </w:p>
        </w:tc>
        <w:tc>
          <w:tcPr>
            <w:tcW w:w="103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c>
          <w:tcPr>
            <w:tcW w:w="96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c>
          <w:tcPr>
            <w:tcW w:w="964"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c>
          <w:tcPr>
            <w:tcW w:w="102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c>
          <w:tcPr>
            <w:tcW w:w="96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none"/>
              </w:rPr>
            </w:pPr>
            <w:r>
              <w:rPr>
                <w:rFonts w:ascii="Times New Roman" w:eastAsia="方正仿宋_GB2312" w:cs="Times New Roman" w:hAnsi="Times New Roman"/>
                <w:spacing w:val="-2"/>
                <w:sz w:val="20"/>
                <w:szCs w:val="20"/>
                <w:lang w:val="en-US" w:eastAsia="zh-CN"/>
              </w:rPr>
              <w:t>20805</w:t>
            </w:r>
          </w:p>
        </w:tc>
        <w:tc>
          <w:tcPr>
            <w:tcW w:w="1160"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none"/>
              </w:rPr>
            </w:pPr>
            <w:r>
              <w:rPr>
                <w:rFonts w:ascii="方正仿宋_GB2312" w:eastAsia="方正仿宋_GB2312" w:cs="方正仿宋_GB2312" w:hAnsi="方正仿宋_GB2312" w:hint="eastAsia"/>
                <w:spacing w:val="-2"/>
                <w:sz w:val="20"/>
                <w:szCs w:val="20"/>
                <w:lang w:val="en-US" w:eastAsia="zh-CN"/>
              </w:rPr>
              <w:t>行政事业单位养老支出</w:t>
            </w:r>
          </w:p>
        </w:tc>
        <w:tc>
          <w:tcPr>
            <w:tcW w:w="103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r>
              <w:rPr>
                <w:rFonts w:ascii="Times New Roman" w:eastAsia="宋体" w:cs="Times New Roman" w:hAnsi="Times New Roman"/>
                <w:spacing w:val="-2"/>
                <w:sz w:val="20"/>
                <w:szCs w:val="20"/>
                <w:lang w:val="en-US" w:eastAsia="zh-CN"/>
              </w:rPr>
              <w:t>5.09</w:t>
            </w:r>
          </w:p>
        </w:tc>
        <w:tc>
          <w:tcPr>
            <w:tcW w:w="103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r>
              <w:rPr>
                <w:rFonts w:ascii="Times New Roman" w:eastAsia="宋体" w:cs="Times New Roman" w:hAnsi="Times New Roman"/>
                <w:spacing w:val="-2"/>
                <w:sz w:val="20"/>
                <w:szCs w:val="20"/>
                <w:lang w:val="en-US" w:eastAsia="zh-CN"/>
              </w:rPr>
              <w:t>5.09</w:t>
            </w:r>
          </w:p>
        </w:tc>
        <w:tc>
          <w:tcPr>
            <w:tcW w:w="103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c>
          <w:tcPr>
            <w:tcW w:w="96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c>
          <w:tcPr>
            <w:tcW w:w="964"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c>
          <w:tcPr>
            <w:tcW w:w="102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c>
          <w:tcPr>
            <w:tcW w:w="96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none"/>
              </w:rPr>
            </w:pPr>
            <w:r>
              <w:rPr>
                <w:rFonts w:ascii="Times New Roman" w:eastAsia="方正仿宋_GB2312" w:cs="Times New Roman" w:hAnsi="Times New Roman"/>
                <w:spacing w:val="-2"/>
                <w:sz w:val="20"/>
                <w:szCs w:val="20"/>
                <w:lang w:val="en-US" w:eastAsia="zh-CN"/>
              </w:rPr>
              <w:t>2080505</w:t>
            </w:r>
          </w:p>
        </w:tc>
        <w:tc>
          <w:tcPr>
            <w:tcW w:w="1160"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none"/>
              </w:rPr>
            </w:pPr>
            <w:r>
              <w:rPr>
                <w:rFonts w:ascii="方正仿宋_GB2312" w:eastAsia="方正仿宋_GB2312" w:cs="方正仿宋_GB2312" w:hAnsi="方正仿宋_GB2312" w:hint="eastAsia"/>
                <w:spacing w:val="-2"/>
                <w:sz w:val="20"/>
                <w:szCs w:val="20"/>
                <w:lang w:val="en-US" w:eastAsia="zh-CN"/>
              </w:rPr>
              <w:t>机关事业单位基本养老保险缴费支出</w:t>
            </w:r>
          </w:p>
        </w:tc>
        <w:tc>
          <w:tcPr>
            <w:tcW w:w="103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r>
              <w:rPr>
                <w:rFonts w:ascii="Times New Roman" w:eastAsia="宋体" w:cs="Times New Roman" w:hAnsi="Times New Roman"/>
                <w:spacing w:val="-2"/>
                <w:sz w:val="20"/>
                <w:szCs w:val="20"/>
                <w:lang w:val="en-US" w:eastAsia="zh-CN"/>
              </w:rPr>
              <w:t>5.09</w:t>
            </w:r>
          </w:p>
        </w:tc>
        <w:tc>
          <w:tcPr>
            <w:tcW w:w="103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r>
              <w:rPr>
                <w:rFonts w:ascii="Times New Roman" w:eastAsia="宋体" w:cs="Times New Roman" w:hAnsi="Times New Roman"/>
                <w:spacing w:val="-2"/>
                <w:sz w:val="20"/>
                <w:szCs w:val="20"/>
                <w:lang w:val="en-US" w:eastAsia="zh-CN"/>
              </w:rPr>
              <w:t>5.09</w:t>
            </w:r>
          </w:p>
        </w:tc>
        <w:tc>
          <w:tcPr>
            <w:tcW w:w="103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c>
          <w:tcPr>
            <w:tcW w:w="96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c>
          <w:tcPr>
            <w:tcW w:w="964"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c>
          <w:tcPr>
            <w:tcW w:w="102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c>
          <w:tcPr>
            <w:tcW w:w="96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none"/>
              </w:rPr>
            </w:pPr>
            <w:r>
              <w:rPr>
                <w:rFonts w:ascii="Times New Roman" w:eastAsia="方正仿宋_GB2312" w:cs="Times New Roman" w:hAnsi="Times New Roman"/>
                <w:spacing w:val="-2"/>
                <w:sz w:val="20"/>
                <w:szCs w:val="20"/>
                <w:lang w:val="en-US" w:eastAsia="zh-CN"/>
              </w:rPr>
              <w:t>210</w:t>
            </w:r>
          </w:p>
        </w:tc>
        <w:tc>
          <w:tcPr>
            <w:tcW w:w="1160"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none"/>
              </w:rPr>
            </w:pPr>
            <w:r>
              <w:rPr>
                <w:rFonts w:ascii="方正仿宋_GB2312" w:eastAsia="方正仿宋_GB2312" w:cs="方正仿宋_GB2312" w:hAnsi="方正仿宋_GB2312" w:hint="eastAsia"/>
                <w:spacing w:val="-2"/>
                <w:sz w:val="20"/>
                <w:szCs w:val="20"/>
                <w:lang w:val="en-US" w:eastAsia="zh-CN"/>
              </w:rPr>
              <w:t>卫生健康支出</w:t>
            </w:r>
          </w:p>
        </w:tc>
        <w:tc>
          <w:tcPr>
            <w:tcW w:w="103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r>
              <w:rPr>
                <w:rFonts w:ascii="Times New Roman" w:eastAsia="宋体" w:cs="Times New Roman" w:hAnsi="Times New Roman"/>
                <w:spacing w:val="-2"/>
                <w:sz w:val="20"/>
                <w:szCs w:val="20"/>
                <w:lang w:val="en-US" w:eastAsia="zh-CN"/>
              </w:rPr>
              <w:t>2.79</w:t>
            </w:r>
          </w:p>
        </w:tc>
        <w:tc>
          <w:tcPr>
            <w:tcW w:w="103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r>
              <w:rPr>
                <w:rFonts w:ascii="Times New Roman" w:eastAsia="宋体" w:cs="Times New Roman" w:hAnsi="Times New Roman"/>
                <w:spacing w:val="-2"/>
                <w:sz w:val="20"/>
                <w:szCs w:val="20"/>
                <w:lang w:val="en-US" w:eastAsia="zh-CN"/>
              </w:rPr>
              <w:t>2.79</w:t>
            </w:r>
          </w:p>
        </w:tc>
        <w:tc>
          <w:tcPr>
            <w:tcW w:w="103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c>
          <w:tcPr>
            <w:tcW w:w="96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c>
          <w:tcPr>
            <w:tcW w:w="964"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c>
          <w:tcPr>
            <w:tcW w:w="102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c>
          <w:tcPr>
            <w:tcW w:w="96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none"/>
              </w:rPr>
            </w:pPr>
            <w:r>
              <w:rPr>
                <w:rFonts w:ascii="Times New Roman" w:eastAsia="方正仿宋_GB2312" w:cs="Times New Roman" w:hAnsi="Times New Roman"/>
                <w:spacing w:val="-2"/>
                <w:sz w:val="20"/>
                <w:szCs w:val="20"/>
                <w:lang w:val="en-US" w:eastAsia="zh-CN"/>
              </w:rPr>
              <w:t>21011</w:t>
            </w:r>
          </w:p>
        </w:tc>
        <w:tc>
          <w:tcPr>
            <w:tcW w:w="1160"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none"/>
              </w:rPr>
            </w:pPr>
            <w:r>
              <w:rPr>
                <w:rFonts w:ascii="方正仿宋_GB2312" w:eastAsia="方正仿宋_GB2312" w:cs="方正仿宋_GB2312" w:hAnsi="方正仿宋_GB2312" w:hint="eastAsia"/>
                <w:spacing w:val="-2"/>
                <w:sz w:val="20"/>
                <w:szCs w:val="20"/>
                <w:lang w:val="en-US" w:eastAsia="zh-CN"/>
              </w:rPr>
              <w:t>行政事业单位医疗</w:t>
            </w:r>
          </w:p>
        </w:tc>
        <w:tc>
          <w:tcPr>
            <w:tcW w:w="103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r>
              <w:rPr>
                <w:rFonts w:ascii="Times New Roman" w:eastAsia="宋体" w:cs="Times New Roman" w:hAnsi="Times New Roman"/>
                <w:spacing w:val="-2"/>
                <w:sz w:val="20"/>
                <w:szCs w:val="20"/>
                <w:lang w:val="en-US" w:eastAsia="zh-CN"/>
              </w:rPr>
              <w:t>2.79</w:t>
            </w:r>
          </w:p>
        </w:tc>
        <w:tc>
          <w:tcPr>
            <w:tcW w:w="103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r>
              <w:rPr>
                <w:rFonts w:ascii="Times New Roman" w:eastAsia="宋体" w:cs="Times New Roman" w:hAnsi="Times New Roman"/>
                <w:spacing w:val="-2"/>
                <w:sz w:val="20"/>
                <w:szCs w:val="20"/>
                <w:lang w:val="en-US" w:eastAsia="zh-CN"/>
              </w:rPr>
              <w:t>2.79</w:t>
            </w:r>
          </w:p>
        </w:tc>
        <w:tc>
          <w:tcPr>
            <w:tcW w:w="103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c>
          <w:tcPr>
            <w:tcW w:w="96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c>
          <w:tcPr>
            <w:tcW w:w="964"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c>
          <w:tcPr>
            <w:tcW w:w="102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c>
          <w:tcPr>
            <w:tcW w:w="96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none"/>
              </w:rPr>
            </w:pPr>
            <w:r>
              <w:rPr>
                <w:rFonts w:ascii="Times New Roman" w:eastAsia="方正仿宋_GB2312" w:cs="Times New Roman" w:hAnsi="Times New Roman"/>
                <w:spacing w:val="-2"/>
                <w:sz w:val="20"/>
                <w:szCs w:val="20"/>
                <w:lang w:val="en-US" w:eastAsia="zh-CN"/>
              </w:rPr>
              <w:t>2101102</w:t>
            </w:r>
          </w:p>
        </w:tc>
        <w:tc>
          <w:tcPr>
            <w:tcW w:w="1160"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none"/>
              </w:rPr>
            </w:pPr>
            <w:r>
              <w:rPr>
                <w:rFonts w:ascii="方正仿宋_GB2312" w:eastAsia="方正仿宋_GB2312" w:cs="方正仿宋_GB2312" w:hAnsi="方正仿宋_GB2312" w:hint="eastAsia"/>
                <w:spacing w:val="-2"/>
                <w:sz w:val="20"/>
                <w:szCs w:val="20"/>
                <w:lang w:val="en-US" w:eastAsia="zh-CN"/>
              </w:rPr>
              <w:t>事业单位医疗</w:t>
            </w:r>
          </w:p>
        </w:tc>
        <w:tc>
          <w:tcPr>
            <w:tcW w:w="103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r>
              <w:rPr>
                <w:rFonts w:ascii="Times New Roman" w:eastAsia="宋体" w:cs="Times New Roman" w:hAnsi="Times New Roman"/>
                <w:spacing w:val="-2"/>
                <w:sz w:val="20"/>
                <w:szCs w:val="20"/>
                <w:lang w:val="en-US" w:eastAsia="zh-CN"/>
              </w:rPr>
              <w:t>2.79</w:t>
            </w:r>
          </w:p>
        </w:tc>
        <w:tc>
          <w:tcPr>
            <w:tcW w:w="103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r>
              <w:rPr>
                <w:rFonts w:ascii="Times New Roman" w:eastAsia="宋体" w:cs="Times New Roman" w:hAnsi="Times New Roman"/>
                <w:spacing w:val="-2"/>
                <w:sz w:val="20"/>
                <w:szCs w:val="20"/>
                <w:lang w:val="en-US" w:eastAsia="zh-CN"/>
              </w:rPr>
              <w:t>2.79</w:t>
            </w:r>
          </w:p>
        </w:tc>
        <w:tc>
          <w:tcPr>
            <w:tcW w:w="103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c>
          <w:tcPr>
            <w:tcW w:w="96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c>
          <w:tcPr>
            <w:tcW w:w="964"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c>
          <w:tcPr>
            <w:tcW w:w="102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c>
          <w:tcPr>
            <w:tcW w:w="96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none"/>
              </w:rPr>
            </w:pPr>
            <w:r>
              <w:rPr>
                <w:rFonts w:ascii="Times New Roman" w:eastAsia="方正仿宋_GB2312" w:cs="Times New Roman" w:hAnsi="Times New Roman"/>
                <w:spacing w:val="-2"/>
                <w:sz w:val="20"/>
                <w:szCs w:val="20"/>
                <w:lang w:val="en-US" w:eastAsia="zh-CN"/>
              </w:rPr>
              <w:t>212</w:t>
            </w:r>
          </w:p>
        </w:tc>
        <w:tc>
          <w:tcPr>
            <w:tcW w:w="1160"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none"/>
              </w:rPr>
            </w:pPr>
            <w:r>
              <w:rPr>
                <w:rFonts w:ascii="方正仿宋_GB2312" w:eastAsia="方正仿宋_GB2312" w:cs="方正仿宋_GB2312" w:hAnsi="方正仿宋_GB2312" w:hint="eastAsia"/>
                <w:spacing w:val="-2"/>
                <w:sz w:val="20"/>
                <w:szCs w:val="20"/>
                <w:lang w:val="en-US" w:eastAsia="zh-CN"/>
              </w:rPr>
              <w:t>城乡社区支出</w:t>
            </w:r>
          </w:p>
        </w:tc>
        <w:tc>
          <w:tcPr>
            <w:tcW w:w="103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r>
              <w:rPr>
                <w:rFonts w:ascii="Times New Roman" w:eastAsia="宋体" w:cs="Times New Roman" w:hAnsi="Times New Roman"/>
                <w:spacing w:val="-2"/>
                <w:sz w:val="20"/>
                <w:szCs w:val="20"/>
                <w:lang w:val="en-US" w:eastAsia="zh-CN"/>
              </w:rPr>
              <w:t>115.80</w:t>
            </w:r>
          </w:p>
        </w:tc>
        <w:tc>
          <w:tcPr>
            <w:tcW w:w="103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r>
              <w:rPr>
                <w:rFonts w:ascii="Times New Roman" w:eastAsia="宋体" w:cs="Times New Roman" w:hAnsi="Times New Roman"/>
                <w:spacing w:val="-2"/>
                <w:sz w:val="20"/>
                <w:szCs w:val="20"/>
                <w:lang w:val="en-US" w:eastAsia="zh-CN"/>
              </w:rPr>
              <w:t>115.80</w:t>
            </w:r>
          </w:p>
        </w:tc>
        <w:tc>
          <w:tcPr>
            <w:tcW w:w="103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c>
          <w:tcPr>
            <w:tcW w:w="96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c>
          <w:tcPr>
            <w:tcW w:w="964"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c>
          <w:tcPr>
            <w:tcW w:w="102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c>
          <w:tcPr>
            <w:tcW w:w="96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none"/>
              </w:rPr>
            </w:pPr>
            <w:r>
              <w:rPr>
                <w:rFonts w:ascii="Times New Roman" w:eastAsia="方正仿宋_GB2312" w:cs="Times New Roman" w:hAnsi="Times New Roman"/>
                <w:spacing w:val="-2"/>
                <w:sz w:val="20"/>
                <w:szCs w:val="20"/>
                <w:lang w:val="en-US" w:eastAsia="zh-CN"/>
              </w:rPr>
              <w:t>21201</w:t>
            </w:r>
          </w:p>
        </w:tc>
        <w:tc>
          <w:tcPr>
            <w:tcW w:w="1160"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none"/>
              </w:rPr>
            </w:pPr>
            <w:r>
              <w:rPr>
                <w:rFonts w:ascii="方正仿宋_GB2312" w:eastAsia="方正仿宋_GB2312" w:cs="方正仿宋_GB2312" w:hAnsi="方正仿宋_GB2312" w:hint="eastAsia"/>
                <w:spacing w:val="-2"/>
                <w:sz w:val="20"/>
                <w:szCs w:val="20"/>
                <w:lang w:val="en-US" w:eastAsia="zh-CN"/>
              </w:rPr>
              <w:t>城乡社区管理事务</w:t>
            </w:r>
          </w:p>
        </w:tc>
        <w:tc>
          <w:tcPr>
            <w:tcW w:w="103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r>
              <w:rPr>
                <w:rFonts w:ascii="Times New Roman" w:eastAsia="宋体" w:cs="Times New Roman" w:hAnsi="Times New Roman"/>
                <w:spacing w:val="-2"/>
                <w:sz w:val="20"/>
                <w:szCs w:val="20"/>
                <w:lang w:val="en-US" w:eastAsia="zh-CN"/>
              </w:rPr>
              <w:t>115.80</w:t>
            </w:r>
          </w:p>
        </w:tc>
        <w:tc>
          <w:tcPr>
            <w:tcW w:w="103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r>
              <w:rPr>
                <w:rFonts w:ascii="Times New Roman" w:eastAsia="宋体" w:cs="Times New Roman" w:hAnsi="Times New Roman"/>
                <w:spacing w:val="-2"/>
                <w:sz w:val="20"/>
                <w:szCs w:val="20"/>
                <w:lang w:val="en-US" w:eastAsia="zh-CN"/>
              </w:rPr>
              <w:t>115.80</w:t>
            </w:r>
          </w:p>
        </w:tc>
        <w:tc>
          <w:tcPr>
            <w:tcW w:w="103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c>
          <w:tcPr>
            <w:tcW w:w="96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c>
          <w:tcPr>
            <w:tcW w:w="964"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c>
          <w:tcPr>
            <w:tcW w:w="102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c>
          <w:tcPr>
            <w:tcW w:w="96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none"/>
              </w:rPr>
            </w:pPr>
            <w:r>
              <w:rPr>
                <w:rFonts w:ascii="Times New Roman" w:eastAsia="方正仿宋_GB2312" w:cs="Times New Roman" w:hAnsi="Times New Roman"/>
                <w:spacing w:val="-2"/>
                <w:sz w:val="20"/>
                <w:szCs w:val="20"/>
                <w:lang w:val="en-US" w:eastAsia="zh-CN"/>
              </w:rPr>
              <w:t>2120102</w:t>
            </w:r>
          </w:p>
        </w:tc>
        <w:tc>
          <w:tcPr>
            <w:tcW w:w="1160"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none"/>
              </w:rPr>
            </w:pPr>
            <w:r>
              <w:rPr>
                <w:rFonts w:ascii="方正仿宋_GB2312" w:eastAsia="方正仿宋_GB2312" w:cs="方正仿宋_GB2312" w:hAnsi="方正仿宋_GB2312" w:hint="eastAsia"/>
                <w:spacing w:val="-2"/>
                <w:sz w:val="20"/>
                <w:szCs w:val="20"/>
                <w:lang w:val="en-US" w:eastAsia="zh-CN"/>
              </w:rPr>
              <w:t>一般行政管理事务</w:t>
            </w:r>
          </w:p>
        </w:tc>
        <w:tc>
          <w:tcPr>
            <w:tcW w:w="103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r>
              <w:rPr>
                <w:rFonts w:ascii="Times New Roman" w:eastAsia="宋体" w:cs="Times New Roman" w:hAnsi="Times New Roman"/>
                <w:spacing w:val="-2"/>
                <w:sz w:val="20"/>
                <w:szCs w:val="20"/>
                <w:lang w:val="en-US" w:eastAsia="zh-CN"/>
              </w:rPr>
              <w:t>56.03</w:t>
            </w:r>
          </w:p>
        </w:tc>
        <w:tc>
          <w:tcPr>
            <w:tcW w:w="103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r>
              <w:rPr>
                <w:rFonts w:ascii="Times New Roman" w:eastAsia="宋体" w:cs="Times New Roman" w:hAnsi="Times New Roman"/>
                <w:spacing w:val="-2"/>
                <w:sz w:val="20"/>
                <w:szCs w:val="20"/>
                <w:lang w:val="en-US" w:eastAsia="zh-CN"/>
              </w:rPr>
              <w:t>56.03</w:t>
            </w:r>
          </w:p>
        </w:tc>
        <w:tc>
          <w:tcPr>
            <w:tcW w:w="103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c>
          <w:tcPr>
            <w:tcW w:w="96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c>
          <w:tcPr>
            <w:tcW w:w="964"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c>
          <w:tcPr>
            <w:tcW w:w="102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c>
          <w:tcPr>
            <w:tcW w:w="96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none"/>
              </w:rPr>
            </w:pPr>
            <w:r>
              <w:rPr>
                <w:rFonts w:ascii="Times New Roman" w:eastAsia="方正仿宋_GB2312" w:cs="Times New Roman" w:hAnsi="Times New Roman"/>
                <w:spacing w:val="-2"/>
                <w:sz w:val="20"/>
                <w:szCs w:val="20"/>
                <w:lang w:val="en-US" w:eastAsia="zh-CN"/>
              </w:rPr>
              <w:t>2120109</w:t>
            </w:r>
          </w:p>
        </w:tc>
        <w:tc>
          <w:tcPr>
            <w:tcW w:w="1160"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none"/>
              </w:rPr>
            </w:pPr>
            <w:r>
              <w:rPr>
                <w:rFonts w:ascii="方正仿宋_GB2312" w:eastAsia="方正仿宋_GB2312" w:cs="方正仿宋_GB2312" w:hAnsi="方正仿宋_GB2312" w:hint="eastAsia"/>
                <w:spacing w:val="-2"/>
                <w:sz w:val="20"/>
                <w:szCs w:val="20"/>
                <w:lang w:val="en-US" w:eastAsia="zh-CN"/>
              </w:rPr>
              <w:t>住宅建设与房地产市场监管</w:t>
            </w:r>
          </w:p>
        </w:tc>
        <w:tc>
          <w:tcPr>
            <w:tcW w:w="103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r>
              <w:rPr>
                <w:rFonts w:ascii="Times New Roman" w:eastAsia="宋体" w:cs="Times New Roman" w:hAnsi="Times New Roman"/>
                <w:spacing w:val="-2"/>
                <w:sz w:val="20"/>
                <w:szCs w:val="20"/>
                <w:lang w:val="en-US" w:eastAsia="zh-CN"/>
              </w:rPr>
              <w:t>59.78</w:t>
            </w:r>
          </w:p>
        </w:tc>
        <w:tc>
          <w:tcPr>
            <w:tcW w:w="103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r>
              <w:rPr>
                <w:rFonts w:ascii="Times New Roman" w:eastAsia="宋体" w:cs="Times New Roman" w:hAnsi="Times New Roman"/>
                <w:spacing w:val="-2"/>
                <w:sz w:val="20"/>
                <w:szCs w:val="20"/>
                <w:lang w:val="en-US" w:eastAsia="zh-CN"/>
              </w:rPr>
              <w:t>59.78</w:t>
            </w:r>
          </w:p>
        </w:tc>
        <w:tc>
          <w:tcPr>
            <w:tcW w:w="103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c>
          <w:tcPr>
            <w:tcW w:w="96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c>
          <w:tcPr>
            <w:tcW w:w="964"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c>
          <w:tcPr>
            <w:tcW w:w="102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c>
          <w:tcPr>
            <w:tcW w:w="96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none"/>
              </w:rPr>
            </w:pPr>
            <w:r>
              <w:rPr>
                <w:rFonts w:ascii="Times New Roman" w:eastAsia="方正仿宋_GB2312" w:cs="Times New Roman" w:hAnsi="Times New Roman"/>
                <w:spacing w:val="-2"/>
                <w:sz w:val="20"/>
                <w:szCs w:val="20"/>
                <w:lang w:val="en-US" w:eastAsia="zh-CN"/>
              </w:rPr>
              <w:t>221</w:t>
            </w:r>
          </w:p>
        </w:tc>
        <w:tc>
          <w:tcPr>
            <w:tcW w:w="1160"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none"/>
              </w:rPr>
            </w:pPr>
            <w:r>
              <w:rPr>
                <w:rFonts w:ascii="方正仿宋_GB2312" w:eastAsia="方正仿宋_GB2312" w:cs="方正仿宋_GB2312" w:hAnsi="方正仿宋_GB2312" w:hint="eastAsia"/>
                <w:spacing w:val="-2"/>
                <w:sz w:val="20"/>
                <w:szCs w:val="20"/>
                <w:lang w:val="en-US" w:eastAsia="zh-CN"/>
              </w:rPr>
              <w:t>住房保障支出</w:t>
            </w:r>
          </w:p>
        </w:tc>
        <w:tc>
          <w:tcPr>
            <w:tcW w:w="103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r>
              <w:rPr>
                <w:rFonts w:ascii="Times New Roman" w:eastAsia="宋体" w:cs="Times New Roman" w:hAnsi="Times New Roman"/>
                <w:spacing w:val="-2"/>
                <w:sz w:val="20"/>
                <w:szCs w:val="20"/>
                <w:lang w:val="en-US" w:eastAsia="zh-CN"/>
              </w:rPr>
              <w:t>4.21</w:t>
            </w:r>
          </w:p>
        </w:tc>
        <w:tc>
          <w:tcPr>
            <w:tcW w:w="103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r>
              <w:rPr>
                <w:rFonts w:ascii="Times New Roman" w:eastAsia="宋体" w:cs="Times New Roman" w:hAnsi="Times New Roman"/>
                <w:spacing w:val="-2"/>
                <w:sz w:val="20"/>
                <w:szCs w:val="20"/>
                <w:lang w:val="en-US" w:eastAsia="zh-CN"/>
              </w:rPr>
              <w:t>4.21</w:t>
            </w:r>
          </w:p>
        </w:tc>
        <w:tc>
          <w:tcPr>
            <w:tcW w:w="103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c>
          <w:tcPr>
            <w:tcW w:w="96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c>
          <w:tcPr>
            <w:tcW w:w="964"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c>
          <w:tcPr>
            <w:tcW w:w="102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c>
          <w:tcPr>
            <w:tcW w:w="96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none"/>
              </w:rPr>
            </w:pPr>
            <w:r>
              <w:rPr>
                <w:rFonts w:ascii="Times New Roman" w:eastAsia="方正仿宋_GB2312" w:cs="Times New Roman" w:hAnsi="Times New Roman"/>
                <w:spacing w:val="-2"/>
                <w:sz w:val="20"/>
                <w:szCs w:val="20"/>
                <w:lang w:val="en-US" w:eastAsia="zh-CN"/>
              </w:rPr>
              <w:t>22102</w:t>
            </w:r>
          </w:p>
        </w:tc>
        <w:tc>
          <w:tcPr>
            <w:tcW w:w="1160"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none"/>
              </w:rPr>
            </w:pPr>
            <w:r>
              <w:rPr>
                <w:rFonts w:ascii="方正仿宋_GB2312" w:eastAsia="方正仿宋_GB2312" w:cs="方正仿宋_GB2312" w:hAnsi="方正仿宋_GB2312" w:hint="eastAsia"/>
                <w:spacing w:val="-2"/>
                <w:sz w:val="20"/>
                <w:szCs w:val="20"/>
                <w:lang w:val="en-US" w:eastAsia="zh-CN"/>
              </w:rPr>
              <w:t>住房改革支出</w:t>
            </w:r>
          </w:p>
        </w:tc>
        <w:tc>
          <w:tcPr>
            <w:tcW w:w="103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r>
              <w:rPr>
                <w:rFonts w:ascii="Times New Roman" w:eastAsia="宋体" w:cs="Times New Roman" w:hAnsi="Times New Roman"/>
                <w:spacing w:val="-2"/>
                <w:sz w:val="20"/>
                <w:szCs w:val="20"/>
                <w:lang w:val="en-US" w:eastAsia="zh-CN"/>
              </w:rPr>
              <w:t>4.21</w:t>
            </w:r>
          </w:p>
        </w:tc>
        <w:tc>
          <w:tcPr>
            <w:tcW w:w="103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r>
              <w:rPr>
                <w:rFonts w:ascii="Times New Roman" w:eastAsia="宋体" w:cs="Times New Roman" w:hAnsi="Times New Roman"/>
                <w:spacing w:val="-2"/>
                <w:sz w:val="20"/>
                <w:szCs w:val="20"/>
                <w:lang w:val="en-US" w:eastAsia="zh-CN"/>
              </w:rPr>
              <w:t>4.21</w:t>
            </w:r>
          </w:p>
        </w:tc>
        <w:tc>
          <w:tcPr>
            <w:tcW w:w="103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c>
          <w:tcPr>
            <w:tcW w:w="96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c>
          <w:tcPr>
            <w:tcW w:w="964"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c>
          <w:tcPr>
            <w:tcW w:w="102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c>
          <w:tcPr>
            <w:tcW w:w="96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none"/>
              </w:rPr>
            </w:pPr>
            <w:r>
              <w:rPr>
                <w:rFonts w:ascii="Times New Roman" w:eastAsia="方正仿宋_GB2312" w:cs="Times New Roman" w:hAnsi="Times New Roman"/>
                <w:spacing w:val="-2"/>
                <w:sz w:val="20"/>
                <w:szCs w:val="20"/>
                <w:lang w:val="en-US" w:eastAsia="zh-CN"/>
              </w:rPr>
              <w:t>2210201</w:t>
            </w:r>
          </w:p>
        </w:tc>
        <w:tc>
          <w:tcPr>
            <w:tcW w:w="1160"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none"/>
              </w:rPr>
            </w:pPr>
            <w:r>
              <w:rPr>
                <w:rFonts w:ascii="方正仿宋_GB2312" w:eastAsia="方正仿宋_GB2312" w:cs="方正仿宋_GB2312" w:hAnsi="方正仿宋_GB2312" w:hint="eastAsia"/>
                <w:spacing w:val="-2"/>
                <w:sz w:val="20"/>
                <w:szCs w:val="20"/>
                <w:lang w:val="en-US" w:eastAsia="zh-CN"/>
              </w:rPr>
              <w:t>住房公积金</w:t>
            </w:r>
          </w:p>
        </w:tc>
        <w:tc>
          <w:tcPr>
            <w:tcW w:w="103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r>
              <w:rPr>
                <w:rFonts w:ascii="Times New Roman" w:eastAsia="宋体" w:cs="Times New Roman" w:hAnsi="Times New Roman"/>
                <w:spacing w:val="-2"/>
                <w:sz w:val="20"/>
                <w:szCs w:val="20"/>
                <w:lang w:val="en-US" w:eastAsia="zh-CN"/>
              </w:rPr>
              <w:t>4.21</w:t>
            </w:r>
          </w:p>
        </w:tc>
        <w:tc>
          <w:tcPr>
            <w:tcW w:w="103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r>
              <w:rPr>
                <w:rFonts w:ascii="Times New Roman" w:eastAsia="宋体" w:cs="Times New Roman" w:hAnsi="Times New Roman"/>
                <w:spacing w:val="-2"/>
                <w:sz w:val="20"/>
                <w:szCs w:val="20"/>
                <w:lang w:val="en-US" w:eastAsia="zh-CN"/>
              </w:rPr>
              <w:t>4.21</w:t>
            </w:r>
          </w:p>
        </w:tc>
        <w:tc>
          <w:tcPr>
            <w:tcW w:w="103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c>
          <w:tcPr>
            <w:tcW w:w="96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c>
          <w:tcPr>
            <w:tcW w:w="964"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c>
          <w:tcPr>
            <w:tcW w:w="102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c>
          <w:tcPr>
            <w:tcW w:w="96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none"/>
              </w:rPr>
            </w:pPr>
          </w:p>
        </w:tc>
      </w:tr>
      <w:tr>
        <w:trPr>
          <w:trHeight w:val="308"/>
        </w:trPr>
        <w:tc>
          <w:tcPr>
            <w:tcW w:w="9230" w:type="dxa"/>
            <w:gridSpan w:val="10"/>
            <w:tcBorders>
              <w:top w:val="single" w:sz="8" w:space="0" w:color="000000"/>
              <w:left w:val="nil"/>
              <w:bottom w:val="nil"/>
              <w:right w:val="nil"/>
            </w:tcBorders>
            <w:noWrap/>
            <w:vAlign w:val="center"/>
          </w:tcPr>
          <w:p>
            <w:pPr>
              <w:keepNext w:val="0"/>
              <w:keepLines w:val="0"/>
              <w:widowControl/>
              <w:suppressLineNumbers w:val="0"/>
              <w:jc w:val="left"/>
              <w:textAlignment w:val="center"/>
              <w:rPr>
                <w:rFonts w:ascii="宋体" w:eastAsia="宋体" w:cs="宋体" w:hAnsi="宋体"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注：本表反映部门本年度取得的各项收入情况。</w:t>
            </w:r>
          </w:p>
        </w:tc>
      </w:tr>
    </w:tbl>
    <w:p>
      <w:pPr>
        <w:rPr>
          <w:rFonts w:ascii="黑体" w:eastAsia="黑体" w:cs="宋体" w:hAnsi="黑体" w:hint="eastAsia"/>
          <w:bCs/>
          <w:kern w:val="0"/>
          <w:sz w:val="10"/>
          <w:szCs w:val="10"/>
          <w:highlight w:val="none"/>
        </w:rPr>
      </w:pPr>
    </w:p>
    <w:tbl>
      <w:tblPr>
        <w:jc w:val="center"/>
        <w:tblW w:w="9346"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Look w:val="0600" w:firstRow="0" w:lastRow="0" w:firstColumn="0" w:lastColumn="0" w:noHBand="1" w:noVBand="1"/>
      </w:tblPr>
      <w:tblGrid>
        <w:gridCol w:w="1040"/>
        <w:gridCol w:w="1187"/>
        <w:gridCol w:w="1128"/>
        <w:gridCol w:w="126"/>
        <w:gridCol w:w="1000"/>
        <w:gridCol w:w="1126"/>
        <w:gridCol w:w="497"/>
        <w:gridCol w:w="629"/>
        <w:gridCol w:w="1126"/>
        <w:gridCol w:w="1487"/>
      </w:tblGrid>
      <w:tr>
        <w:trPr>
          <w:trHeight w:val="550"/>
        </w:trPr>
        <w:tc>
          <w:tcPr>
            <w:tcW w:w="9346" w:type="dxa"/>
            <w:gridSpan w:val="10"/>
            <w:tcBorders>
              <w:top w:val="nil"/>
              <w:left w:val="nil"/>
              <w:bottom w:val="nil"/>
              <w:right w:val="nil"/>
            </w:tcBorders>
            <w:noWrap/>
            <w:vAlign w:val="bottom"/>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ascii="宋体" w:eastAsia="宋体" w:cs="宋体" w:hAnsi="宋体" w:hint="eastAsia"/>
                <w:i w:val="0"/>
                <w:iCs w:val="0"/>
                <w:color w:val="000000"/>
                <w:sz w:val="20"/>
                <w:szCs w:val="20"/>
                <w:u w:val="none"/>
                <w:highlight w:val="none"/>
              </w:rPr>
            </w:pPr>
            <w:r>
              <w:rPr>
                <w:rFonts w:ascii="方正仿宋_GB2312" w:eastAsia="方正仿宋_GB2312" w:cs="方正仿宋_GB2312" w:hAnsi="方正仿宋_GB2312" w:hint="eastAsia"/>
                <w:b w:val="0"/>
                <w:bCs/>
                <w:color w:val="auto"/>
                <w:kern w:val="0"/>
                <w:sz w:val="32"/>
                <w:szCs w:val="32"/>
                <w:lang w:val="en-US" w:eastAsia="zh-CN"/>
                <w:highlight w:val="none"/>
              </w:rPr>
              <w:br w:type="page"/>
              <w:t>支出决算表</w:t>
            </w:r>
          </w:p>
        </w:tc>
      </w:tr>
      <w:tr>
        <w:trPr>
          <w:trHeight w:val="300"/>
        </w:trPr>
        <w:tc>
          <w:tcPr>
            <w:tcW w:w="9346" w:type="dxa"/>
            <w:gridSpan w:val="10"/>
            <w:tcBorders>
              <w:top w:val="nil"/>
              <w:left w:val="nil"/>
              <w:bottom w:val="nil"/>
              <w:right w:val="nil"/>
            </w:tcBorders>
            <w:noWrap/>
            <w:vAlign w:val="bottom"/>
          </w:tcPr>
          <w:p>
            <w:pPr>
              <w:keepNext w:val="0"/>
              <w:keepLines w:val="0"/>
              <w:widowControl/>
              <w:suppressLineNumbers w:val="0"/>
              <w:jc w:val="right"/>
              <w:textAlignment w:val="bottom"/>
              <w:rPr>
                <w:rFonts w:ascii="宋体" w:eastAsia="宋体" w:cs="宋体" w:hAnsi="宋体"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公开</w:t>
            </w:r>
            <w:r>
              <w:rPr>
                <w:rFonts w:ascii="Times New Roman" w:eastAsia="宋体" w:cs="Times New Roman" w:hAnsi="Times New Roman"/>
                <w:i w:val="0"/>
                <w:iCs w:val="0"/>
                <w:color w:val="000000"/>
                <w:kern w:val="0"/>
                <w:sz w:val="20"/>
                <w:szCs w:val="20"/>
                <w:u w:val="none"/>
                <w:lang w:val="en-US" w:eastAsia="zh-CN"/>
                <w:highlight w:val="none"/>
              </w:rPr>
              <w:t>03</w:t>
            </w:r>
            <w:r>
              <w:rPr>
                <w:rFonts w:ascii="方正仿宋_GB2312" w:eastAsia="方正仿宋_GB2312" w:cs="方正仿宋_GB2312" w:hAnsi="方正仿宋_GB2312" w:hint="eastAsia"/>
                <w:i w:val="0"/>
                <w:iCs w:val="0"/>
                <w:color w:val="000000"/>
                <w:kern w:val="0"/>
                <w:sz w:val="20"/>
                <w:szCs w:val="20"/>
                <w:u w:val="none"/>
                <w:lang w:val="en-US" w:eastAsia="zh-CN"/>
                <w:highlight w:val="none"/>
              </w:rPr>
              <w:t>表</w:t>
            </w:r>
          </w:p>
        </w:tc>
      </w:tr>
      <w:tr>
        <w:trPr>
          <w:trHeight w:val="300"/>
        </w:trPr>
        <w:tc>
          <w:tcPr>
            <w:tcW w:w="3481" w:type="dxa"/>
            <w:gridSpan w:val="4"/>
            <w:tcBorders>
              <w:top w:val="nil"/>
              <w:left w:val="nil"/>
              <w:bottom w:val="single" w:sz="8" w:space="0" w:color="000000"/>
              <w:right w:val="nil"/>
            </w:tcBorders>
            <w:noWrap/>
            <w:vAlign w:val="bottom"/>
          </w:tcPr>
          <w:p>
            <w:pPr>
              <w:keepNext w:val="0"/>
              <w:keepLines w:val="0"/>
              <w:widowControl/>
              <w:suppressLineNumbers w:val="0"/>
              <w:jc w:val="left"/>
              <w:textAlignment w:val="bottom"/>
              <w:rPr>
                <w:rFonts w:ascii="宋体" w:eastAsia="宋体" w:cs="宋体" w:hAnsi="宋体"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 xml:space="preserve">部门（单位）：行唐县房地产管理所 </w:t>
            </w:r>
            <w:r>
              <w:rPr>
                <w:rFonts w:ascii="宋体" w:eastAsia="宋体" w:cs="宋体" w:hAnsi="宋体" w:hint="eastAsia"/>
                <w:i w:val="0"/>
                <w:iCs w:val="0"/>
                <w:color w:val="000000"/>
                <w:kern w:val="0"/>
                <w:sz w:val="20"/>
                <w:szCs w:val="20"/>
                <w:u w:val="none"/>
                <w:lang w:val="en-US" w:eastAsia="zh-CN"/>
                <w:highlight w:val="none"/>
              </w:rPr>
              <w:t xml:space="preserve">                                                                                                         </w:t>
            </w:r>
          </w:p>
        </w:tc>
        <w:tc>
          <w:tcPr>
            <w:tcW w:w="2623" w:type="dxa"/>
            <w:gridSpan w:val="3"/>
            <w:tcBorders>
              <w:top w:val="nil"/>
              <w:left w:val="nil"/>
              <w:bottom w:val="single" w:sz="8" w:space="0" w:color="000000"/>
              <w:right w:val="nil"/>
            </w:tcBorders>
            <w:noWrap/>
            <w:vAlign w:val="bottom"/>
          </w:tcPr>
          <w:p>
            <w:pPr>
              <w:keepNext w:val="0"/>
              <w:keepLines w:val="0"/>
              <w:widowControl/>
              <w:suppressLineNumbers w:val="0"/>
              <w:jc w:val="center"/>
              <w:textAlignment w:val="bottom"/>
              <w:rPr>
                <w:rFonts w:ascii="宋体" w:eastAsia="宋体" w:cs="宋体" w:hAnsi="宋体" w:hint="eastAsia"/>
                <w:i w:val="0"/>
                <w:iCs w:val="0"/>
                <w:color w:val="000000"/>
                <w:kern w:val="0"/>
                <w:sz w:val="20"/>
                <w:szCs w:val="20"/>
                <w:u w:val="none"/>
                <w:lang w:val="en-US" w:eastAsia="zh-CN"/>
                <w:highlight w:val="none"/>
              </w:rPr>
            </w:pPr>
            <w:r>
              <w:rPr>
                <w:rFonts w:ascii="Times New Roman" w:eastAsia="宋体" w:cs="Times New Roman" w:hAnsi="Times New Roman"/>
                <w:i w:val="0"/>
                <w:iCs w:val="0"/>
                <w:color w:val="000000"/>
                <w:kern w:val="0"/>
                <w:sz w:val="20"/>
                <w:szCs w:val="20"/>
                <w:u w:val="none"/>
                <w:lang w:val="en-US" w:eastAsia="zh-CN"/>
                <w:highlight w:val="none"/>
              </w:rPr>
              <w:t>202</w:t>
            </w:r>
            <w:r>
              <w:rPr>
                <w:rFonts w:ascii="Times New Roman" w:cs="Times New Roman" w:hAnsi="Times New Roman" w:hint="eastAsia"/>
                <w:i w:val="0"/>
                <w:iCs w:val="0"/>
                <w:color w:val="000000"/>
                <w:kern w:val="0"/>
                <w:sz w:val="20"/>
                <w:szCs w:val="20"/>
                <w:u w:val="none"/>
                <w:lang w:val="en-US" w:eastAsia="zh-CN"/>
                <w:highlight w:val="none"/>
              </w:rPr>
              <w:t>5</w:t>
            </w:r>
            <w:r>
              <w:rPr>
                <w:rFonts w:ascii="方正仿宋_GB2312" w:eastAsia="方正仿宋_GB2312" w:cs="方正仿宋_GB2312" w:hAnsi="方正仿宋_GB2312" w:hint="eastAsia"/>
                <w:i w:val="0"/>
                <w:iCs w:val="0"/>
                <w:color w:val="000000"/>
                <w:kern w:val="0"/>
                <w:sz w:val="20"/>
                <w:szCs w:val="20"/>
                <w:u w:val="none"/>
                <w:lang w:val="en-US" w:eastAsia="zh-CN"/>
                <w:highlight w:val="none"/>
              </w:rPr>
              <w:t>年度</w:t>
            </w:r>
          </w:p>
        </w:tc>
        <w:tc>
          <w:tcPr>
            <w:tcW w:w="3242" w:type="dxa"/>
            <w:gridSpan w:val="3"/>
            <w:tcBorders>
              <w:top w:val="nil"/>
              <w:left w:val="nil"/>
              <w:bottom w:val="single" w:sz="8" w:space="0" w:color="000000"/>
              <w:right w:val="nil"/>
            </w:tcBorders>
            <w:noWrap/>
            <w:vAlign w:val="bottom"/>
          </w:tcPr>
          <w:p>
            <w:pPr>
              <w:keepNext w:val="0"/>
              <w:keepLines w:val="0"/>
              <w:widowControl/>
              <w:suppressLineNumbers w:val="0"/>
              <w:jc w:val="right"/>
              <w:textAlignment w:val="bottom"/>
              <w:rPr>
                <w:rFonts w:ascii="宋体" w:eastAsia="宋体" w:cs="宋体" w:hAnsi="宋体" w:hint="eastAsia"/>
                <w:i w:val="0"/>
                <w:iCs w:val="0"/>
                <w:color w:val="000000"/>
                <w:kern w:val="0"/>
                <w:sz w:val="20"/>
                <w:szCs w:val="20"/>
                <w:u w:val="none"/>
                <w:lang w:val="en-US" w:eastAsia="zh-CN"/>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 xml:space="preserve"> 金额单位：万元</w:t>
            </w:r>
          </w:p>
        </w:tc>
      </w:tr>
      <w:tr>
        <w:trPr>
          <w:trHeight w:val="510"/>
        </w:trPr>
        <w:tc>
          <w:tcPr>
            <w:tcW w:w="2227"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项目</w:t>
            </w:r>
          </w:p>
        </w:tc>
        <w:tc>
          <w:tcPr>
            <w:tcW w:w="1128"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本年支出合计</w:t>
            </w:r>
          </w:p>
        </w:tc>
        <w:tc>
          <w:tcPr>
            <w:tcW w:w="1126" w:type="dxa"/>
            <w:gridSpan w:val="2"/>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基本支出</w:t>
            </w:r>
          </w:p>
        </w:tc>
        <w:tc>
          <w:tcPr>
            <w:tcW w:w="1126"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项目支出</w:t>
            </w:r>
          </w:p>
        </w:tc>
        <w:tc>
          <w:tcPr>
            <w:tcW w:w="1126" w:type="dxa"/>
            <w:gridSpan w:val="2"/>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上缴上级支出</w:t>
            </w:r>
          </w:p>
        </w:tc>
        <w:tc>
          <w:tcPr>
            <w:tcW w:w="1126"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经营支出</w:t>
            </w:r>
          </w:p>
        </w:tc>
        <w:tc>
          <w:tcPr>
            <w:tcW w:w="1487"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对附属单位补助支出</w:t>
            </w:r>
          </w:p>
        </w:tc>
      </w:tr>
      <w:tr>
        <w:trPr>
          <w:trHeight w:val="308"/>
        </w:trPr>
        <w:tc>
          <w:tcPr>
            <w:tcW w:w="1040"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lang w:val="en-US" w:eastAsia="zh-CN"/>
                <w:highlight w:val="none"/>
              </w:rPr>
            </w:pPr>
            <w:r>
              <w:rPr>
                <w:rFonts w:ascii="方正仿宋_GB2312" w:eastAsia="方正仿宋_GB2312" w:cs="方正仿宋_GB2312" w:hAnsi="方正仿宋_GB2312" w:hint="eastAsia"/>
                <w:i w:val="0"/>
                <w:iCs w:val="0"/>
                <w:color w:val="000000"/>
                <w:sz w:val="20"/>
                <w:szCs w:val="20"/>
                <w:u w:val="none"/>
                <w:lang w:val="en-US" w:eastAsia="zh-CN"/>
                <w:highlight w:val="none"/>
              </w:rPr>
              <w:t>科目代码</w:t>
            </w:r>
          </w:p>
        </w:tc>
        <w:tc>
          <w:tcPr>
            <w:tcW w:w="1187" w:type="dxa"/>
            <w:vMerge w:val="restart"/>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科目名称</w:t>
            </w:r>
          </w:p>
        </w:tc>
        <w:tc>
          <w:tcPr>
            <w:tcW w:w="1128" w:type="dxa"/>
            <w:vMerge/>
            <w:tcBorders>
              <w:top w:val="single" w:sz="8" w:space="0" w:color="000000"/>
              <w:left w:val="single" w:sz="8" w:space="0" w:color="000000"/>
              <w:bottom w:val="single" w:sz="8" w:space="0" w:color="000000"/>
              <w:right w:val="single" w:sz="8" w:space="0" w:color="000000"/>
            </w:tcBorders>
            <w:vAlign w:val="center"/>
          </w:tcPr>
          <w:p/>
        </w:tc>
        <w:tc>
          <w:tcPr>
            <w:tcW w:w="1126"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126" w:type="dxa"/>
            <w:vMerge/>
            <w:tcBorders>
              <w:top w:val="single" w:sz="8" w:space="0" w:color="000000"/>
              <w:left w:val="single" w:sz="8" w:space="0" w:color="000000"/>
              <w:bottom w:val="single" w:sz="8" w:space="0" w:color="000000"/>
              <w:right w:val="single" w:sz="8" w:space="0" w:color="000000"/>
            </w:tcBorders>
            <w:vAlign w:val="center"/>
          </w:tcPr>
          <w:p/>
        </w:tc>
        <w:tc>
          <w:tcPr>
            <w:tcW w:w="1126"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126" w:type="dxa"/>
            <w:vMerge/>
            <w:tcBorders>
              <w:top w:val="single" w:sz="8" w:space="0" w:color="000000"/>
              <w:left w:val="single" w:sz="8" w:space="0" w:color="000000"/>
              <w:bottom w:val="single" w:sz="8" w:space="0" w:color="000000"/>
              <w:right w:val="single" w:sz="8" w:space="0" w:color="000000"/>
            </w:tcBorders>
            <w:vAlign w:val="center"/>
          </w:tcPr>
          <w:p/>
        </w:tc>
        <w:tc>
          <w:tcPr>
            <w:tcW w:w="1487" w:type="dxa"/>
            <w:vMerge/>
            <w:tcBorders>
              <w:top w:val="single" w:sz="8" w:space="0" w:color="000000"/>
              <w:left w:val="single" w:sz="8" w:space="0" w:color="000000"/>
              <w:bottom w:val="single" w:sz="8" w:space="0" w:color="000000"/>
              <w:right w:val="single" w:sz="8" w:space="0" w:color="000000"/>
            </w:tcBorders>
            <w:vAlign w:val="center"/>
          </w:tcPr>
          <w:p/>
        </w:tc>
      </w:tr>
      <w:tr>
        <w:trPr>
          <w:trHeight w:val="308"/>
        </w:trPr>
        <w:tc>
          <w:tcPr>
            <w:tcW w:w="1040" w:type="dxa"/>
            <w:vMerge/>
            <w:tcBorders>
              <w:top w:val="single" w:sz="8" w:space="0" w:color="000000"/>
              <w:left w:val="single" w:sz="8" w:space="0" w:color="000000"/>
              <w:bottom w:val="single" w:sz="8" w:space="0" w:color="000000"/>
              <w:right w:val="single" w:sz="8" w:space="0" w:color="000000"/>
            </w:tcBorders>
            <w:vAlign w:val="center"/>
          </w:tcPr>
          <w:p/>
        </w:tc>
        <w:tc>
          <w:tcPr>
            <w:tcW w:w="1187" w:type="dxa"/>
            <w:vMerge/>
            <w:tcBorders>
              <w:top w:val="single" w:sz="8" w:space="0" w:color="000000"/>
              <w:left w:val="single" w:sz="8" w:space="0" w:color="000000"/>
              <w:bottom w:val="single" w:sz="8" w:space="0" w:color="000000"/>
              <w:right w:val="single" w:sz="8" w:space="0" w:color="000000"/>
            </w:tcBorders>
            <w:noWrap/>
            <w:vAlign w:val="center"/>
          </w:tcPr>
          <w:p/>
        </w:tc>
        <w:tc>
          <w:tcPr>
            <w:tcW w:w="1128" w:type="dxa"/>
            <w:vMerge/>
            <w:tcBorders>
              <w:top w:val="single" w:sz="8" w:space="0" w:color="000000"/>
              <w:left w:val="single" w:sz="8" w:space="0" w:color="000000"/>
              <w:bottom w:val="single" w:sz="8" w:space="0" w:color="000000"/>
              <w:right w:val="single" w:sz="8" w:space="0" w:color="000000"/>
            </w:tcBorders>
            <w:vAlign w:val="center"/>
          </w:tcPr>
          <w:p/>
        </w:tc>
        <w:tc>
          <w:tcPr>
            <w:tcW w:w="1126"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126" w:type="dxa"/>
            <w:vMerge/>
            <w:tcBorders>
              <w:top w:val="single" w:sz="8" w:space="0" w:color="000000"/>
              <w:left w:val="single" w:sz="8" w:space="0" w:color="000000"/>
              <w:bottom w:val="single" w:sz="8" w:space="0" w:color="000000"/>
              <w:right w:val="single" w:sz="8" w:space="0" w:color="000000"/>
            </w:tcBorders>
            <w:vAlign w:val="center"/>
          </w:tcPr>
          <w:p/>
        </w:tc>
        <w:tc>
          <w:tcPr>
            <w:tcW w:w="1126"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126" w:type="dxa"/>
            <w:vMerge/>
            <w:tcBorders>
              <w:top w:val="single" w:sz="8" w:space="0" w:color="000000"/>
              <w:left w:val="single" w:sz="8" w:space="0" w:color="000000"/>
              <w:bottom w:val="single" w:sz="8" w:space="0" w:color="000000"/>
              <w:right w:val="single" w:sz="8" w:space="0" w:color="000000"/>
            </w:tcBorders>
            <w:vAlign w:val="center"/>
          </w:tcPr>
          <w:p/>
        </w:tc>
        <w:tc>
          <w:tcPr>
            <w:tcW w:w="1487" w:type="dxa"/>
            <w:vMerge/>
            <w:tcBorders>
              <w:top w:val="single" w:sz="8" w:space="0" w:color="000000"/>
              <w:left w:val="single" w:sz="8" w:space="0" w:color="000000"/>
              <w:bottom w:val="single" w:sz="8" w:space="0" w:color="000000"/>
              <w:right w:val="single" w:sz="8" w:space="0" w:color="000000"/>
            </w:tcBorders>
            <w:vAlign w:val="center"/>
          </w:tcPr>
          <w:p/>
        </w:tc>
      </w:tr>
      <w:tr>
        <w:trPr>
          <w:trHeight w:val="308"/>
        </w:trPr>
        <w:tc>
          <w:tcPr>
            <w:tcW w:w="1040" w:type="dxa"/>
            <w:vMerge/>
            <w:tcBorders>
              <w:top w:val="single" w:sz="8" w:space="0" w:color="000000"/>
              <w:left w:val="single" w:sz="8" w:space="0" w:color="000000"/>
              <w:bottom w:val="single" w:sz="8" w:space="0" w:color="000000"/>
              <w:right w:val="single" w:sz="8" w:space="0" w:color="000000"/>
            </w:tcBorders>
            <w:vAlign w:val="center"/>
          </w:tcPr>
          <w:p/>
        </w:tc>
        <w:tc>
          <w:tcPr>
            <w:tcW w:w="1187" w:type="dxa"/>
            <w:vMerge/>
            <w:tcBorders>
              <w:top w:val="single" w:sz="8" w:space="0" w:color="000000"/>
              <w:left w:val="single" w:sz="8" w:space="0" w:color="000000"/>
              <w:bottom w:val="single" w:sz="8" w:space="0" w:color="000000"/>
              <w:right w:val="single" w:sz="8" w:space="0" w:color="000000"/>
            </w:tcBorders>
            <w:noWrap/>
            <w:vAlign w:val="center"/>
          </w:tcPr>
          <w:p/>
        </w:tc>
        <w:tc>
          <w:tcPr>
            <w:tcW w:w="1128" w:type="dxa"/>
            <w:vMerge/>
            <w:tcBorders>
              <w:top w:val="single" w:sz="8" w:space="0" w:color="000000"/>
              <w:left w:val="single" w:sz="8" w:space="0" w:color="000000"/>
              <w:bottom w:val="single" w:sz="8" w:space="0" w:color="000000"/>
              <w:right w:val="single" w:sz="8" w:space="0" w:color="000000"/>
            </w:tcBorders>
            <w:vAlign w:val="center"/>
          </w:tcPr>
          <w:p/>
        </w:tc>
        <w:tc>
          <w:tcPr>
            <w:tcW w:w="1126"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126" w:type="dxa"/>
            <w:vMerge/>
            <w:tcBorders>
              <w:top w:val="single" w:sz="8" w:space="0" w:color="000000"/>
              <w:left w:val="single" w:sz="8" w:space="0" w:color="000000"/>
              <w:bottom w:val="single" w:sz="8" w:space="0" w:color="000000"/>
              <w:right w:val="single" w:sz="8" w:space="0" w:color="000000"/>
            </w:tcBorders>
            <w:vAlign w:val="center"/>
          </w:tcPr>
          <w:p/>
        </w:tc>
        <w:tc>
          <w:tcPr>
            <w:tcW w:w="1126"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126" w:type="dxa"/>
            <w:vMerge/>
            <w:tcBorders>
              <w:top w:val="single" w:sz="8" w:space="0" w:color="000000"/>
              <w:left w:val="single" w:sz="8" w:space="0" w:color="000000"/>
              <w:bottom w:val="single" w:sz="8" w:space="0" w:color="000000"/>
              <w:right w:val="single" w:sz="8" w:space="0" w:color="000000"/>
            </w:tcBorders>
            <w:vAlign w:val="center"/>
          </w:tcPr>
          <w:p/>
        </w:tc>
        <w:tc>
          <w:tcPr>
            <w:tcW w:w="1487" w:type="dxa"/>
            <w:vMerge/>
            <w:tcBorders>
              <w:top w:val="single" w:sz="8" w:space="0" w:color="000000"/>
              <w:left w:val="single" w:sz="8" w:space="0" w:color="000000"/>
              <w:bottom w:val="single" w:sz="8" w:space="0" w:color="000000"/>
              <w:right w:val="single" w:sz="8" w:space="0" w:color="000000"/>
            </w:tcBorders>
            <w:vAlign w:val="center"/>
          </w:tcPr>
          <w:p/>
        </w:tc>
      </w:tr>
      <w:tr>
        <w:trPr>
          <w:trHeight w:val="454"/>
        </w:trPr>
        <w:tc>
          <w:tcPr>
            <w:tcW w:w="2227"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栏次</w:t>
            </w:r>
          </w:p>
        </w:tc>
        <w:tc>
          <w:tcPr>
            <w:tcW w:w="1128"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1</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2</w:t>
            </w:r>
          </w:p>
        </w:tc>
        <w:tc>
          <w:tcPr>
            <w:tcW w:w="112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3</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4</w:t>
            </w:r>
          </w:p>
        </w:tc>
        <w:tc>
          <w:tcPr>
            <w:tcW w:w="112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5</w:t>
            </w:r>
          </w:p>
        </w:tc>
        <w:tc>
          <w:tcPr>
            <w:tcW w:w="1487"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6</w:t>
            </w:r>
          </w:p>
        </w:tc>
      </w:tr>
      <w:tr>
        <w:trPr>
          <w:trHeight w:val="308"/>
        </w:trPr>
        <w:tc>
          <w:tcPr>
            <w:tcW w:w="2227"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合计</w:t>
            </w:r>
          </w:p>
        </w:tc>
        <w:tc>
          <w:tcPr>
            <w:tcW w:w="1128"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cs="Times New Roman" w:hAnsi="Times New Roman"/>
                <w:sz w:val="20"/>
                <w:szCs w:val="20"/>
                <w:highlight w:val="none"/>
              </w:rPr>
              <w:t>127.89</w:t>
            </w:r>
          </w:p>
        </w:tc>
        <w:tc>
          <w:tcPr>
            <w:tcW w:w="1126"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cs="Times New Roman" w:hAnsi="Times New Roman"/>
                <w:sz w:val="20"/>
                <w:szCs w:val="20"/>
                <w:highlight w:val="none"/>
              </w:rPr>
              <w:t>71.86</w:t>
            </w:r>
          </w:p>
        </w:tc>
        <w:tc>
          <w:tcPr>
            <w:tcW w:w="1126"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cs="Times New Roman" w:hAnsi="Times New Roman"/>
                <w:sz w:val="20"/>
                <w:szCs w:val="20"/>
                <w:highlight w:val="none"/>
              </w:rPr>
              <w:t>56.03</w:t>
            </w:r>
          </w:p>
        </w:tc>
        <w:tc>
          <w:tcPr>
            <w:tcW w:w="1126"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126"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48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none"/>
              </w:rPr>
            </w:pPr>
            <w:r>
              <w:rPr>
                <w:rFonts w:ascii="Times New Roman" w:eastAsia="方正仿宋_GB2312" w:cs="Times New Roman" w:hAnsi="Times New Roman"/>
                <w:i w:val="0"/>
                <w:iCs w:val="0"/>
                <w:color w:val="000000"/>
                <w:sz w:val="20"/>
                <w:szCs w:val="20"/>
                <w:u w:val="none"/>
                <w:lang w:val="en-US" w:eastAsia="zh-CN"/>
                <w:highlight w:val="none"/>
              </w:rPr>
              <w:t>208</w:t>
            </w:r>
          </w:p>
        </w:tc>
        <w:tc>
          <w:tcPr>
            <w:tcW w:w="1187"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sz w:val="20"/>
                <w:szCs w:val="20"/>
                <w:u w:val="none"/>
                <w:lang w:val="en-US" w:eastAsia="zh-CN"/>
                <w:highlight w:val="none"/>
              </w:rPr>
              <w:t>社会保障和就业支出</w:t>
            </w:r>
          </w:p>
        </w:tc>
        <w:tc>
          <w:tcPr>
            <w:tcW w:w="1128"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5.09</w:t>
            </w:r>
          </w:p>
        </w:tc>
        <w:tc>
          <w:tcPr>
            <w:tcW w:w="1126"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5.09</w:t>
            </w:r>
          </w:p>
        </w:tc>
        <w:tc>
          <w:tcPr>
            <w:tcW w:w="1126"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126"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126"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48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none"/>
              </w:rPr>
            </w:pPr>
            <w:r>
              <w:rPr>
                <w:rFonts w:ascii="Times New Roman" w:eastAsia="方正仿宋_GB2312" w:cs="Times New Roman" w:hAnsi="Times New Roman"/>
                <w:i w:val="0"/>
                <w:iCs w:val="0"/>
                <w:color w:val="000000"/>
                <w:sz w:val="20"/>
                <w:szCs w:val="20"/>
                <w:u w:val="none"/>
                <w:lang w:val="en-US" w:eastAsia="zh-CN"/>
                <w:highlight w:val="none"/>
              </w:rPr>
              <w:t>20805</w:t>
            </w:r>
          </w:p>
        </w:tc>
        <w:tc>
          <w:tcPr>
            <w:tcW w:w="1187"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sz w:val="20"/>
                <w:szCs w:val="20"/>
                <w:u w:val="none"/>
                <w:lang w:val="en-US" w:eastAsia="zh-CN"/>
                <w:highlight w:val="none"/>
              </w:rPr>
              <w:t>行政事业单位养老支出</w:t>
            </w:r>
          </w:p>
        </w:tc>
        <w:tc>
          <w:tcPr>
            <w:tcW w:w="1128"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5.09</w:t>
            </w:r>
          </w:p>
        </w:tc>
        <w:tc>
          <w:tcPr>
            <w:tcW w:w="1126"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5.09</w:t>
            </w:r>
          </w:p>
        </w:tc>
        <w:tc>
          <w:tcPr>
            <w:tcW w:w="1126"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126"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126"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48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none"/>
              </w:rPr>
            </w:pPr>
            <w:r>
              <w:rPr>
                <w:rFonts w:ascii="Times New Roman" w:eastAsia="方正仿宋_GB2312" w:cs="Times New Roman" w:hAnsi="Times New Roman"/>
                <w:i w:val="0"/>
                <w:iCs w:val="0"/>
                <w:color w:val="000000"/>
                <w:sz w:val="20"/>
                <w:szCs w:val="20"/>
                <w:u w:val="none"/>
                <w:lang w:val="en-US" w:eastAsia="zh-CN"/>
                <w:highlight w:val="none"/>
              </w:rPr>
              <w:t>2080505</w:t>
            </w:r>
          </w:p>
        </w:tc>
        <w:tc>
          <w:tcPr>
            <w:tcW w:w="1187"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sz w:val="20"/>
                <w:szCs w:val="20"/>
                <w:u w:val="none"/>
                <w:lang w:val="en-US" w:eastAsia="zh-CN"/>
                <w:highlight w:val="none"/>
              </w:rPr>
              <w:t>机关事业单位基本养老保险缴费支出</w:t>
            </w:r>
          </w:p>
        </w:tc>
        <w:tc>
          <w:tcPr>
            <w:tcW w:w="1128"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5.09</w:t>
            </w:r>
          </w:p>
        </w:tc>
        <w:tc>
          <w:tcPr>
            <w:tcW w:w="1126"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5.09</w:t>
            </w:r>
          </w:p>
        </w:tc>
        <w:tc>
          <w:tcPr>
            <w:tcW w:w="1126"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126"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126"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48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none"/>
              </w:rPr>
            </w:pPr>
            <w:r>
              <w:rPr>
                <w:rFonts w:ascii="Times New Roman" w:eastAsia="方正仿宋_GB2312" w:cs="Times New Roman" w:hAnsi="Times New Roman"/>
                <w:i w:val="0"/>
                <w:iCs w:val="0"/>
                <w:color w:val="000000"/>
                <w:sz w:val="20"/>
                <w:szCs w:val="20"/>
                <w:u w:val="none"/>
                <w:lang w:val="en-US" w:eastAsia="zh-CN"/>
                <w:highlight w:val="none"/>
              </w:rPr>
              <w:t>210</w:t>
            </w:r>
          </w:p>
        </w:tc>
        <w:tc>
          <w:tcPr>
            <w:tcW w:w="1187"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sz w:val="20"/>
                <w:szCs w:val="20"/>
                <w:u w:val="none"/>
                <w:lang w:val="en-US" w:eastAsia="zh-CN"/>
                <w:highlight w:val="none"/>
              </w:rPr>
              <w:t>卫生健康支出</w:t>
            </w:r>
          </w:p>
        </w:tc>
        <w:tc>
          <w:tcPr>
            <w:tcW w:w="1128"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2.79</w:t>
            </w:r>
          </w:p>
        </w:tc>
        <w:tc>
          <w:tcPr>
            <w:tcW w:w="1126"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2.79</w:t>
            </w:r>
          </w:p>
        </w:tc>
        <w:tc>
          <w:tcPr>
            <w:tcW w:w="1126"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126"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126"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48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none"/>
              </w:rPr>
            </w:pPr>
            <w:r>
              <w:rPr>
                <w:rFonts w:ascii="Times New Roman" w:eastAsia="方正仿宋_GB2312" w:cs="Times New Roman" w:hAnsi="Times New Roman"/>
                <w:i w:val="0"/>
                <w:iCs w:val="0"/>
                <w:color w:val="000000"/>
                <w:sz w:val="20"/>
                <w:szCs w:val="20"/>
                <w:u w:val="none"/>
                <w:lang w:val="en-US" w:eastAsia="zh-CN"/>
                <w:highlight w:val="none"/>
              </w:rPr>
              <w:t>21011</w:t>
            </w:r>
          </w:p>
        </w:tc>
        <w:tc>
          <w:tcPr>
            <w:tcW w:w="1187"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sz w:val="20"/>
                <w:szCs w:val="20"/>
                <w:u w:val="none"/>
                <w:lang w:val="en-US" w:eastAsia="zh-CN"/>
                <w:highlight w:val="none"/>
              </w:rPr>
              <w:t>行政事业单位医疗</w:t>
            </w:r>
          </w:p>
        </w:tc>
        <w:tc>
          <w:tcPr>
            <w:tcW w:w="1128"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2.79</w:t>
            </w:r>
          </w:p>
        </w:tc>
        <w:tc>
          <w:tcPr>
            <w:tcW w:w="1126"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2.79</w:t>
            </w:r>
          </w:p>
        </w:tc>
        <w:tc>
          <w:tcPr>
            <w:tcW w:w="1126"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126"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126"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48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none"/>
              </w:rPr>
            </w:pPr>
            <w:r>
              <w:rPr>
                <w:rFonts w:ascii="Times New Roman" w:eastAsia="方正仿宋_GB2312" w:cs="Times New Roman" w:hAnsi="Times New Roman"/>
                <w:i w:val="0"/>
                <w:iCs w:val="0"/>
                <w:color w:val="000000"/>
                <w:sz w:val="20"/>
                <w:szCs w:val="20"/>
                <w:u w:val="none"/>
                <w:lang w:val="en-US" w:eastAsia="zh-CN"/>
                <w:highlight w:val="none"/>
              </w:rPr>
              <w:t>2101102</w:t>
            </w:r>
          </w:p>
        </w:tc>
        <w:tc>
          <w:tcPr>
            <w:tcW w:w="1187"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sz w:val="20"/>
                <w:szCs w:val="20"/>
                <w:u w:val="none"/>
                <w:lang w:val="en-US" w:eastAsia="zh-CN"/>
                <w:highlight w:val="none"/>
              </w:rPr>
              <w:t>事业单位医疗</w:t>
            </w:r>
          </w:p>
        </w:tc>
        <w:tc>
          <w:tcPr>
            <w:tcW w:w="1128"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2.79</w:t>
            </w:r>
          </w:p>
        </w:tc>
        <w:tc>
          <w:tcPr>
            <w:tcW w:w="1126"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2.79</w:t>
            </w:r>
          </w:p>
        </w:tc>
        <w:tc>
          <w:tcPr>
            <w:tcW w:w="1126"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126"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126"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48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none"/>
              </w:rPr>
            </w:pPr>
            <w:r>
              <w:rPr>
                <w:rFonts w:ascii="Times New Roman" w:eastAsia="方正仿宋_GB2312" w:cs="Times New Roman" w:hAnsi="Times New Roman"/>
                <w:i w:val="0"/>
                <w:iCs w:val="0"/>
                <w:color w:val="000000"/>
                <w:sz w:val="20"/>
                <w:szCs w:val="20"/>
                <w:u w:val="none"/>
                <w:lang w:val="en-US" w:eastAsia="zh-CN"/>
                <w:highlight w:val="none"/>
              </w:rPr>
              <w:t>212</w:t>
            </w:r>
          </w:p>
        </w:tc>
        <w:tc>
          <w:tcPr>
            <w:tcW w:w="1187"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sz w:val="20"/>
                <w:szCs w:val="20"/>
                <w:u w:val="none"/>
                <w:lang w:val="en-US" w:eastAsia="zh-CN"/>
                <w:highlight w:val="none"/>
              </w:rPr>
              <w:t>城乡社区支出</w:t>
            </w:r>
          </w:p>
        </w:tc>
        <w:tc>
          <w:tcPr>
            <w:tcW w:w="1128"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115.80</w:t>
            </w:r>
          </w:p>
        </w:tc>
        <w:tc>
          <w:tcPr>
            <w:tcW w:w="1126"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59.78</w:t>
            </w:r>
          </w:p>
        </w:tc>
        <w:tc>
          <w:tcPr>
            <w:tcW w:w="1126"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56.03</w:t>
            </w:r>
          </w:p>
        </w:tc>
        <w:tc>
          <w:tcPr>
            <w:tcW w:w="1126"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126"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48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none"/>
              </w:rPr>
            </w:pPr>
            <w:r>
              <w:rPr>
                <w:rFonts w:ascii="Times New Roman" w:eastAsia="方正仿宋_GB2312" w:cs="Times New Roman" w:hAnsi="Times New Roman"/>
                <w:i w:val="0"/>
                <w:iCs w:val="0"/>
                <w:color w:val="000000"/>
                <w:sz w:val="20"/>
                <w:szCs w:val="20"/>
                <w:u w:val="none"/>
                <w:lang w:val="en-US" w:eastAsia="zh-CN"/>
                <w:highlight w:val="none"/>
              </w:rPr>
              <w:t>21201</w:t>
            </w:r>
          </w:p>
        </w:tc>
        <w:tc>
          <w:tcPr>
            <w:tcW w:w="1187"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sz w:val="20"/>
                <w:szCs w:val="20"/>
                <w:u w:val="none"/>
                <w:lang w:val="en-US" w:eastAsia="zh-CN"/>
                <w:highlight w:val="none"/>
              </w:rPr>
              <w:t>城乡社区管理事务</w:t>
            </w:r>
          </w:p>
        </w:tc>
        <w:tc>
          <w:tcPr>
            <w:tcW w:w="1128"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115.80</w:t>
            </w:r>
          </w:p>
        </w:tc>
        <w:tc>
          <w:tcPr>
            <w:tcW w:w="1126"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59.78</w:t>
            </w:r>
          </w:p>
        </w:tc>
        <w:tc>
          <w:tcPr>
            <w:tcW w:w="1126"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56.03</w:t>
            </w:r>
          </w:p>
        </w:tc>
        <w:tc>
          <w:tcPr>
            <w:tcW w:w="1126"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126"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48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none"/>
              </w:rPr>
            </w:pPr>
            <w:r>
              <w:rPr>
                <w:rFonts w:ascii="Times New Roman" w:eastAsia="方正仿宋_GB2312" w:cs="Times New Roman" w:hAnsi="Times New Roman"/>
                <w:i w:val="0"/>
                <w:iCs w:val="0"/>
                <w:color w:val="000000"/>
                <w:sz w:val="20"/>
                <w:szCs w:val="20"/>
                <w:u w:val="none"/>
                <w:lang w:val="en-US" w:eastAsia="zh-CN"/>
                <w:highlight w:val="none"/>
              </w:rPr>
              <w:t>2120102</w:t>
            </w:r>
          </w:p>
        </w:tc>
        <w:tc>
          <w:tcPr>
            <w:tcW w:w="1187"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sz w:val="20"/>
                <w:szCs w:val="20"/>
                <w:u w:val="none"/>
                <w:lang w:val="en-US" w:eastAsia="zh-CN"/>
                <w:highlight w:val="none"/>
              </w:rPr>
              <w:t>一般行政管理事务</w:t>
            </w:r>
          </w:p>
        </w:tc>
        <w:tc>
          <w:tcPr>
            <w:tcW w:w="1128"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56.03</w:t>
            </w:r>
          </w:p>
        </w:tc>
        <w:tc>
          <w:tcPr>
            <w:tcW w:w="1126"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126"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56.03</w:t>
            </w:r>
          </w:p>
        </w:tc>
        <w:tc>
          <w:tcPr>
            <w:tcW w:w="1126"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126"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48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none"/>
              </w:rPr>
            </w:pPr>
            <w:r>
              <w:rPr>
                <w:rFonts w:ascii="Times New Roman" w:eastAsia="方正仿宋_GB2312" w:cs="Times New Roman" w:hAnsi="Times New Roman"/>
                <w:i w:val="0"/>
                <w:iCs w:val="0"/>
                <w:color w:val="000000"/>
                <w:sz w:val="20"/>
                <w:szCs w:val="20"/>
                <w:u w:val="none"/>
                <w:lang w:val="en-US" w:eastAsia="zh-CN"/>
                <w:highlight w:val="none"/>
              </w:rPr>
              <w:t>2120109</w:t>
            </w:r>
          </w:p>
        </w:tc>
        <w:tc>
          <w:tcPr>
            <w:tcW w:w="1187"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sz w:val="20"/>
                <w:szCs w:val="20"/>
                <w:u w:val="none"/>
                <w:lang w:val="en-US" w:eastAsia="zh-CN"/>
                <w:highlight w:val="none"/>
              </w:rPr>
              <w:t>住宅建设与房地产市场监管</w:t>
            </w:r>
          </w:p>
        </w:tc>
        <w:tc>
          <w:tcPr>
            <w:tcW w:w="1128"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59.78</w:t>
            </w:r>
          </w:p>
        </w:tc>
        <w:tc>
          <w:tcPr>
            <w:tcW w:w="1126"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59.78</w:t>
            </w:r>
          </w:p>
        </w:tc>
        <w:tc>
          <w:tcPr>
            <w:tcW w:w="1126"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126"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126"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48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469"/>
        </w:trPr>
        <w:tc>
          <w:tcPr>
            <w:tcW w:w="1040"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none"/>
              </w:rPr>
            </w:pPr>
            <w:r>
              <w:rPr>
                <w:rFonts w:ascii="Times New Roman" w:eastAsia="方正仿宋_GB2312" w:cs="Times New Roman" w:hAnsi="Times New Roman"/>
                <w:i w:val="0"/>
                <w:iCs w:val="0"/>
                <w:color w:val="000000"/>
                <w:sz w:val="20"/>
                <w:szCs w:val="20"/>
                <w:u w:val="none"/>
                <w:lang w:val="en-US" w:eastAsia="zh-CN"/>
                <w:highlight w:val="none"/>
              </w:rPr>
              <w:t>221</w:t>
            </w:r>
          </w:p>
        </w:tc>
        <w:tc>
          <w:tcPr>
            <w:tcW w:w="1187"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sz w:val="20"/>
                <w:szCs w:val="20"/>
                <w:u w:val="none"/>
                <w:lang w:val="en-US" w:eastAsia="zh-CN"/>
                <w:highlight w:val="none"/>
              </w:rPr>
              <w:t>住房保障支出</w:t>
            </w:r>
          </w:p>
        </w:tc>
        <w:tc>
          <w:tcPr>
            <w:tcW w:w="1128"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4.21</w:t>
            </w:r>
          </w:p>
        </w:tc>
        <w:tc>
          <w:tcPr>
            <w:tcW w:w="1126"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4.21</w:t>
            </w:r>
          </w:p>
        </w:tc>
        <w:tc>
          <w:tcPr>
            <w:tcW w:w="1126"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126"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126"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48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439"/>
        </w:trPr>
        <w:tc>
          <w:tcPr>
            <w:tcW w:w="1040"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none"/>
              </w:rPr>
            </w:pPr>
            <w:r>
              <w:rPr>
                <w:rFonts w:ascii="Times New Roman" w:eastAsia="方正仿宋_GB2312" w:cs="Times New Roman" w:hAnsi="Times New Roman"/>
                <w:i w:val="0"/>
                <w:iCs w:val="0"/>
                <w:color w:val="000000"/>
                <w:sz w:val="20"/>
                <w:szCs w:val="20"/>
                <w:u w:val="none"/>
                <w:lang w:val="en-US" w:eastAsia="zh-CN"/>
                <w:highlight w:val="none"/>
              </w:rPr>
              <w:t>22102</w:t>
            </w:r>
          </w:p>
        </w:tc>
        <w:tc>
          <w:tcPr>
            <w:tcW w:w="1187"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sz w:val="20"/>
                <w:szCs w:val="20"/>
                <w:u w:val="none"/>
                <w:lang w:val="en-US" w:eastAsia="zh-CN"/>
                <w:highlight w:val="none"/>
              </w:rPr>
              <w:t>住房改革支出</w:t>
            </w:r>
          </w:p>
        </w:tc>
        <w:tc>
          <w:tcPr>
            <w:tcW w:w="1128"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4.21</w:t>
            </w:r>
          </w:p>
        </w:tc>
        <w:tc>
          <w:tcPr>
            <w:tcW w:w="1126"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4.21</w:t>
            </w:r>
          </w:p>
        </w:tc>
        <w:tc>
          <w:tcPr>
            <w:tcW w:w="1126"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126"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126"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48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90"/>
        </w:trPr>
        <w:tc>
          <w:tcPr>
            <w:tcW w:w="1040"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none"/>
              </w:rPr>
            </w:pPr>
            <w:r>
              <w:rPr>
                <w:rFonts w:ascii="Times New Roman" w:eastAsia="方正仿宋_GB2312" w:cs="Times New Roman" w:hAnsi="Times New Roman"/>
                <w:i w:val="0"/>
                <w:iCs w:val="0"/>
                <w:color w:val="000000"/>
                <w:sz w:val="20"/>
                <w:szCs w:val="20"/>
                <w:u w:val="none"/>
                <w:lang w:val="en-US" w:eastAsia="zh-CN"/>
                <w:highlight w:val="none"/>
              </w:rPr>
              <w:t>2210201</w:t>
            </w:r>
          </w:p>
        </w:tc>
        <w:tc>
          <w:tcPr>
            <w:tcW w:w="1187"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sz w:val="20"/>
                <w:szCs w:val="20"/>
                <w:u w:val="none"/>
                <w:lang w:val="en-US" w:eastAsia="zh-CN"/>
                <w:highlight w:val="none"/>
              </w:rPr>
              <w:t>住房公积金</w:t>
            </w:r>
          </w:p>
        </w:tc>
        <w:tc>
          <w:tcPr>
            <w:tcW w:w="1128"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4.21</w:t>
            </w:r>
          </w:p>
        </w:tc>
        <w:tc>
          <w:tcPr>
            <w:tcW w:w="1126"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4.21</w:t>
            </w:r>
          </w:p>
        </w:tc>
        <w:tc>
          <w:tcPr>
            <w:tcW w:w="1126"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126"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126"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48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252"/>
        </w:trPr>
        <w:tc>
          <w:tcPr>
            <w:tcW w:w="9346" w:type="dxa"/>
            <w:gridSpan w:val="10"/>
            <w:tcBorders>
              <w:top w:val="single" w:sz="8" w:space="0" w:color="000000"/>
              <w:left w:val="nil"/>
              <w:bottom w:val="nil"/>
              <w:right w:val="nil"/>
            </w:tcBorders>
            <w:noWrap/>
            <w:vAlign w:val="center"/>
          </w:tcPr>
          <w:p>
            <w:pPr>
              <w:keepNext w:val="0"/>
              <w:keepLines w:val="0"/>
              <w:widowControl/>
              <w:suppressLineNumbers w:val="0"/>
              <w:jc w:val="left"/>
              <w:textAlignment w:val="center"/>
              <w:rPr>
                <w:rFonts w:ascii="宋体" w:eastAsia="宋体" w:cs="宋体" w:hAnsi="宋体"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注：本表反映部门本年度各项支出情况。</w:t>
            </w:r>
          </w:p>
        </w:tc>
      </w:tr>
    </w:tbl>
    <w:p>
      <w:pPr>
        <w:rPr>
          <w:rFonts w:ascii="仿宋_GB2312" w:eastAsia="仿宋_GB2312" w:hAnsi="宋体" w:hint="eastAsia"/>
          <w:b/>
          <w:color w:val="auto"/>
          <w:kern w:val="0"/>
          <w:sz w:val="32"/>
          <w:szCs w:val="32"/>
          <w:highlight w:val="none"/>
        </w:rPr>
      </w:pPr>
    </w:p>
    <w:tbl>
      <w:tblPr>
        <w:jc w:val="left"/>
        <w:tblInd w:w="-1857" w:type="dxa"/>
        <w:tblW w:w="11709"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Look w:val="0600" w:firstRow="0" w:lastRow="0" w:firstColumn="0" w:lastColumn="0" w:noHBand="1" w:noVBand="1"/>
      </w:tblPr>
      <w:tblGrid>
        <w:gridCol w:w="1984"/>
        <w:gridCol w:w="624"/>
        <w:gridCol w:w="1427"/>
        <w:gridCol w:w="1659"/>
        <w:gridCol w:w="439"/>
        <w:gridCol w:w="624"/>
        <w:gridCol w:w="458"/>
        <w:gridCol w:w="837"/>
        <w:gridCol w:w="1219"/>
        <w:gridCol w:w="1219"/>
        <w:gridCol w:w="1219"/>
      </w:tblGrid>
      <w:tr>
        <w:trPr>
          <w:trHeight w:val="550"/>
        </w:trPr>
        <w:tc>
          <w:tcPr>
            <w:tcW w:w="11709" w:type="dxa"/>
            <w:gridSpan w:val="11"/>
            <w:tcBorders>
              <w:top w:val="nil"/>
              <w:left w:val="nil"/>
              <w:bottom w:val="nil"/>
              <w:right w:val="nil"/>
            </w:tcBorders>
            <w:noWrap/>
            <w:vAlign w:val="bottom"/>
          </w:tcPr>
          <w:p>
            <w:pPr>
              <w:keepNext w:val="0"/>
              <w:keepLines w:val="0"/>
              <w:widowControl/>
              <w:suppressLineNumbers w:val="0"/>
              <w:jc w:val="center"/>
              <w:textAlignment w:val="bottom"/>
              <w:rPr>
                <w:rFonts w:ascii="宋体" w:eastAsia="宋体" w:cs="宋体" w:hAnsi="宋体" w:hint="eastAsia"/>
                <w:i w:val="0"/>
                <w:iCs w:val="0"/>
                <w:color w:val="000000"/>
                <w:sz w:val="20"/>
                <w:szCs w:val="20"/>
                <w:u w:val="none"/>
                <w:highlight w:val="none"/>
              </w:rPr>
            </w:pPr>
            <w:r>
              <w:rPr>
                <w:rFonts w:ascii="方正仿宋_GB2312" w:eastAsia="方正仿宋_GB2312" w:cs="方正仿宋_GB2312" w:hAnsi="方正仿宋_GB2312" w:hint="eastAsia"/>
                <w:b w:val="0"/>
                <w:bCs/>
                <w:color w:val="auto"/>
                <w:kern w:val="0"/>
                <w:sz w:val="32"/>
                <w:szCs w:val="32"/>
                <w:lang w:val="en-US" w:eastAsia="zh-CN"/>
                <w:highlight w:val="none"/>
              </w:rPr>
              <w:t>财政拨款收入支出决算总表</w:t>
            </w:r>
          </w:p>
        </w:tc>
      </w:tr>
      <w:tr>
        <w:trPr>
          <w:trHeight w:val="300"/>
        </w:trPr>
        <w:tc>
          <w:tcPr>
            <w:tcW w:w="11709" w:type="dxa"/>
            <w:gridSpan w:val="11"/>
            <w:tcBorders>
              <w:top w:val="nil"/>
              <w:left w:val="nil"/>
              <w:bottom w:val="nil"/>
              <w:right w:val="nil"/>
            </w:tcBorders>
            <w:noWrap/>
            <w:vAlign w:val="bottom"/>
          </w:tcPr>
          <w:p>
            <w:pPr>
              <w:keepNext w:val="0"/>
              <w:keepLines w:val="0"/>
              <w:widowControl/>
              <w:suppressLineNumbers w:val="0"/>
              <w:jc w:val="right"/>
              <w:textAlignment w:val="bottom"/>
              <w:rPr>
                <w:rFonts w:ascii="宋体" w:eastAsia="宋体" w:cs="宋体" w:hAnsi="宋体"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公开</w:t>
            </w:r>
            <w:r>
              <w:rPr>
                <w:rFonts w:ascii="Times New Roman" w:eastAsia="方正仿宋_GB2312" w:cs="Times New Roman" w:hAnsi="Times New Roman"/>
                <w:i w:val="0"/>
                <w:iCs w:val="0"/>
                <w:color w:val="000000"/>
                <w:kern w:val="0"/>
                <w:sz w:val="20"/>
                <w:szCs w:val="20"/>
                <w:u w:val="none"/>
                <w:lang w:val="en-US" w:eastAsia="zh-CN"/>
                <w:highlight w:val="none"/>
              </w:rPr>
              <w:t>04</w:t>
            </w:r>
            <w:r>
              <w:rPr>
                <w:rFonts w:ascii="方正仿宋_GB2312" w:eastAsia="方正仿宋_GB2312" w:cs="方正仿宋_GB2312" w:hAnsi="方正仿宋_GB2312" w:hint="eastAsia"/>
                <w:i w:val="0"/>
                <w:iCs w:val="0"/>
                <w:color w:val="000000"/>
                <w:kern w:val="0"/>
                <w:sz w:val="20"/>
                <w:szCs w:val="20"/>
                <w:u w:val="none"/>
                <w:lang w:val="en-US" w:eastAsia="zh-CN"/>
                <w:highlight w:val="none"/>
              </w:rPr>
              <w:t>表</w:t>
            </w:r>
          </w:p>
        </w:tc>
      </w:tr>
      <w:tr>
        <w:trPr>
          <w:trHeight w:val="300"/>
        </w:trPr>
        <w:tc>
          <w:tcPr>
            <w:tcW w:w="5694" w:type="dxa"/>
            <w:gridSpan w:val="4"/>
            <w:tcBorders>
              <w:top w:val="nil"/>
              <w:left w:val="nil"/>
              <w:bottom w:val="single" w:sz="8" w:space="0" w:color="000000"/>
              <w:right w:val="nil"/>
            </w:tcBorders>
            <w:noWrap/>
            <w:vAlign w:val="bottom"/>
          </w:tcPr>
          <w:p>
            <w:pPr>
              <w:rPr>
                <w:rFonts w:ascii="仿宋" w:eastAsia="仿宋" w:cs="仿宋" w:hAnsi="仿宋"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 xml:space="preserve">部门（单位）：行唐县房地产管理所 </w:t>
            </w:r>
            <w:r>
              <w:rPr>
                <w:rFonts w:ascii="宋体" w:eastAsia="宋体" w:cs="宋体" w:hAnsi="宋体" w:hint="eastAsia"/>
                <w:i w:val="0"/>
                <w:iCs w:val="0"/>
                <w:color w:val="000000"/>
                <w:kern w:val="0"/>
                <w:sz w:val="20"/>
                <w:szCs w:val="20"/>
                <w:u w:val="none"/>
                <w:lang w:val="en-US" w:eastAsia="zh-CN"/>
                <w:highlight w:val="none"/>
              </w:rPr>
              <w:t xml:space="preserve">                                                                                                   </w:t>
            </w:r>
          </w:p>
        </w:tc>
        <w:tc>
          <w:tcPr>
            <w:tcW w:w="1521" w:type="dxa"/>
            <w:gridSpan w:val="3"/>
            <w:tcBorders>
              <w:top w:val="nil"/>
              <w:left w:val="nil"/>
              <w:bottom w:val="single" w:sz="8" w:space="0" w:color="000000"/>
              <w:right w:val="nil"/>
            </w:tcBorders>
            <w:noWrap/>
            <w:vAlign w:val="bottom"/>
          </w:tcPr>
          <w:p>
            <w:pPr>
              <w:jc w:val="center"/>
              <w:rPr>
                <w:rFonts w:ascii="宋体" w:eastAsia="宋体" w:cs="宋体" w:hAnsi="宋体"/>
                <w:i w:val="0"/>
                <w:iCs w:val="0"/>
                <w:color w:val="000000"/>
                <w:kern w:val="0"/>
                <w:sz w:val="20"/>
                <w:szCs w:val="20"/>
                <w:u w:val="none"/>
                <w:lang w:val="en-US" w:eastAsia="zh-CN"/>
                <w:highlight w:val="none"/>
              </w:rPr>
            </w:pPr>
            <w:r>
              <w:rPr>
                <w:rFonts w:ascii="Times New Roman" w:cs="Times New Roman" w:hAnsi="Times New Roman"/>
                <w:i w:val="0"/>
                <w:iCs w:val="0"/>
                <w:color w:val="000000"/>
                <w:kern w:val="0"/>
                <w:sz w:val="20"/>
                <w:szCs w:val="20"/>
                <w:u w:val="none"/>
                <w:lang w:val="en-US" w:eastAsia="zh-CN"/>
                <w:highlight w:val="none"/>
              </w:rPr>
              <w:t>202</w:t>
            </w:r>
            <w:r>
              <w:rPr>
                <w:rFonts w:ascii="Times New Roman" w:cs="Times New Roman" w:hAnsi="Times New Roman" w:hint="eastAsia"/>
                <w:i w:val="0"/>
                <w:iCs w:val="0"/>
                <w:color w:val="000000"/>
                <w:kern w:val="0"/>
                <w:sz w:val="20"/>
                <w:szCs w:val="20"/>
                <w:u w:val="none"/>
                <w:lang w:val="en-US" w:eastAsia="zh-CN"/>
                <w:highlight w:val="none"/>
              </w:rPr>
              <w:t>5</w:t>
            </w:r>
            <w:r>
              <w:rPr>
                <w:rFonts w:ascii="方正仿宋_GB2312" w:eastAsia="方正仿宋_GB2312" w:cs="方正仿宋_GB2312" w:hAnsi="方正仿宋_GB2312" w:hint="eastAsia"/>
                <w:i w:val="0"/>
                <w:iCs w:val="0"/>
                <w:color w:val="000000"/>
                <w:kern w:val="0"/>
                <w:sz w:val="20"/>
                <w:szCs w:val="20"/>
                <w:u w:val="none"/>
                <w:lang w:val="en-US" w:eastAsia="zh-CN"/>
                <w:highlight w:val="none"/>
              </w:rPr>
              <w:t>年度</w:t>
            </w:r>
          </w:p>
        </w:tc>
        <w:tc>
          <w:tcPr>
            <w:tcW w:w="4494" w:type="dxa"/>
            <w:gridSpan w:val="4"/>
            <w:tcBorders>
              <w:top w:val="nil"/>
              <w:left w:val="nil"/>
              <w:bottom w:val="single" w:sz="8" w:space="0" w:color="000000"/>
              <w:right w:val="nil"/>
            </w:tcBorders>
            <w:noWrap/>
            <w:vAlign w:val="bottom"/>
          </w:tcPr>
          <w:p>
            <w:pPr>
              <w:jc w:val="right"/>
              <w:rPr>
                <w:rFonts w:ascii="宋体" w:eastAsia="宋体" w:cs="宋体" w:hAnsi="宋体"/>
                <w:i w:val="0"/>
                <w:iCs w:val="0"/>
                <w:color w:val="000000"/>
                <w:kern w:val="0"/>
                <w:sz w:val="20"/>
                <w:szCs w:val="20"/>
                <w:u w:val="none"/>
                <w:lang w:val="en-US" w:eastAsia="zh-CN"/>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金额单位：万元</w:t>
            </w:r>
          </w:p>
        </w:tc>
      </w:tr>
      <w:tr>
        <w:trPr>
          <w:trHeight w:val="308"/>
        </w:trPr>
        <w:tc>
          <w:tcPr>
            <w:tcW w:w="4035" w:type="dxa"/>
            <w:gridSpan w:val="3"/>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i w:val="0"/>
                <w:iCs w:val="0"/>
                <w:color w:val="000000"/>
                <w:sz w:val="20"/>
                <w:szCs w:val="20"/>
                <w:u w:val="none"/>
                <w:lang w:val="en-US" w:eastAsia="zh-CN"/>
                <w:highlight w:val="none"/>
              </w:rPr>
            </w:pPr>
            <w:r>
              <w:rPr>
                <w:rFonts w:ascii="方正仿宋_GB2312" w:eastAsia="方正仿宋_GB2312" w:cs="方正仿宋_GB2312" w:hAnsi="方正仿宋_GB2312" w:hint="eastAsia"/>
                <w:i w:val="0"/>
                <w:iCs w:val="0"/>
                <w:color w:val="000000"/>
                <w:sz w:val="20"/>
                <w:szCs w:val="20"/>
                <w:u w:val="none"/>
                <w:lang w:val="en-US" w:eastAsia="zh-CN"/>
                <w:highlight w:val="none"/>
              </w:rPr>
              <w:t>收入</w:t>
            </w:r>
          </w:p>
        </w:tc>
        <w:tc>
          <w:tcPr>
            <w:tcW w:w="7674" w:type="dxa"/>
            <w:gridSpan w:val="8"/>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i w:val="0"/>
                <w:iCs w:val="0"/>
                <w:color w:val="000000"/>
                <w:sz w:val="20"/>
                <w:szCs w:val="20"/>
                <w:u w:val="none"/>
                <w:lang w:val="en-US" w:eastAsia="zh-CN"/>
                <w:highlight w:val="none"/>
              </w:rPr>
            </w:pPr>
            <w:r>
              <w:rPr>
                <w:rFonts w:ascii="方正仿宋_GB2312" w:eastAsia="方正仿宋_GB2312" w:cs="方正仿宋_GB2312" w:hAnsi="方正仿宋_GB2312" w:hint="eastAsia"/>
                <w:i w:val="0"/>
                <w:iCs w:val="0"/>
                <w:color w:val="000000"/>
                <w:sz w:val="20"/>
                <w:szCs w:val="20"/>
                <w:u w:val="none"/>
                <w:lang w:val="en-US" w:eastAsia="zh-CN"/>
                <w:highlight w:val="none"/>
              </w:rPr>
              <w:t>支出</w:t>
            </w:r>
          </w:p>
        </w:tc>
      </w:tr>
      <w:tr>
        <w:trPr>
          <w:trHeight w:val="312"/>
        </w:trPr>
        <w:tc>
          <w:tcPr>
            <w:tcW w:w="1984"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项    目</w:t>
            </w:r>
          </w:p>
        </w:tc>
        <w:tc>
          <w:tcPr>
            <w:tcW w:w="624"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行次</w:t>
            </w:r>
          </w:p>
        </w:tc>
        <w:tc>
          <w:tcPr>
            <w:tcW w:w="1427"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i w:val="0"/>
                <w:iCs w:val="0"/>
                <w:color w:val="000000"/>
                <w:sz w:val="20"/>
                <w:szCs w:val="20"/>
                <w:u w:val="none"/>
                <w:lang w:val="en-US" w:eastAsia="zh-CN"/>
                <w:highlight w:val="none"/>
              </w:rPr>
            </w:pPr>
            <w:r>
              <w:rPr>
                <w:rFonts w:ascii="方正仿宋_GB2312" w:eastAsia="方正仿宋_GB2312" w:cs="方正仿宋_GB2312" w:hAnsi="方正仿宋_GB2312" w:hint="eastAsia"/>
                <w:i w:val="0"/>
                <w:iCs w:val="0"/>
                <w:color w:val="000000"/>
                <w:sz w:val="20"/>
                <w:szCs w:val="20"/>
                <w:u w:val="none"/>
                <w:lang w:val="en-US" w:eastAsia="zh-CN"/>
                <w:highlight w:val="none"/>
              </w:rPr>
              <w:t>金额</w:t>
            </w:r>
          </w:p>
        </w:tc>
        <w:tc>
          <w:tcPr>
            <w:tcW w:w="2098" w:type="dxa"/>
            <w:gridSpan w:val="2"/>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项目</w:t>
            </w:r>
          </w:p>
        </w:tc>
        <w:tc>
          <w:tcPr>
            <w:tcW w:w="624"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行次</w:t>
            </w:r>
          </w:p>
        </w:tc>
        <w:tc>
          <w:tcPr>
            <w:tcW w:w="1295" w:type="dxa"/>
            <w:gridSpan w:val="2"/>
            <w:vMerge w:val="restart"/>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sz w:val="20"/>
                <w:szCs w:val="20"/>
                <w:u w:val="none"/>
                <w:highlight w:val="none"/>
              </w:rPr>
              <w:t>合计</w:t>
            </w:r>
          </w:p>
        </w:tc>
        <w:tc>
          <w:tcPr>
            <w:tcW w:w="1219" w:type="dxa"/>
            <w:vMerge w:val="restart"/>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sz w:val="20"/>
                <w:szCs w:val="20"/>
                <w:u w:val="none"/>
                <w:highlight w:val="none"/>
              </w:rPr>
              <w:t>一般公共预算财政拨款</w:t>
            </w:r>
          </w:p>
        </w:tc>
        <w:tc>
          <w:tcPr>
            <w:tcW w:w="1219" w:type="dxa"/>
            <w:vMerge w:val="restart"/>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sz w:val="20"/>
                <w:szCs w:val="20"/>
                <w:u w:val="none"/>
                <w:highlight w:val="none"/>
              </w:rPr>
              <w:t>政府性基金预算财政拨款</w:t>
            </w:r>
          </w:p>
        </w:tc>
        <w:tc>
          <w:tcPr>
            <w:tcW w:w="1219" w:type="dxa"/>
            <w:vMerge w:val="restart"/>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sz w:val="20"/>
                <w:szCs w:val="20"/>
                <w:u w:val="none"/>
                <w:highlight w:val="none"/>
              </w:rPr>
              <w:t>国有资本经营预算财政拨款</w:t>
            </w:r>
          </w:p>
        </w:tc>
      </w:tr>
      <w:tr>
        <w:trPr>
          <w:trHeight w:val="312"/>
        </w:trPr>
        <w:tc>
          <w:tcPr>
            <w:tcW w:w="1984" w:type="dxa"/>
            <w:vMerge/>
            <w:tcBorders>
              <w:top w:val="single" w:sz="8" w:space="0" w:color="000000"/>
              <w:left w:val="single" w:sz="8" w:space="0" w:color="000000"/>
              <w:bottom w:val="single" w:sz="8" w:space="0" w:color="000000"/>
              <w:right w:val="single" w:sz="8" w:space="0" w:color="000000"/>
            </w:tcBorders>
            <w:vAlign w:val="center"/>
          </w:tcPr>
          <w:p/>
        </w:tc>
        <w:tc>
          <w:tcPr>
            <w:tcW w:w="624" w:type="dxa"/>
            <w:vMerge/>
            <w:tcBorders>
              <w:top w:val="single" w:sz="8" w:space="0" w:color="000000"/>
              <w:left w:val="single" w:sz="8" w:space="0" w:color="000000"/>
              <w:bottom w:val="single" w:sz="8" w:space="0" w:color="000000"/>
              <w:right w:val="single" w:sz="8" w:space="0" w:color="000000"/>
            </w:tcBorders>
            <w:vAlign w:val="center"/>
          </w:tcPr>
          <w:p/>
        </w:tc>
        <w:tc>
          <w:tcPr>
            <w:tcW w:w="1427" w:type="dxa"/>
            <w:vMerge/>
            <w:tcBorders>
              <w:top w:val="single" w:sz="8" w:space="0" w:color="000000"/>
              <w:left w:val="single" w:sz="8" w:space="0" w:color="000000"/>
              <w:bottom w:val="single" w:sz="8" w:space="0" w:color="000000"/>
              <w:right w:val="single" w:sz="8" w:space="0" w:color="000000"/>
            </w:tcBorders>
            <w:vAlign w:val="center"/>
          </w:tcPr>
          <w:p/>
        </w:tc>
        <w:tc>
          <w:tcPr>
            <w:tcW w:w="2098" w:type="dxa"/>
            <w:gridSpan w:val="2"/>
            <w:vMerge/>
            <w:tcBorders>
              <w:top w:val="single" w:sz="8" w:space="0" w:color="000000"/>
              <w:left w:val="single" w:sz="8" w:space="0" w:color="000000"/>
              <w:bottom w:val="single" w:sz="8" w:space="0" w:color="000000"/>
              <w:right w:val="single" w:sz="8" w:space="0" w:color="000000"/>
            </w:tcBorders>
            <w:vAlign w:val="center"/>
          </w:tcPr>
          <w:p/>
        </w:tc>
        <w:tc>
          <w:tcPr>
            <w:tcW w:w="624" w:type="dxa"/>
            <w:vMerge/>
            <w:tcBorders>
              <w:top w:val="single" w:sz="8" w:space="0" w:color="000000"/>
              <w:left w:val="single" w:sz="8" w:space="0" w:color="000000"/>
              <w:bottom w:val="single" w:sz="8" w:space="0" w:color="000000"/>
              <w:right w:val="single" w:sz="8" w:space="0" w:color="000000"/>
            </w:tcBorders>
            <w:vAlign w:val="center"/>
          </w:tcPr>
          <w:p/>
        </w:tc>
        <w:tc>
          <w:tcPr>
            <w:tcW w:w="1295"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219" w:type="dxa"/>
            <w:vMerge/>
            <w:tcBorders>
              <w:top w:val="single" w:sz="8" w:space="0" w:color="000000"/>
              <w:left w:val="single" w:sz="8" w:space="0" w:color="000000"/>
              <w:bottom w:val="single" w:sz="8" w:space="0" w:color="000000"/>
              <w:right w:val="single" w:sz="8" w:space="0" w:color="000000"/>
            </w:tcBorders>
            <w:vAlign w:val="center"/>
          </w:tcPr>
          <w:p/>
        </w:tc>
        <w:tc>
          <w:tcPr>
            <w:tcW w:w="1219" w:type="dxa"/>
            <w:vMerge/>
            <w:tcBorders>
              <w:top w:val="single" w:sz="8" w:space="0" w:color="000000"/>
              <w:left w:val="single" w:sz="8" w:space="0" w:color="000000"/>
              <w:bottom w:val="single" w:sz="8" w:space="0" w:color="000000"/>
              <w:right w:val="single" w:sz="8" w:space="0" w:color="000000"/>
            </w:tcBorders>
            <w:vAlign w:val="center"/>
          </w:tcPr>
          <w:p/>
        </w:tc>
        <w:tc>
          <w:tcPr>
            <w:tcW w:w="1219" w:type="dxa"/>
            <w:vMerge/>
            <w:tcBorders>
              <w:top w:val="single" w:sz="8" w:space="0" w:color="000000"/>
              <w:left w:val="single" w:sz="8" w:space="0" w:color="000000"/>
              <w:bottom w:val="single" w:sz="8" w:space="0" w:color="000000"/>
              <w:right w:val="single" w:sz="8" w:space="0" w:color="000000"/>
            </w:tcBorders>
            <w:vAlign w:val="center"/>
          </w:tcPr>
          <w:p/>
        </w:tc>
      </w:tr>
      <w:tr>
        <w:trPr>
          <w:trHeight w:val="308"/>
        </w:trPr>
        <w:tc>
          <w:tcPr>
            <w:tcW w:w="198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栏    次</w:t>
            </w:r>
          </w:p>
        </w:tc>
        <w:tc>
          <w:tcPr>
            <w:tcW w:w="624" w:type="dxa"/>
            <w:tcBorders>
              <w:top w:val="single" w:sz="8" w:space="0" w:color="000000"/>
              <w:left w:val="single" w:sz="8" w:space="0" w:color="000000"/>
              <w:bottom w:val="single" w:sz="8" w:space="0" w:color="000000"/>
              <w:right w:val="single" w:sz="8" w:space="0" w:color="000000"/>
            </w:tcBorders>
            <w:noWrap/>
            <w:vAlign w:val="center"/>
          </w:tcPr>
          <w:p>
            <w:pPr>
              <w:jc w:val="center"/>
              <w:rPr>
                <w:rFonts w:ascii="宋体" w:eastAsia="宋体" w:cs="宋体" w:hAnsi="宋体" w:hint="eastAsia"/>
                <w:i w:val="0"/>
                <w:iCs w:val="0"/>
                <w:color w:val="000000"/>
                <w:sz w:val="20"/>
                <w:szCs w:val="20"/>
                <w:u w:val="none"/>
                <w:highlight w:val="none"/>
              </w:rPr>
            </w:pPr>
          </w:p>
        </w:tc>
        <w:tc>
          <w:tcPr>
            <w:tcW w:w="1427"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none"/>
              </w:rPr>
            </w:pPr>
            <w:r>
              <w:rPr>
                <w:rFonts w:ascii="宋体" w:eastAsia="宋体" w:cs="宋体" w:hAnsi="宋体" w:hint="eastAsia"/>
                <w:i w:val="0"/>
                <w:iCs w:val="0"/>
                <w:color w:val="000000"/>
                <w:kern w:val="0"/>
                <w:sz w:val="20"/>
                <w:szCs w:val="20"/>
                <w:u w:val="none"/>
                <w:lang w:val="en-US" w:eastAsia="zh-CN"/>
                <w:highlight w:val="none"/>
              </w:rPr>
              <w:t>1</w:t>
            </w:r>
          </w:p>
        </w:tc>
        <w:tc>
          <w:tcPr>
            <w:tcW w:w="2098"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栏    次</w:t>
            </w:r>
          </w:p>
        </w:tc>
        <w:tc>
          <w:tcPr>
            <w:tcW w:w="624" w:type="dxa"/>
            <w:tcBorders>
              <w:top w:val="single" w:sz="8" w:space="0" w:color="000000"/>
              <w:left w:val="single" w:sz="8" w:space="0" w:color="000000"/>
              <w:bottom w:val="single" w:sz="8" w:space="0" w:color="000000"/>
              <w:right w:val="single" w:sz="8" w:space="0" w:color="000000"/>
            </w:tcBorders>
            <w:noWrap/>
            <w:vAlign w:val="center"/>
          </w:tcPr>
          <w:p>
            <w:pPr>
              <w:jc w:val="center"/>
              <w:rPr>
                <w:rFonts w:ascii="宋体" w:eastAsia="宋体" w:cs="宋体" w:hAnsi="宋体" w:hint="eastAsia"/>
                <w:i w:val="0"/>
                <w:iCs w:val="0"/>
                <w:color w:val="000000"/>
                <w:sz w:val="20"/>
                <w:szCs w:val="20"/>
                <w:u w:val="none"/>
                <w:highlight w:val="none"/>
              </w:rPr>
            </w:pPr>
          </w:p>
        </w:tc>
        <w:tc>
          <w:tcPr>
            <w:tcW w:w="1295"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none"/>
              </w:rPr>
            </w:pPr>
            <w:r>
              <w:rPr>
                <w:rFonts w:ascii="宋体" w:eastAsia="宋体" w:cs="宋体" w:hAnsi="宋体" w:hint="eastAsia"/>
                <w:i w:val="0"/>
                <w:iCs w:val="0"/>
                <w:color w:val="000000"/>
                <w:kern w:val="0"/>
                <w:sz w:val="20"/>
                <w:szCs w:val="20"/>
                <w:u w:val="none"/>
                <w:lang w:val="en-US" w:eastAsia="zh-CN"/>
                <w:highlight w:val="none"/>
              </w:rPr>
              <w:t>2</w:t>
            </w:r>
          </w:p>
        </w:tc>
        <w:tc>
          <w:tcPr>
            <w:tcW w:w="1219"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none"/>
              </w:rPr>
            </w:pPr>
            <w:r>
              <w:rPr>
                <w:rFonts w:ascii="宋体" w:eastAsia="宋体" w:cs="宋体" w:hAnsi="宋体" w:hint="eastAsia"/>
                <w:i w:val="0"/>
                <w:iCs w:val="0"/>
                <w:color w:val="000000"/>
                <w:kern w:val="0"/>
                <w:sz w:val="20"/>
                <w:szCs w:val="20"/>
                <w:u w:val="none"/>
                <w:lang w:val="en-US" w:eastAsia="zh-CN"/>
                <w:highlight w:val="none"/>
              </w:rPr>
              <w:t>3</w:t>
            </w:r>
          </w:p>
        </w:tc>
        <w:tc>
          <w:tcPr>
            <w:tcW w:w="1219"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none"/>
              </w:rPr>
            </w:pPr>
            <w:r>
              <w:rPr>
                <w:rFonts w:ascii="宋体" w:eastAsia="宋体" w:cs="宋体" w:hAnsi="宋体" w:hint="eastAsia"/>
                <w:i w:val="0"/>
                <w:iCs w:val="0"/>
                <w:color w:val="000000"/>
                <w:kern w:val="0"/>
                <w:sz w:val="20"/>
                <w:szCs w:val="20"/>
                <w:u w:val="none"/>
                <w:lang w:val="en-US" w:eastAsia="zh-CN"/>
                <w:highlight w:val="none"/>
              </w:rPr>
              <w:t>4</w:t>
            </w:r>
          </w:p>
        </w:tc>
        <w:tc>
          <w:tcPr>
            <w:tcW w:w="1219"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none"/>
              </w:rPr>
            </w:pPr>
            <w:r>
              <w:rPr>
                <w:rFonts w:ascii="宋体" w:eastAsia="宋体" w:cs="宋体" w:hAnsi="宋体" w:hint="eastAsia"/>
                <w:i w:val="0"/>
                <w:iCs w:val="0"/>
                <w:color w:val="000000"/>
                <w:kern w:val="0"/>
                <w:sz w:val="20"/>
                <w:szCs w:val="20"/>
                <w:u w:val="none"/>
                <w:lang w:val="en-US" w:eastAsia="zh-CN"/>
                <w:highlight w:val="none"/>
              </w:rPr>
              <w:t>5</w:t>
            </w:r>
          </w:p>
        </w:tc>
      </w:tr>
      <w:tr>
        <w:trPr>
          <w:trHeight w:val="308"/>
        </w:trPr>
        <w:tc>
          <w:tcPr>
            <w:tcW w:w="198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一、一般公共预算财政拨款</w:t>
            </w: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1</w:t>
            </w:r>
          </w:p>
        </w:tc>
        <w:tc>
          <w:tcPr>
            <w:tcW w:w="142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cs="Times New Roman" w:hAnsi="Times New Roman"/>
                <w:sz w:val="20"/>
                <w:szCs w:val="20"/>
                <w:highlight w:val="none"/>
              </w:rPr>
              <w:t>127.89</w:t>
            </w:r>
          </w:p>
        </w:tc>
        <w:tc>
          <w:tcPr>
            <w:tcW w:w="2098"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一、一般公共服务支出</w:t>
            </w: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33</w:t>
            </w:r>
          </w:p>
        </w:tc>
        <w:tc>
          <w:tcPr>
            <w:tcW w:w="129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二、政府性基金预算财政拨款</w:t>
            </w: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2</w:t>
            </w:r>
          </w:p>
        </w:tc>
        <w:tc>
          <w:tcPr>
            <w:tcW w:w="142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2098"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二、外交支出</w:t>
            </w: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34</w:t>
            </w:r>
          </w:p>
        </w:tc>
        <w:tc>
          <w:tcPr>
            <w:tcW w:w="129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三、国有资本经营预算财政拨款</w:t>
            </w: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3</w:t>
            </w:r>
          </w:p>
        </w:tc>
        <w:tc>
          <w:tcPr>
            <w:tcW w:w="142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2098"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三、国防支出</w:t>
            </w: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35</w:t>
            </w:r>
          </w:p>
        </w:tc>
        <w:tc>
          <w:tcPr>
            <w:tcW w:w="129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noWrap/>
            <w:vAlign w:val="center"/>
          </w:tcPr>
          <w:p>
            <w:pPr>
              <w:jc w:val="left"/>
              <w:rPr>
                <w:rFonts w:ascii="宋体" w:eastAsia="宋体" w:cs="宋体" w:hAnsi="宋体" w:hint="eastAsia"/>
                <w:i w:val="0"/>
                <w:iCs w:val="0"/>
                <w:color w:val="000000"/>
                <w:sz w:val="20"/>
                <w:szCs w:val="20"/>
                <w:u w:val="none"/>
                <w:highlight w:val="none"/>
              </w:rPr>
            </w:pP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4</w:t>
            </w:r>
          </w:p>
        </w:tc>
        <w:tc>
          <w:tcPr>
            <w:tcW w:w="142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2098"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四、公共安全支出</w:t>
            </w: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36</w:t>
            </w:r>
          </w:p>
        </w:tc>
        <w:tc>
          <w:tcPr>
            <w:tcW w:w="129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noWrap/>
            <w:vAlign w:val="center"/>
          </w:tcPr>
          <w:p>
            <w:pPr>
              <w:jc w:val="left"/>
              <w:rPr>
                <w:rFonts w:ascii="宋体" w:eastAsia="宋体" w:cs="宋体" w:hAnsi="宋体" w:hint="eastAsia"/>
                <w:i w:val="0"/>
                <w:iCs w:val="0"/>
                <w:color w:val="000000"/>
                <w:sz w:val="20"/>
                <w:szCs w:val="20"/>
                <w:u w:val="none"/>
                <w:highlight w:val="none"/>
              </w:rPr>
            </w:pP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5</w:t>
            </w:r>
          </w:p>
        </w:tc>
        <w:tc>
          <w:tcPr>
            <w:tcW w:w="142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2098"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五、教育支出</w:t>
            </w: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37</w:t>
            </w:r>
          </w:p>
        </w:tc>
        <w:tc>
          <w:tcPr>
            <w:tcW w:w="129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noWrap/>
            <w:vAlign w:val="center"/>
          </w:tcPr>
          <w:p>
            <w:pPr>
              <w:jc w:val="left"/>
              <w:rPr>
                <w:rFonts w:ascii="宋体" w:eastAsia="宋体" w:cs="宋体" w:hAnsi="宋体" w:hint="eastAsia"/>
                <w:i w:val="0"/>
                <w:iCs w:val="0"/>
                <w:color w:val="000000"/>
                <w:sz w:val="20"/>
                <w:szCs w:val="20"/>
                <w:u w:val="none"/>
                <w:highlight w:val="none"/>
              </w:rPr>
            </w:pP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6</w:t>
            </w:r>
          </w:p>
        </w:tc>
        <w:tc>
          <w:tcPr>
            <w:tcW w:w="142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2098"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六、科学技术支出</w:t>
            </w: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38</w:t>
            </w:r>
          </w:p>
        </w:tc>
        <w:tc>
          <w:tcPr>
            <w:tcW w:w="129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noWrap/>
            <w:vAlign w:val="center"/>
          </w:tcPr>
          <w:p>
            <w:pPr>
              <w:jc w:val="left"/>
              <w:rPr>
                <w:rFonts w:ascii="宋体" w:eastAsia="宋体" w:cs="宋体" w:hAnsi="宋体" w:hint="eastAsia"/>
                <w:i w:val="0"/>
                <w:iCs w:val="0"/>
                <w:color w:val="000000"/>
                <w:sz w:val="20"/>
                <w:szCs w:val="20"/>
                <w:u w:val="none"/>
                <w:highlight w:val="none"/>
              </w:rPr>
            </w:pP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7</w:t>
            </w:r>
          </w:p>
        </w:tc>
        <w:tc>
          <w:tcPr>
            <w:tcW w:w="142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2098"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七、文化旅游体育与传媒支出</w:t>
            </w: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39</w:t>
            </w:r>
          </w:p>
        </w:tc>
        <w:tc>
          <w:tcPr>
            <w:tcW w:w="129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noWrap/>
            <w:vAlign w:val="center"/>
          </w:tcPr>
          <w:p>
            <w:pPr>
              <w:jc w:val="left"/>
              <w:rPr>
                <w:rFonts w:ascii="宋体" w:eastAsia="宋体" w:cs="宋体" w:hAnsi="宋体" w:hint="eastAsia"/>
                <w:i w:val="0"/>
                <w:iCs w:val="0"/>
                <w:color w:val="000000"/>
                <w:sz w:val="20"/>
                <w:szCs w:val="20"/>
                <w:u w:val="none"/>
                <w:highlight w:val="none"/>
              </w:rPr>
            </w:pP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8</w:t>
            </w:r>
          </w:p>
        </w:tc>
        <w:tc>
          <w:tcPr>
            <w:tcW w:w="142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2098"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八、社会保障和就业支出</w:t>
            </w: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40</w:t>
            </w:r>
          </w:p>
        </w:tc>
        <w:tc>
          <w:tcPr>
            <w:tcW w:w="129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cs="Times New Roman" w:hAnsi="Times New Roman"/>
                <w:sz w:val="20"/>
                <w:szCs w:val="20"/>
                <w:highlight w:val="none"/>
              </w:rPr>
              <w:t>5.09</w:t>
            </w: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cs="Times New Roman" w:hAnsi="Times New Roman"/>
                <w:sz w:val="20"/>
                <w:szCs w:val="20"/>
                <w:highlight w:val="none"/>
              </w:rPr>
              <w:t>5.09</w:t>
            </w: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noWrap/>
            <w:vAlign w:val="center"/>
          </w:tcPr>
          <w:p>
            <w:pPr>
              <w:jc w:val="left"/>
              <w:rPr>
                <w:rFonts w:ascii="宋体" w:eastAsia="宋体" w:cs="宋体" w:hAnsi="宋体" w:hint="eastAsia"/>
                <w:i w:val="0"/>
                <w:iCs w:val="0"/>
                <w:color w:val="000000"/>
                <w:sz w:val="20"/>
                <w:szCs w:val="20"/>
                <w:u w:val="none"/>
                <w:highlight w:val="none"/>
              </w:rPr>
            </w:pP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9</w:t>
            </w:r>
          </w:p>
        </w:tc>
        <w:tc>
          <w:tcPr>
            <w:tcW w:w="142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2098"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九、卫生健康支出</w:t>
            </w: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41</w:t>
            </w:r>
          </w:p>
        </w:tc>
        <w:tc>
          <w:tcPr>
            <w:tcW w:w="129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cs="Times New Roman" w:hAnsi="Times New Roman"/>
                <w:sz w:val="20"/>
                <w:szCs w:val="20"/>
                <w:highlight w:val="none"/>
              </w:rPr>
              <w:t>2.79</w:t>
            </w: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cs="Times New Roman" w:hAnsi="Times New Roman"/>
                <w:sz w:val="20"/>
                <w:szCs w:val="20"/>
                <w:highlight w:val="none"/>
              </w:rPr>
              <w:t>2.79</w:t>
            </w: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noWrap/>
            <w:vAlign w:val="center"/>
          </w:tcPr>
          <w:p>
            <w:pPr>
              <w:jc w:val="left"/>
              <w:rPr>
                <w:rFonts w:ascii="宋体" w:eastAsia="宋体" w:cs="宋体" w:hAnsi="宋体" w:hint="eastAsia"/>
                <w:i w:val="0"/>
                <w:iCs w:val="0"/>
                <w:color w:val="000000"/>
                <w:sz w:val="20"/>
                <w:szCs w:val="20"/>
                <w:u w:val="none"/>
                <w:highlight w:val="none"/>
              </w:rPr>
            </w:pP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10</w:t>
            </w:r>
          </w:p>
        </w:tc>
        <w:tc>
          <w:tcPr>
            <w:tcW w:w="142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2098"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十、节能环保支出</w:t>
            </w: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42</w:t>
            </w:r>
          </w:p>
        </w:tc>
        <w:tc>
          <w:tcPr>
            <w:tcW w:w="129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noWrap/>
            <w:vAlign w:val="center"/>
          </w:tcPr>
          <w:p>
            <w:pPr>
              <w:jc w:val="left"/>
              <w:rPr>
                <w:rFonts w:ascii="宋体" w:eastAsia="宋体" w:cs="宋体" w:hAnsi="宋体" w:hint="eastAsia"/>
                <w:i w:val="0"/>
                <w:iCs w:val="0"/>
                <w:color w:val="000000"/>
                <w:sz w:val="20"/>
                <w:szCs w:val="20"/>
                <w:u w:val="none"/>
                <w:highlight w:val="none"/>
              </w:rPr>
            </w:pP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11</w:t>
            </w:r>
          </w:p>
        </w:tc>
        <w:tc>
          <w:tcPr>
            <w:tcW w:w="142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2098"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十一、城乡社区支出</w:t>
            </w: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43</w:t>
            </w:r>
          </w:p>
        </w:tc>
        <w:tc>
          <w:tcPr>
            <w:tcW w:w="129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cs="Times New Roman" w:hAnsi="Times New Roman"/>
                <w:sz w:val="20"/>
                <w:szCs w:val="20"/>
                <w:highlight w:val="none"/>
              </w:rPr>
              <w:t>115.80</w:t>
            </w: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cs="Times New Roman" w:hAnsi="Times New Roman"/>
                <w:sz w:val="20"/>
                <w:szCs w:val="20"/>
                <w:highlight w:val="none"/>
              </w:rPr>
              <w:t>115.80</w:t>
            </w: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noWrap/>
            <w:vAlign w:val="center"/>
          </w:tcPr>
          <w:p>
            <w:pPr>
              <w:jc w:val="left"/>
              <w:rPr>
                <w:rFonts w:ascii="宋体" w:eastAsia="宋体" w:cs="宋体" w:hAnsi="宋体" w:hint="eastAsia"/>
                <w:i w:val="0"/>
                <w:iCs w:val="0"/>
                <w:color w:val="000000"/>
                <w:sz w:val="20"/>
                <w:szCs w:val="20"/>
                <w:u w:val="none"/>
                <w:highlight w:val="none"/>
              </w:rPr>
            </w:pP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12</w:t>
            </w:r>
          </w:p>
        </w:tc>
        <w:tc>
          <w:tcPr>
            <w:tcW w:w="142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2098"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十二、农林水支出</w:t>
            </w: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44</w:t>
            </w:r>
          </w:p>
        </w:tc>
        <w:tc>
          <w:tcPr>
            <w:tcW w:w="129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noWrap/>
            <w:vAlign w:val="center"/>
          </w:tcPr>
          <w:p>
            <w:pPr>
              <w:jc w:val="left"/>
              <w:rPr>
                <w:rFonts w:ascii="宋体" w:eastAsia="宋体" w:cs="宋体" w:hAnsi="宋体" w:hint="eastAsia"/>
                <w:i w:val="0"/>
                <w:iCs w:val="0"/>
                <w:color w:val="000000"/>
                <w:sz w:val="20"/>
                <w:szCs w:val="20"/>
                <w:u w:val="none"/>
                <w:highlight w:val="none"/>
              </w:rPr>
            </w:pP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13</w:t>
            </w:r>
          </w:p>
        </w:tc>
        <w:tc>
          <w:tcPr>
            <w:tcW w:w="142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2098"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十三、交通运输支出</w:t>
            </w: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45</w:t>
            </w:r>
          </w:p>
        </w:tc>
        <w:tc>
          <w:tcPr>
            <w:tcW w:w="129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noWrap/>
            <w:vAlign w:val="center"/>
          </w:tcPr>
          <w:p>
            <w:pPr>
              <w:jc w:val="left"/>
              <w:rPr>
                <w:rFonts w:ascii="宋体" w:eastAsia="宋体" w:cs="宋体" w:hAnsi="宋体" w:hint="eastAsia"/>
                <w:i w:val="0"/>
                <w:iCs w:val="0"/>
                <w:color w:val="000000"/>
                <w:sz w:val="20"/>
                <w:szCs w:val="20"/>
                <w:u w:val="none"/>
                <w:highlight w:val="none"/>
              </w:rPr>
            </w:pP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14</w:t>
            </w:r>
          </w:p>
        </w:tc>
        <w:tc>
          <w:tcPr>
            <w:tcW w:w="142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2098"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十四、资源勘探工业信息等支出</w:t>
            </w: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46</w:t>
            </w:r>
          </w:p>
        </w:tc>
        <w:tc>
          <w:tcPr>
            <w:tcW w:w="129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noWrap/>
            <w:vAlign w:val="center"/>
          </w:tcPr>
          <w:p>
            <w:pPr>
              <w:jc w:val="left"/>
              <w:rPr>
                <w:rFonts w:ascii="宋体" w:eastAsia="宋体" w:cs="宋体" w:hAnsi="宋体" w:hint="eastAsia"/>
                <w:i w:val="0"/>
                <w:iCs w:val="0"/>
                <w:color w:val="000000"/>
                <w:sz w:val="20"/>
                <w:szCs w:val="20"/>
                <w:u w:val="none"/>
                <w:highlight w:val="none"/>
              </w:rPr>
            </w:pP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15</w:t>
            </w:r>
          </w:p>
        </w:tc>
        <w:tc>
          <w:tcPr>
            <w:tcW w:w="142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2098"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十五、商业服务业等支出</w:t>
            </w: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47</w:t>
            </w:r>
          </w:p>
        </w:tc>
        <w:tc>
          <w:tcPr>
            <w:tcW w:w="129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666"/>
        </w:trPr>
        <w:tc>
          <w:tcPr>
            <w:tcW w:w="1984" w:type="dxa"/>
            <w:tcBorders>
              <w:top w:val="single" w:sz="8" w:space="0" w:color="000000"/>
              <w:left w:val="single" w:sz="8" w:space="0" w:color="000000"/>
              <w:bottom w:val="single" w:sz="8" w:space="0" w:color="000000"/>
              <w:right w:val="single" w:sz="8" w:space="0" w:color="000000"/>
            </w:tcBorders>
            <w:noWrap/>
            <w:vAlign w:val="center"/>
          </w:tcPr>
          <w:p>
            <w:pPr>
              <w:jc w:val="left"/>
              <w:rPr>
                <w:rFonts w:ascii="宋体" w:eastAsia="宋体" w:cs="宋体" w:hAnsi="宋体" w:hint="eastAsia"/>
                <w:i w:val="0"/>
                <w:iCs w:val="0"/>
                <w:color w:val="000000"/>
                <w:sz w:val="20"/>
                <w:szCs w:val="20"/>
                <w:u w:val="none"/>
                <w:highlight w:val="none"/>
              </w:rPr>
            </w:pP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16</w:t>
            </w:r>
          </w:p>
        </w:tc>
        <w:tc>
          <w:tcPr>
            <w:tcW w:w="142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2098"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十六、金融支出</w:t>
            </w: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48</w:t>
            </w:r>
          </w:p>
        </w:tc>
        <w:tc>
          <w:tcPr>
            <w:tcW w:w="129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441"/>
        </w:trPr>
        <w:tc>
          <w:tcPr>
            <w:tcW w:w="1984" w:type="dxa"/>
            <w:tcBorders>
              <w:top w:val="single" w:sz="8" w:space="0" w:color="000000"/>
              <w:left w:val="single" w:sz="8" w:space="0" w:color="000000"/>
              <w:bottom w:val="single" w:sz="8" w:space="0" w:color="000000"/>
              <w:right w:val="single" w:sz="8" w:space="0" w:color="000000"/>
            </w:tcBorders>
            <w:noWrap/>
            <w:vAlign w:val="center"/>
          </w:tcPr>
          <w:p>
            <w:pPr>
              <w:jc w:val="left"/>
              <w:rPr>
                <w:rFonts w:ascii="宋体" w:eastAsia="宋体" w:cs="宋体" w:hAnsi="宋体" w:hint="eastAsia"/>
                <w:i w:val="0"/>
                <w:iCs w:val="0"/>
                <w:color w:val="000000"/>
                <w:sz w:val="20"/>
                <w:szCs w:val="20"/>
                <w:u w:val="none"/>
                <w:highlight w:val="none"/>
              </w:rPr>
            </w:pP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17</w:t>
            </w:r>
          </w:p>
        </w:tc>
        <w:tc>
          <w:tcPr>
            <w:tcW w:w="142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2098"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十七、援助其他地区支出</w:t>
            </w: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49</w:t>
            </w:r>
          </w:p>
        </w:tc>
        <w:tc>
          <w:tcPr>
            <w:tcW w:w="129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noWrap/>
            <w:vAlign w:val="center"/>
          </w:tcPr>
          <w:p>
            <w:pPr>
              <w:jc w:val="left"/>
              <w:rPr>
                <w:rFonts w:ascii="宋体" w:eastAsia="宋体" w:cs="宋体" w:hAnsi="宋体" w:hint="eastAsia"/>
                <w:i w:val="0"/>
                <w:iCs w:val="0"/>
                <w:color w:val="000000"/>
                <w:sz w:val="20"/>
                <w:szCs w:val="20"/>
                <w:u w:val="none"/>
                <w:highlight w:val="none"/>
              </w:rPr>
            </w:pP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18</w:t>
            </w:r>
          </w:p>
        </w:tc>
        <w:tc>
          <w:tcPr>
            <w:tcW w:w="142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2098"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十八、自然资源海洋气象等支出</w:t>
            </w: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50</w:t>
            </w:r>
          </w:p>
        </w:tc>
        <w:tc>
          <w:tcPr>
            <w:tcW w:w="129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noWrap/>
            <w:vAlign w:val="center"/>
          </w:tcPr>
          <w:p>
            <w:pPr>
              <w:jc w:val="left"/>
              <w:rPr>
                <w:rFonts w:ascii="宋体" w:eastAsia="宋体" w:cs="宋体" w:hAnsi="宋体" w:hint="eastAsia"/>
                <w:i w:val="0"/>
                <w:iCs w:val="0"/>
                <w:color w:val="000000"/>
                <w:sz w:val="20"/>
                <w:szCs w:val="20"/>
                <w:u w:val="none"/>
                <w:highlight w:val="none"/>
              </w:rPr>
            </w:pP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19</w:t>
            </w:r>
          </w:p>
        </w:tc>
        <w:tc>
          <w:tcPr>
            <w:tcW w:w="142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2098"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十九、住房保障支出</w:t>
            </w: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51</w:t>
            </w:r>
          </w:p>
        </w:tc>
        <w:tc>
          <w:tcPr>
            <w:tcW w:w="129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cs="Times New Roman" w:hAnsi="Times New Roman"/>
                <w:sz w:val="20"/>
                <w:szCs w:val="20"/>
                <w:highlight w:val="none"/>
              </w:rPr>
              <w:t>4.21</w:t>
            </w: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cs="Times New Roman" w:hAnsi="Times New Roman"/>
                <w:sz w:val="20"/>
                <w:szCs w:val="20"/>
                <w:highlight w:val="none"/>
              </w:rPr>
              <w:t>4.21</w:t>
            </w: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noWrap/>
            <w:vAlign w:val="center"/>
          </w:tcPr>
          <w:p>
            <w:pPr>
              <w:jc w:val="left"/>
              <w:rPr>
                <w:rFonts w:ascii="宋体" w:eastAsia="宋体" w:cs="宋体" w:hAnsi="宋体" w:hint="eastAsia"/>
                <w:i w:val="0"/>
                <w:iCs w:val="0"/>
                <w:color w:val="000000"/>
                <w:sz w:val="20"/>
                <w:szCs w:val="20"/>
                <w:u w:val="none"/>
                <w:highlight w:val="none"/>
              </w:rPr>
            </w:pP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20</w:t>
            </w:r>
          </w:p>
        </w:tc>
        <w:tc>
          <w:tcPr>
            <w:tcW w:w="142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2098"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二十、粮油物资储备支出</w:t>
            </w: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52</w:t>
            </w:r>
          </w:p>
        </w:tc>
        <w:tc>
          <w:tcPr>
            <w:tcW w:w="129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noWrap/>
            <w:vAlign w:val="center"/>
          </w:tcPr>
          <w:p>
            <w:pPr>
              <w:jc w:val="left"/>
              <w:rPr>
                <w:rFonts w:ascii="宋体" w:eastAsia="宋体" w:cs="宋体" w:hAnsi="宋体" w:hint="eastAsia"/>
                <w:i w:val="0"/>
                <w:iCs w:val="0"/>
                <w:color w:val="000000"/>
                <w:sz w:val="20"/>
                <w:szCs w:val="20"/>
                <w:u w:val="none"/>
                <w:highlight w:val="none"/>
              </w:rPr>
            </w:pP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21</w:t>
            </w:r>
          </w:p>
        </w:tc>
        <w:tc>
          <w:tcPr>
            <w:tcW w:w="142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2098"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二十一、国有资本经营预算支出</w:t>
            </w: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53</w:t>
            </w:r>
          </w:p>
        </w:tc>
        <w:tc>
          <w:tcPr>
            <w:tcW w:w="129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noWrap/>
            <w:vAlign w:val="center"/>
          </w:tcPr>
          <w:p>
            <w:pPr>
              <w:jc w:val="left"/>
              <w:rPr>
                <w:rFonts w:ascii="宋体" w:eastAsia="宋体" w:cs="宋体" w:hAnsi="宋体" w:hint="eastAsia"/>
                <w:i w:val="0"/>
                <w:iCs w:val="0"/>
                <w:color w:val="000000"/>
                <w:sz w:val="20"/>
                <w:szCs w:val="20"/>
                <w:u w:val="none"/>
                <w:highlight w:val="none"/>
              </w:rPr>
            </w:pP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22</w:t>
            </w:r>
          </w:p>
        </w:tc>
        <w:tc>
          <w:tcPr>
            <w:tcW w:w="142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2098"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二十二、灾害防治及应急管理支出</w:t>
            </w: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54</w:t>
            </w:r>
          </w:p>
        </w:tc>
        <w:tc>
          <w:tcPr>
            <w:tcW w:w="129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noWrap/>
            <w:vAlign w:val="center"/>
          </w:tcPr>
          <w:p>
            <w:pPr>
              <w:jc w:val="left"/>
              <w:rPr>
                <w:rFonts w:ascii="宋体" w:eastAsia="宋体" w:cs="宋体" w:hAnsi="宋体" w:hint="eastAsia"/>
                <w:i w:val="0"/>
                <w:iCs w:val="0"/>
                <w:color w:val="000000"/>
                <w:sz w:val="20"/>
                <w:szCs w:val="20"/>
                <w:u w:val="none"/>
                <w:highlight w:val="none"/>
              </w:rPr>
            </w:pP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23</w:t>
            </w:r>
          </w:p>
        </w:tc>
        <w:tc>
          <w:tcPr>
            <w:tcW w:w="142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2098"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二十三、其他支出</w:t>
            </w: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55</w:t>
            </w:r>
          </w:p>
        </w:tc>
        <w:tc>
          <w:tcPr>
            <w:tcW w:w="129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noWrap/>
            <w:vAlign w:val="center"/>
          </w:tcPr>
          <w:p>
            <w:pPr>
              <w:jc w:val="left"/>
              <w:rPr>
                <w:rFonts w:ascii="宋体" w:eastAsia="宋体" w:cs="宋体" w:hAnsi="宋体" w:hint="eastAsia"/>
                <w:i w:val="0"/>
                <w:iCs w:val="0"/>
                <w:color w:val="000000"/>
                <w:sz w:val="20"/>
                <w:szCs w:val="20"/>
                <w:u w:val="none"/>
                <w:highlight w:val="none"/>
              </w:rPr>
            </w:pP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24</w:t>
            </w:r>
          </w:p>
        </w:tc>
        <w:tc>
          <w:tcPr>
            <w:tcW w:w="142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2098"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二十四、债务还本支出</w:t>
            </w: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56</w:t>
            </w:r>
          </w:p>
        </w:tc>
        <w:tc>
          <w:tcPr>
            <w:tcW w:w="129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noWrap/>
            <w:vAlign w:val="center"/>
          </w:tcPr>
          <w:p>
            <w:pPr>
              <w:jc w:val="center"/>
              <w:rPr>
                <w:rFonts w:ascii="宋体" w:eastAsia="宋体" w:cs="宋体" w:hAnsi="宋体" w:hint="eastAsia"/>
                <w:b/>
                <w:bCs/>
                <w:i w:val="0"/>
                <w:iCs w:val="0"/>
                <w:color w:val="000000"/>
                <w:sz w:val="20"/>
                <w:szCs w:val="20"/>
                <w:u w:val="none"/>
                <w:highlight w:val="none"/>
              </w:rPr>
            </w:pP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25</w:t>
            </w:r>
          </w:p>
        </w:tc>
        <w:tc>
          <w:tcPr>
            <w:tcW w:w="142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2098"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二十五、债务付息支出</w:t>
            </w: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57</w:t>
            </w:r>
          </w:p>
        </w:tc>
        <w:tc>
          <w:tcPr>
            <w:tcW w:w="129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noWrap/>
            <w:vAlign w:val="center"/>
          </w:tcPr>
          <w:p>
            <w:pPr>
              <w:jc w:val="center"/>
              <w:rPr>
                <w:rFonts w:ascii="宋体" w:eastAsia="宋体" w:cs="宋体" w:hAnsi="宋体" w:hint="eastAsia"/>
                <w:i w:val="0"/>
                <w:iCs w:val="0"/>
                <w:color w:val="000000"/>
                <w:sz w:val="20"/>
                <w:szCs w:val="20"/>
                <w:u w:val="none"/>
                <w:highlight w:val="none"/>
              </w:rPr>
            </w:pP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26</w:t>
            </w:r>
          </w:p>
        </w:tc>
        <w:tc>
          <w:tcPr>
            <w:tcW w:w="142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2098"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二十六、抗疫特别国债安排的支出</w:t>
            </w: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58</w:t>
            </w:r>
          </w:p>
        </w:tc>
        <w:tc>
          <w:tcPr>
            <w:tcW w:w="129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b/>
                <w:bCs/>
                <w:i w:val="0"/>
                <w:iCs w:val="0"/>
                <w:color w:val="000000"/>
                <w:sz w:val="20"/>
                <w:szCs w:val="20"/>
                <w:u w:val="none"/>
                <w:highlight w:val="none"/>
              </w:rPr>
            </w:pPr>
            <w:r>
              <w:rPr>
                <w:rFonts w:ascii="方正仿宋_GB2312" w:eastAsia="方正仿宋_GB2312" w:cs="方正仿宋_GB2312" w:hAnsi="方正仿宋_GB2312" w:hint="eastAsia"/>
                <w:b/>
                <w:bCs/>
                <w:i w:val="0"/>
                <w:iCs w:val="0"/>
                <w:color w:val="000000"/>
                <w:kern w:val="0"/>
                <w:sz w:val="20"/>
                <w:szCs w:val="20"/>
                <w:u w:val="none"/>
                <w:lang w:val="en-US" w:eastAsia="zh-CN"/>
                <w:highlight w:val="none"/>
              </w:rPr>
              <w:t>本年收入合计</w:t>
            </w: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27</w:t>
            </w:r>
          </w:p>
        </w:tc>
        <w:tc>
          <w:tcPr>
            <w:tcW w:w="142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cs="Times New Roman" w:hAnsi="Times New Roman"/>
                <w:sz w:val="20"/>
                <w:szCs w:val="20"/>
                <w:highlight w:val="none"/>
              </w:rPr>
              <w:t>127.89</w:t>
            </w:r>
          </w:p>
        </w:tc>
        <w:tc>
          <w:tcPr>
            <w:tcW w:w="2098"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b/>
                <w:bCs/>
                <w:i w:val="0"/>
                <w:iCs w:val="0"/>
                <w:color w:val="000000"/>
                <w:sz w:val="20"/>
                <w:szCs w:val="20"/>
                <w:u w:val="none"/>
                <w:highlight w:val="none"/>
              </w:rPr>
            </w:pPr>
            <w:r>
              <w:rPr>
                <w:rFonts w:ascii="方正仿宋_GB2312" w:eastAsia="方正仿宋_GB2312" w:cs="方正仿宋_GB2312" w:hAnsi="方正仿宋_GB2312" w:hint="eastAsia"/>
                <w:b/>
                <w:bCs/>
                <w:i w:val="0"/>
                <w:iCs w:val="0"/>
                <w:color w:val="000000"/>
                <w:kern w:val="0"/>
                <w:sz w:val="20"/>
                <w:szCs w:val="20"/>
                <w:u w:val="none"/>
                <w:lang w:val="en-US" w:eastAsia="zh-CN"/>
                <w:highlight w:val="none"/>
              </w:rPr>
              <w:t>本年支出合计</w:t>
            </w: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59</w:t>
            </w:r>
          </w:p>
        </w:tc>
        <w:tc>
          <w:tcPr>
            <w:tcW w:w="129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cs="Times New Roman" w:hAnsi="Times New Roman"/>
                <w:sz w:val="20"/>
                <w:szCs w:val="20"/>
                <w:highlight w:val="none"/>
              </w:rPr>
              <w:t>127.89</w:t>
            </w: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cs="Times New Roman" w:hAnsi="Times New Roman"/>
                <w:sz w:val="20"/>
                <w:szCs w:val="20"/>
                <w:highlight w:val="none"/>
              </w:rPr>
              <w:t>127.89</w:t>
            </w: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年初财政拨款结转和结余</w:t>
            </w: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28</w:t>
            </w:r>
          </w:p>
        </w:tc>
        <w:tc>
          <w:tcPr>
            <w:tcW w:w="142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2098"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年末财政拨款结转和结余</w:t>
            </w: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60</w:t>
            </w:r>
          </w:p>
        </w:tc>
        <w:tc>
          <w:tcPr>
            <w:tcW w:w="129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both"/>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both"/>
              <w:rPr>
                <w:rFonts w:ascii="Times New Roman" w:eastAsia="宋体" w:cs="Times New Roman" w:hAnsi="Times New Roman"/>
                <w:i w:val="0"/>
                <w:iCs w:val="0"/>
                <w:color w:val="000000"/>
                <w:sz w:val="20"/>
                <w:szCs w:val="20"/>
                <w:u w:val="none"/>
                <w:highlight w:val="none"/>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一、一般公共预算财政拨款</w:t>
            </w: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29</w:t>
            </w:r>
          </w:p>
        </w:tc>
        <w:tc>
          <w:tcPr>
            <w:tcW w:w="142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2098" w:type="dxa"/>
            <w:gridSpan w:val="2"/>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none"/>
              </w:rPr>
            </w:pP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61</w:t>
            </w:r>
          </w:p>
        </w:tc>
        <w:tc>
          <w:tcPr>
            <w:tcW w:w="129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left"/>
              <w:rPr>
                <w:rFonts w:ascii="Times New Roman" w:eastAsia="宋体" w:cs="Times New Roman" w:hAnsi="Times New Roman"/>
                <w:i w:val="0"/>
                <w:iCs w:val="0"/>
                <w:color w:val="000000"/>
                <w:sz w:val="20"/>
                <w:szCs w:val="20"/>
                <w:u w:val="none"/>
                <w:highlight w:val="none"/>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二、政府性基金预算财政拨款</w:t>
            </w: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30</w:t>
            </w:r>
          </w:p>
        </w:tc>
        <w:tc>
          <w:tcPr>
            <w:tcW w:w="142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2098" w:type="dxa"/>
            <w:gridSpan w:val="2"/>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none"/>
              </w:rPr>
            </w:pP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62</w:t>
            </w:r>
          </w:p>
        </w:tc>
        <w:tc>
          <w:tcPr>
            <w:tcW w:w="129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left"/>
              <w:rPr>
                <w:rFonts w:ascii="Times New Roman" w:eastAsia="宋体" w:cs="Times New Roman" w:hAnsi="Times New Roman"/>
                <w:i w:val="0"/>
                <w:iCs w:val="0"/>
                <w:color w:val="000000"/>
                <w:sz w:val="20"/>
                <w:szCs w:val="20"/>
                <w:u w:val="none"/>
                <w:highlight w:val="none"/>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三、国有资本经营预算财政拨款</w:t>
            </w: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31</w:t>
            </w:r>
          </w:p>
        </w:tc>
        <w:tc>
          <w:tcPr>
            <w:tcW w:w="142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2098" w:type="dxa"/>
            <w:gridSpan w:val="2"/>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none"/>
              </w:rPr>
            </w:pP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63</w:t>
            </w:r>
          </w:p>
        </w:tc>
        <w:tc>
          <w:tcPr>
            <w:tcW w:w="129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left"/>
              <w:rPr>
                <w:rFonts w:ascii="Times New Roman" w:eastAsia="宋体" w:cs="Times New Roman" w:hAnsi="Times New Roman"/>
                <w:i w:val="0"/>
                <w:iCs w:val="0"/>
                <w:color w:val="000000"/>
                <w:sz w:val="20"/>
                <w:szCs w:val="20"/>
                <w:u w:val="none"/>
                <w:highlight w:val="none"/>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b/>
                <w:bCs/>
                <w:i w:val="0"/>
                <w:iCs w:val="0"/>
                <w:color w:val="000000"/>
                <w:sz w:val="20"/>
                <w:szCs w:val="20"/>
                <w:u w:val="none"/>
                <w:highlight w:val="none"/>
              </w:rPr>
            </w:pPr>
            <w:r>
              <w:rPr>
                <w:rFonts w:ascii="方正仿宋_GB2312" w:eastAsia="方正仿宋_GB2312" w:cs="方正仿宋_GB2312" w:hAnsi="方正仿宋_GB2312" w:hint="eastAsia"/>
                <w:b/>
                <w:bCs/>
                <w:i w:val="0"/>
                <w:iCs w:val="0"/>
                <w:color w:val="000000"/>
                <w:kern w:val="0"/>
                <w:sz w:val="20"/>
                <w:szCs w:val="20"/>
                <w:u w:val="none"/>
                <w:lang w:val="en-US" w:eastAsia="zh-CN"/>
                <w:highlight w:val="none"/>
              </w:rPr>
              <w:t>总计</w:t>
            </w: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32</w:t>
            </w:r>
          </w:p>
        </w:tc>
        <w:tc>
          <w:tcPr>
            <w:tcW w:w="142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cs="Times New Roman" w:hAnsi="Times New Roman"/>
                <w:sz w:val="20"/>
                <w:szCs w:val="20"/>
                <w:highlight w:val="none"/>
              </w:rPr>
              <w:t>127.89</w:t>
            </w:r>
          </w:p>
        </w:tc>
        <w:tc>
          <w:tcPr>
            <w:tcW w:w="2098"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b/>
                <w:bCs/>
                <w:i w:val="0"/>
                <w:iCs w:val="0"/>
                <w:color w:val="000000"/>
                <w:sz w:val="20"/>
                <w:szCs w:val="20"/>
                <w:u w:val="none"/>
                <w:highlight w:val="none"/>
              </w:rPr>
            </w:pPr>
            <w:r>
              <w:rPr>
                <w:rFonts w:ascii="方正仿宋_GB2312" w:eastAsia="方正仿宋_GB2312" w:cs="方正仿宋_GB2312" w:hAnsi="方正仿宋_GB2312" w:hint="eastAsia"/>
                <w:b/>
                <w:bCs/>
                <w:i w:val="0"/>
                <w:iCs w:val="0"/>
                <w:color w:val="000000"/>
                <w:kern w:val="0"/>
                <w:sz w:val="20"/>
                <w:szCs w:val="20"/>
                <w:u w:val="none"/>
                <w:lang w:val="en-US" w:eastAsia="zh-CN"/>
                <w:highlight w:val="none"/>
              </w:rPr>
              <w:t>总计</w:t>
            </w:r>
          </w:p>
        </w:tc>
        <w:tc>
          <w:tcPr>
            <w:tcW w:w="62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kern w:val="0"/>
                <w:sz w:val="20"/>
                <w:szCs w:val="20"/>
                <w:u w:val="none"/>
                <w:lang w:val="en-US" w:eastAsia="zh-CN"/>
                <w:highlight w:val="none"/>
              </w:rPr>
              <w:t>64</w:t>
            </w:r>
          </w:p>
        </w:tc>
        <w:tc>
          <w:tcPr>
            <w:tcW w:w="1295"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cs="Times New Roman" w:hAnsi="Times New Roman"/>
                <w:sz w:val="20"/>
                <w:szCs w:val="20"/>
                <w:highlight w:val="none"/>
              </w:rPr>
              <w:t>127.89</w:t>
            </w: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cs="Times New Roman" w:hAnsi="Times New Roman"/>
                <w:sz w:val="20"/>
                <w:szCs w:val="20"/>
                <w:highlight w:val="none"/>
              </w:rPr>
            </w:pPr>
          </w:p>
          <w:p>
            <w:pPr>
              <w:jc w:val="right"/>
              <w:rPr>
                <w:rFonts w:ascii="Times New Roman" w:cs="Times New Roman" w:hAnsi="Times New Roman"/>
                <w:sz w:val="20"/>
                <w:szCs w:val="20"/>
                <w:highlight w:val="none"/>
              </w:rPr>
            </w:pPr>
            <w:r>
              <w:rPr>
                <w:rFonts w:ascii="Times New Roman" w:cs="Times New Roman" w:hAnsi="Times New Roman"/>
                <w:sz w:val="20"/>
                <w:szCs w:val="20"/>
                <w:highlight w:val="none"/>
              </w:rPr>
              <w:t>127.89</w:t>
            </w:r>
          </w:p>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219"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308"/>
        </w:trPr>
        <w:tc>
          <w:tcPr>
            <w:tcW w:w="11709" w:type="dxa"/>
            <w:gridSpan w:val="11"/>
            <w:tcBorders>
              <w:top w:val="single" w:sz="8" w:space="0" w:color="000000"/>
              <w:left w:val="nil"/>
              <w:bottom w:val="nil"/>
              <w:right w:val="nil"/>
            </w:tcBorders>
            <w:noWrap/>
            <w:vAlign w:val="center"/>
          </w:tcPr>
          <w:p>
            <w:pPr>
              <w:keepNext w:val="0"/>
              <w:keepLines w:val="0"/>
              <w:widowControl/>
              <w:suppressLineNumbers w:val="0"/>
              <w:jc w:val="left"/>
              <w:textAlignment w:val="center"/>
              <w:rPr>
                <w:rFonts w:ascii="宋体" w:eastAsia="宋体" w:cs="宋体" w:hAnsi="宋体"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注：本表反映部门本年度一般公共预算财政拨款、政府性基金预算财政拨款和国有资本经营预算财政拨款的总收支和年末结转结余情况。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ascii="仿宋_GB2312" w:eastAsia="仿宋_GB2312" w:hAnsi="宋体" w:hint="eastAsia"/>
          <w:b/>
          <w:color w:val="auto"/>
          <w:kern w:val="0"/>
          <w:sz w:val="32"/>
          <w:szCs w:val="32"/>
          <w:highlight w:val="none"/>
        </w:rPr>
      </w:pPr>
    </w:p>
    <w:p>
      <w:pPr>
        <w:rPr>
          <w:rFonts w:ascii="仿宋_GB2312" w:eastAsia="仿宋_GB2312" w:hAnsi="宋体" w:hint="eastAsia"/>
          <w:b/>
          <w:color w:val="auto"/>
          <w:kern w:val="0"/>
          <w:sz w:val="32"/>
          <w:szCs w:val="32"/>
          <w:highlight w:val="none"/>
        </w:rPr>
      </w:pPr>
      <w:r>
        <w:rPr>
          <w:rFonts w:ascii="仿宋_GB2312" w:eastAsia="仿宋_GB2312" w:hAnsi="宋体" w:hint="eastAsia"/>
          <w:b/>
          <w:color w:val="auto"/>
          <w:kern w:val="0"/>
          <w:sz w:val="32"/>
          <w:szCs w:val="32"/>
          <w:highlight w:val="none"/>
        </w:rPr>
        <w:br w:type="page"/>
      </w:r>
    </w:p>
    <w:tbl>
      <w:tblPr>
        <w:jc w:val="left"/>
        <w:tblInd w:w="-657" w:type="dxa"/>
        <w:tblW w:w="8697"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Look w:val="0600" w:firstRow="0" w:lastRow="0" w:firstColumn="0" w:lastColumn="0" w:noHBand="1" w:noVBand="1"/>
      </w:tblPr>
      <w:tblGrid>
        <w:gridCol w:w="993"/>
        <w:gridCol w:w="1352"/>
        <w:gridCol w:w="743"/>
        <w:gridCol w:w="1374"/>
        <w:gridCol w:w="1439"/>
        <w:gridCol w:w="679"/>
        <w:gridCol w:w="2117"/>
      </w:tblGrid>
      <w:tr>
        <w:trPr>
          <w:trHeight w:val="657"/>
        </w:trPr>
        <w:tc>
          <w:tcPr>
            <w:tcW w:w="8697" w:type="dxa"/>
            <w:gridSpan w:val="7"/>
            <w:tcBorders>
              <w:top w:val="nil"/>
              <w:left w:val="nil"/>
              <w:bottom w:val="nil"/>
              <w:right w:val="nil"/>
            </w:tcBorders>
            <w:noWrap/>
            <w:vAlign w:val="bottom"/>
          </w:tcPr>
          <w:p>
            <w:pPr>
              <w:keepNext w:val="0"/>
              <w:keepLines w:val="0"/>
              <w:widowControl/>
              <w:suppressLineNumbers w:val="0"/>
              <w:jc w:val="center"/>
              <w:textAlignment w:val="bottom"/>
              <w:rPr>
                <w:rFonts w:ascii="宋体" w:eastAsia="宋体" w:cs="宋体" w:hAnsi="宋体" w:hint="eastAsia"/>
                <w:i w:val="0"/>
                <w:iCs w:val="0"/>
                <w:color w:val="000000"/>
                <w:sz w:val="20"/>
                <w:szCs w:val="20"/>
                <w:u w:val="none"/>
                <w:highlight w:val="none"/>
              </w:rPr>
            </w:pPr>
            <w:r>
              <w:rPr>
                <w:rFonts w:ascii="方正仿宋_GB2312" w:eastAsia="方正仿宋_GB2312" w:cs="方正仿宋_GB2312" w:hAnsi="方正仿宋_GB2312" w:hint="eastAsia"/>
                <w:b w:val="0"/>
                <w:bCs/>
                <w:color w:val="auto"/>
                <w:kern w:val="0"/>
                <w:sz w:val="32"/>
                <w:szCs w:val="32"/>
                <w:lang w:val="en-US" w:eastAsia="zh-CN"/>
                <w:highlight w:val="none"/>
              </w:rPr>
              <w:t>一般公共预算财政拨款支出决算表</w:t>
            </w:r>
          </w:p>
        </w:tc>
      </w:tr>
      <w:tr>
        <w:trPr>
          <w:trHeight w:val="329"/>
        </w:trPr>
        <w:tc>
          <w:tcPr>
            <w:tcW w:w="8697" w:type="dxa"/>
            <w:gridSpan w:val="7"/>
            <w:tcBorders>
              <w:top w:val="nil"/>
              <w:left w:val="nil"/>
              <w:bottom w:val="nil"/>
              <w:right w:val="nil"/>
            </w:tcBorders>
            <w:noWrap/>
            <w:vAlign w:val="bottom"/>
          </w:tcPr>
          <w:p>
            <w:pPr>
              <w:keepNext w:val="0"/>
              <w:keepLines w:val="0"/>
              <w:widowControl/>
              <w:suppressLineNumbers w:val="0"/>
              <w:jc w:val="right"/>
              <w:textAlignment w:val="bottom"/>
              <w:rPr>
                <w:rFonts w:ascii="宋体" w:eastAsia="宋体" w:cs="宋体" w:hAnsi="宋体"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公开</w:t>
            </w:r>
            <w:r>
              <w:rPr>
                <w:rFonts w:ascii="Times New Roman" w:eastAsia="方正仿宋_GB2312" w:cs="Times New Roman" w:hAnsi="Times New Roman"/>
                <w:i w:val="0"/>
                <w:iCs w:val="0"/>
                <w:color w:val="000000"/>
                <w:kern w:val="0"/>
                <w:sz w:val="20"/>
                <w:szCs w:val="20"/>
                <w:u w:val="none"/>
                <w:lang w:val="en-US" w:eastAsia="zh-CN"/>
                <w:highlight w:val="none"/>
              </w:rPr>
              <w:t>05</w:t>
            </w:r>
            <w:r>
              <w:rPr>
                <w:rFonts w:ascii="方正仿宋_GB2312" w:eastAsia="方正仿宋_GB2312" w:cs="方正仿宋_GB2312" w:hAnsi="方正仿宋_GB2312" w:hint="eastAsia"/>
                <w:i w:val="0"/>
                <w:iCs w:val="0"/>
                <w:color w:val="000000"/>
                <w:kern w:val="0"/>
                <w:sz w:val="20"/>
                <w:szCs w:val="20"/>
                <w:u w:val="none"/>
                <w:lang w:val="en-US" w:eastAsia="zh-CN"/>
                <w:highlight w:val="none"/>
              </w:rPr>
              <w:t>表</w:t>
            </w:r>
          </w:p>
        </w:tc>
      </w:tr>
      <w:tr>
        <w:trPr>
          <w:trHeight w:val="329"/>
        </w:trPr>
        <w:tc>
          <w:tcPr>
            <w:tcW w:w="3088" w:type="dxa"/>
            <w:gridSpan w:val="3"/>
            <w:tcBorders>
              <w:top w:val="nil"/>
              <w:left w:val="nil"/>
              <w:bottom w:val="single" w:sz="8" w:space="0" w:color="000000"/>
              <w:right w:val="nil"/>
            </w:tcBorders>
            <w:noWrap/>
            <w:vAlign w:val="bottom"/>
          </w:tcPr>
          <w:p>
            <w:pPr>
              <w:keepNext w:val="0"/>
              <w:keepLines w:val="0"/>
              <w:widowControl/>
              <w:suppressLineNumbers w:val="0"/>
              <w:jc w:val="left"/>
              <w:textAlignment w:val="bottom"/>
              <w:rPr>
                <w:rFonts w:ascii="宋体" w:eastAsia="宋体" w:cs="宋体" w:hAnsi="宋体"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部门（单位）：行唐县房地产管理所</w:t>
            </w:r>
          </w:p>
        </w:tc>
        <w:tc>
          <w:tcPr>
            <w:tcW w:w="2813" w:type="dxa"/>
            <w:gridSpan w:val="2"/>
            <w:tcBorders>
              <w:top w:val="nil"/>
              <w:left w:val="nil"/>
              <w:bottom w:val="single" w:sz="8" w:space="0" w:color="000000"/>
              <w:right w:val="nil"/>
            </w:tcBorders>
            <w:noWrap/>
            <w:vAlign w:val="bottom"/>
          </w:tcPr>
          <w:p>
            <w:pPr>
              <w:keepNext w:val="0"/>
              <w:keepLines w:val="0"/>
              <w:widowControl/>
              <w:suppressLineNumbers w:val="0"/>
              <w:jc w:val="center"/>
              <w:textAlignment w:val="bottom"/>
              <w:rPr>
                <w:rFonts w:ascii="宋体" w:eastAsia="宋体" w:cs="宋体" w:hAnsi="宋体"/>
                <w:i w:val="0"/>
                <w:iCs w:val="0"/>
                <w:color w:val="000000"/>
                <w:kern w:val="0"/>
                <w:sz w:val="20"/>
                <w:szCs w:val="20"/>
                <w:u w:val="none"/>
                <w:lang w:val="en-US" w:eastAsia="zh-CN"/>
                <w:highlight w:val="none"/>
              </w:rPr>
            </w:pPr>
            <w:r>
              <w:rPr>
                <w:rFonts w:ascii="Times New Roman" w:cs="Times New Roman" w:hAnsi="Times New Roman"/>
                <w:i w:val="0"/>
                <w:iCs w:val="0"/>
                <w:color w:val="000000"/>
                <w:kern w:val="0"/>
                <w:sz w:val="20"/>
                <w:szCs w:val="20"/>
                <w:u w:val="none"/>
                <w:lang w:val="en-US" w:eastAsia="zh-CN"/>
                <w:highlight w:val="none"/>
              </w:rPr>
              <w:t>202</w:t>
            </w:r>
            <w:r>
              <w:rPr>
                <w:rFonts w:ascii="Times New Roman" w:cs="Times New Roman" w:hAnsi="Times New Roman" w:hint="eastAsia"/>
                <w:i w:val="0"/>
                <w:iCs w:val="0"/>
                <w:color w:val="000000"/>
                <w:kern w:val="0"/>
                <w:sz w:val="20"/>
                <w:szCs w:val="20"/>
                <w:u w:val="none"/>
                <w:lang w:val="en-US" w:eastAsia="zh-CN"/>
                <w:highlight w:val="none"/>
              </w:rPr>
              <w:t>5</w:t>
            </w:r>
            <w:r>
              <w:rPr>
                <w:rFonts w:ascii="方正仿宋_GB2312" w:eastAsia="方正仿宋_GB2312" w:cs="方正仿宋_GB2312" w:hAnsi="方正仿宋_GB2312" w:hint="eastAsia"/>
                <w:i w:val="0"/>
                <w:iCs w:val="0"/>
                <w:color w:val="000000"/>
                <w:kern w:val="0"/>
                <w:sz w:val="20"/>
                <w:szCs w:val="20"/>
                <w:u w:val="none"/>
                <w:lang w:val="en-US" w:eastAsia="zh-CN"/>
                <w:highlight w:val="none"/>
              </w:rPr>
              <w:t>年度</w:t>
            </w:r>
          </w:p>
        </w:tc>
        <w:tc>
          <w:tcPr>
            <w:tcW w:w="2796" w:type="dxa"/>
            <w:gridSpan w:val="2"/>
            <w:tcBorders>
              <w:top w:val="nil"/>
              <w:left w:val="nil"/>
              <w:bottom w:val="single" w:sz="8" w:space="0" w:color="000000"/>
              <w:right w:val="nil"/>
            </w:tcBorders>
            <w:noWrap/>
            <w:vAlign w:val="bottom"/>
          </w:tcPr>
          <w:p>
            <w:pPr>
              <w:keepNext w:val="0"/>
              <w:keepLines w:val="0"/>
              <w:widowControl/>
              <w:suppressLineNumbers w:val="0"/>
              <w:jc w:val="right"/>
              <w:textAlignment w:val="bottom"/>
              <w:rPr>
                <w:rFonts w:ascii="方正仿宋_GB2312" w:eastAsia="方正仿宋_GB2312" w:cs="方正仿宋_GB2312" w:hAnsi="方正仿宋_GB2312" w:hint="eastAsia"/>
                <w:i w:val="0"/>
                <w:iCs w:val="0"/>
                <w:color w:val="000000"/>
                <w:kern w:val="0"/>
                <w:sz w:val="20"/>
                <w:szCs w:val="20"/>
                <w:u w:val="none"/>
                <w:lang w:val="en-US" w:eastAsia="zh-CN"/>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金额单位：万元</w:t>
            </w:r>
          </w:p>
        </w:tc>
      </w:tr>
      <w:tr>
        <w:trPr>
          <w:trHeight w:val="510"/>
        </w:trPr>
        <w:tc>
          <w:tcPr>
            <w:tcW w:w="2345" w:type="dxa"/>
            <w:gridSpan w:val="2"/>
            <w:tcBorders>
              <w:top w:val="single" w:sz="8" w:space="0" w:color="000000"/>
              <w:left w:val="single" w:sz="8" w:space="0" w:color="auto"/>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项目</w:t>
            </w:r>
          </w:p>
        </w:tc>
        <w:tc>
          <w:tcPr>
            <w:tcW w:w="6352" w:type="dxa"/>
            <w:gridSpan w:val="5"/>
            <w:tcBorders>
              <w:top w:val="single" w:sz="8" w:space="0" w:color="000000"/>
              <w:left w:val="single" w:sz="8" w:space="0" w:color="000000"/>
              <w:bottom w:val="single" w:sz="8" w:space="0" w:color="000000"/>
              <w:right w:val="single" w:sz="8" w:space="0" w:color="auto"/>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本年支出</w:t>
            </w:r>
          </w:p>
        </w:tc>
      </w:tr>
      <w:tr>
        <w:trPr>
          <w:trHeight w:val="369"/>
        </w:trPr>
        <w:tc>
          <w:tcPr>
            <w:tcW w:w="993" w:type="dxa"/>
            <w:vMerge w:val="restart"/>
            <w:tcBorders>
              <w:top w:val="single" w:sz="8" w:space="0" w:color="000000"/>
              <w:left w:val="single" w:sz="8" w:space="0" w:color="auto"/>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科目代码</w:t>
            </w:r>
          </w:p>
        </w:tc>
        <w:tc>
          <w:tcPr>
            <w:tcW w:w="1352"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科目名称</w:t>
            </w:r>
          </w:p>
        </w:tc>
        <w:tc>
          <w:tcPr>
            <w:tcW w:w="2117" w:type="dxa"/>
            <w:gridSpan w:val="2"/>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lang w:val="en-US" w:eastAsia="zh-CN"/>
                <w:highlight w:val="none"/>
              </w:rPr>
            </w:pPr>
            <w:r>
              <w:rPr>
                <w:rFonts w:ascii="方正仿宋_GB2312" w:eastAsia="方正仿宋_GB2312" w:cs="方正仿宋_GB2312" w:hAnsi="方正仿宋_GB2312" w:hint="eastAsia"/>
                <w:i w:val="0"/>
                <w:iCs w:val="0"/>
                <w:color w:val="000000"/>
                <w:sz w:val="20"/>
                <w:szCs w:val="20"/>
                <w:u w:val="none"/>
                <w:lang w:val="en-US" w:eastAsia="zh-CN"/>
                <w:highlight w:val="none"/>
              </w:rPr>
              <w:t>小计</w:t>
            </w:r>
          </w:p>
        </w:tc>
        <w:tc>
          <w:tcPr>
            <w:tcW w:w="2118" w:type="dxa"/>
            <w:gridSpan w:val="2"/>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基本支出</w:t>
            </w:r>
          </w:p>
        </w:tc>
        <w:tc>
          <w:tcPr>
            <w:tcW w:w="2117" w:type="dxa"/>
            <w:vMerge w:val="restart"/>
            <w:tcBorders>
              <w:top w:val="single" w:sz="8" w:space="0" w:color="000000"/>
              <w:left w:val="single" w:sz="8" w:space="0" w:color="000000"/>
              <w:bottom w:val="single" w:sz="8" w:space="0" w:color="000000"/>
              <w:right w:val="single" w:sz="8" w:space="0" w:color="auto"/>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项目支出</w:t>
            </w:r>
          </w:p>
        </w:tc>
      </w:tr>
      <w:tr>
        <w:trPr>
          <w:trHeight w:val="346"/>
        </w:trPr>
        <w:tc>
          <w:tcPr>
            <w:tcW w:w="993" w:type="dxa"/>
            <w:vMerge/>
            <w:tcBorders>
              <w:top w:val="single" w:sz="8" w:space="0" w:color="000000"/>
              <w:left w:val="single" w:sz="8" w:space="0" w:color="auto"/>
              <w:bottom w:val="single" w:sz="8" w:space="0" w:color="000000"/>
              <w:right w:val="single" w:sz="8" w:space="0" w:color="000000"/>
            </w:tcBorders>
            <w:vAlign w:val="center"/>
          </w:tcPr>
          <w:p/>
        </w:tc>
        <w:tc>
          <w:tcPr>
            <w:tcW w:w="1352" w:type="dxa"/>
            <w:vMerge/>
            <w:tcBorders>
              <w:top w:val="single" w:sz="8" w:space="0" w:color="000000"/>
              <w:left w:val="single" w:sz="8" w:space="0" w:color="000000"/>
              <w:bottom w:val="single" w:sz="8" w:space="0" w:color="000000"/>
              <w:right w:val="single" w:sz="8" w:space="0" w:color="000000"/>
            </w:tcBorders>
            <w:vAlign w:val="center"/>
          </w:tcPr>
          <w:p/>
        </w:tc>
        <w:tc>
          <w:tcPr>
            <w:tcW w:w="2117" w:type="dxa"/>
            <w:gridSpan w:val="2"/>
            <w:vMerge/>
            <w:tcBorders>
              <w:top w:val="single" w:sz="8" w:space="0" w:color="000000"/>
              <w:left w:val="single" w:sz="8" w:space="0" w:color="000000"/>
              <w:bottom w:val="single" w:sz="8" w:space="0" w:color="000000"/>
              <w:right w:val="single" w:sz="8" w:space="0" w:color="000000"/>
            </w:tcBorders>
            <w:vAlign w:val="center"/>
          </w:tcPr>
          <w:p/>
        </w:tc>
        <w:tc>
          <w:tcPr>
            <w:tcW w:w="2118" w:type="dxa"/>
            <w:gridSpan w:val="2"/>
            <w:vMerge/>
            <w:tcBorders>
              <w:top w:val="single" w:sz="8" w:space="0" w:color="000000"/>
              <w:left w:val="single" w:sz="8" w:space="0" w:color="000000"/>
              <w:bottom w:val="single" w:sz="8" w:space="0" w:color="000000"/>
              <w:right w:val="single" w:sz="8" w:space="0" w:color="000000"/>
            </w:tcBorders>
            <w:vAlign w:val="center"/>
          </w:tcPr>
          <w:p/>
        </w:tc>
        <w:tc>
          <w:tcPr>
            <w:tcW w:w="2117" w:type="dxa"/>
            <w:vMerge/>
            <w:tcBorders>
              <w:top w:val="single" w:sz="8" w:space="0" w:color="000000"/>
              <w:left w:val="single" w:sz="8" w:space="0" w:color="000000"/>
              <w:bottom w:val="single" w:sz="8" w:space="0" w:color="000000"/>
              <w:right w:val="single" w:sz="8" w:space="0" w:color="auto"/>
            </w:tcBorders>
            <w:vAlign w:val="center"/>
          </w:tcPr>
          <w:p/>
        </w:tc>
      </w:tr>
      <w:tr>
        <w:trPr>
          <w:trHeight w:val="369"/>
        </w:trPr>
        <w:tc>
          <w:tcPr>
            <w:tcW w:w="993" w:type="dxa"/>
            <w:vMerge/>
            <w:tcBorders>
              <w:top w:val="single" w:sz="8" w:space="0" w:color="000000"/>
              <w:left w:val="single" w:sz="8" w:space="0" w:color="auto"/>
              <w:bottom w:val="single" w:sz="8" w:space="0" w:color="000000"/>
              <w:right w:val="single" w:sz="8" w:space="0" w:color="000000"/>
            </w:tcBorders>
            <w:vAlign w:val="center"/>
          </w:tcPr>
          <w:p/>
        </w:tc>
        <w:tc>
          <w:tcPr>
            <w:tcW w:w="1352" w:type="dxa"/>
            <w:vMerge/>
            <w:tcBorders>
              <w:top w:val="single" w:sz="8" w:space="0" w:color="000000"/>
              <w:left w:val="single" w:sz="8" w:space="0" w:color="000000"/>
              <w:bottom w:val="single" w:sz="8" w:space="0" w:color="000000"/>
              <w:right w:val="single" w:sz="8" w:space="0" w:color="000000"/>
            </w:tcBorders>
            <w:vAlign w:val="center"/>
          </w:tcPr>
          <w:p/>
        </w:tc>
        <w:tc>
          <w:tcPr>
            <w:tcW w:w="2117" w:type="dxa"/>
            <w:gridSpan w:val="2"/>
            <w:vMerge/>
            <w:tcBorders>
              <w:top w:val="single" w:sz="8" w:space="0" w:color="000000"/>
              <w:left w:val="single" w:sz="8" w:space="0" w:color="000000"/>
              <w:bottom w:val="single" w:sz="8" w:space="0" w:color="000000"/>
              <w:right w:val="single" w:sz="8" w:space="0" w:color="000000"/>
            </w:tcBorders>
            <w:vAlign w:val="center"/>
          </w:tcPr>
          <w:p/>
        </w:tc>
        <w:tc>
          <w:tcPr>
            <w:tcW w:w="2118" w:type="dxa"/>
            <w:gridSpan w:val="2"/>
            <w:vMerge/>
            <w:tcBorders>
              <w:top w:val="single" w:sz="8" w:space="0" w:color="000000"/>
              <w:left w:val="single" w:sz="8" w:space="0" w:color="000000"/>
              <w:bottom w:val="single" w:sz="8" w:space="0" w:color="000000"/>
              <w:right w:val="single" w:sz="8" w:space="0" w:color="000000"/>
            </w:tcBorders>
            <w:vAlign w:val="center"/>
          </w:tcPr>
          <w:p/>
        </w:tc>
        <w:tc>
          <w:tcPr>
            <w:tcW w:w="2117" w:type="dxa"/>
            <w:vMerge/>
            <w:tcBorders>
              <w:top w:val="single" w:sz="8" w:space="0" w:color="000000"/>
              <w:left w:val="single" w:sz="8" w:space="0" w:color="000000"/>
              <w:bottom w:val="single" w:sz="8" w:space="0" w:color="000000"/>
              <w:right w:val="single" w:sz="8" w:space="0" w:color="auto"/>
            </w:tcBorders>
            <w:vAlign w:val="center"/>
          </w:tcPr>
          <w:p/>
        </w:tc>
      </w:tr>
      <w:tr>
        <w:trPr>
          <w:trHeight w:val="369"/>
        </w:trPr>
        <w:tc>
          <w:tcPr>
            <w:tcW w:w="2345" w:type="dxa"/>
            <w:gridSpan w:val="2"/>
            <w:tcBorders>
              <w:top w:val="single" w:sz="8" w:space="0" w:color="000000"/>
              <w:left w:val="single" w:sz="8" w:space="0" w:color="auto"/>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栏次</w:t>
            </w:r>
          </w:p>
        </w:tc>
        <w:tc>
          <w:tcPr>
            <w:tcW w:w="2117"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eastAsia="zh-CN"/>
                <w:highlight w:val="none"/>
              </w:rPr>
            </w:pPr>
            <w:r>
              <w:rPr>
                <w:rFonts w:ascii="Times New Roman" w:eastAsia="宋体" w:cs="Times New Roman" w:hAnsi="Times New Roman"/>
                <w:i w:val="0"/>
                <w:iCs w:val="0"/>
                <w:color w:val="000000"/>
                <w:sz w:val="20"/>
                <w:szCs w:val="20"/>
                <w:u w:val="none"/>
                <w:lang w:val="en-US" w:eastAsia="zh-CN"/>
                <w:highlight w:val="none"/>
              </w:rPr>
              <w:t>1</w:t>
            </w:r>
          </w:p>
        </w:tc>
        <w:tc>
          <w:tcPr>
            <w:tcW w:w="2118"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eastAsia="zh-CN"/>
                <w:highlight w:val="none"/>
              </w:rPr>
            </w:pPr>
            <w:r>
              <w:rPr>
                <w:rFonts w:ascii="Times New Roman" w:eastAsia="宋体" w:cs="Times New Roman" w:hAnsi="Times New Roman"/>
                <w:i w:val="0"/>
                <w:iCs w:val="0"/>
                <w:color w:val="000000"/>
                <w:sz w:val="20"/>
                <w:szCs w:val="20"/>
                <w:u w:val="none"/>
                <w:lang w:val="en-US" w:eastAsia="zh-CN"/>
                <w:highlight w:val="none"/>
              </w:rPr>
              <w:t>2</w:t>
            </w:r>
          </w:p>
        </w:tc>
        <w:tc>
          <w:tcPr>
            <w:tcW w:w="2117" w:type="dxa"/>
            <w:tcBorders>
              <w:top w:val="single" w:sz="8" w:space="0" w:color="000000"/>
              <w:left w:val="single" w:sz="8" w:space="0" w:color="000000"/>
              <w:bottom w:val="single" w:sz="8" w:space="0" w:color="000000"/>
              <w:right w:val="single" w:sz="8"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eastAsia="zh-CN"/>
                <w:highlight w:val="none"/>
              </w:rPr>
            </w:pPr>
            <w:r>
              <w:rPr>
                <w:rFonts w:ascii="Times New Roman" w:eastAsia="宋体" w:cs="Times New Roman" w:hAnsi="Times New Roman"/>
                <w:i w:val="0"/>
                <w:iCs w:val="0"/>
                <w:color w:val="000000"/>
                <w:sz w:val="20"/>
                <w:szCs w:val="20"/>
                <w:u w:val="none"/>
                <w:lang w:val="en-US" w:eastAsia="zh-CN"/>
                <w:highlight w:val="none"/>
              </w:rPr>
              <w:t>3</w:t>
            </w:r>
          </w:p>
        </w:tc>
      </w:tr>
      <w:tr>
        <w:trPr>
          <w:trHeight w:val="369"/>
        </w:trPr>
        <w:tc>
          <w:tcPr>
            <w:tcW w:w="2345" w:type="dxa"/>
            <w:gridSpan w:val="2"/>
            <w:tcBorders>
              <w:top w:val="single" w:sz="8" w:space="0" w:color="000000"/>
              <w:left w:val="single" w:sz="8" w:space="0" w:color="auto"/>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合计</w:t>
            </w:r>
          </w:p>
        </w:tc>
        <w:tc>
          <w:tcPr>
            <w:tcW w:w="2117"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cs="Times New Roman" w:hAnsi="Times New Roman"/>
                <w:sz w:val="20"/>
                <w:szCs w:val="20"/>
                <w:highlight w:val="none"/>
              </w:rPr>
              <w:t>127.89</w:t>
            </w:r>
          </w:p>
        </w:tc>
        <w:tc>
          <w:tcPr>
            <w:tcW w:w="2118"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cs="Times New Roman" w:hAnsi="Times New Roman"/>
                <w:sz w:val="20"/>
                <w:szCs w:val="20"/>
                <w:highlight w:val="none"/>
              </w:rPr>
              <w:t>71.86</w:t>
            </w:r>
          </w:p>
        </w:tc>
        <w:tc>
          <w:tcPr>
            <w:tcW w:w="2117" w:type="dxa"/>
            <w:tcBorders>
              <w:top w:val="single" w:sz="8" w:space="0" w:color="000000"/>
              <w:left w:val="single" w:sz="8" w:space="0" w:color="000000"/>
              <w:bottom w:val="single" w:sz="8" w:space="0" w:color="000000"/>
              <w:right w:val="single" w:sz="8" w:space="0" w:color="auto"/>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cs="Times New Roman" w:hAnsi="Times New Roman"/>
                <w:sz w:val="20"/>
                <w:szCs w:val="20"/>
                <w:highlight w:val="none"/>
              </w:rPr>
              <w:t>56.03</w:t>
            </w:r>
          </w:p>
        </w:tc>
      </w:tr>
      <w:tr>
        <w:trPr>
          <w:trHeight w:val="661"/>
        </w:trPr>
        <w:tc>
          <w:tcPr>
            <w:tcW w:w="993" w:type="dxa"/>
            <w:tcBorders>
              <w:top w:val="single" w:sz="8" w:space="0" w:color="000000"/>
              <w:left w:val="single" w:sz="8" w:space="0" w:color="auto"/>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none"/>
              </w:rPr>
            </w:pPr>
            <w:r>
              <w:rPr>
                <w:rFonts w:ascii="Times New Roman" w:eastAsia="方正仿宋_GB2312" w:cs="Times New Roman" w:hAnsi="Times New Roman"/>
                <w:i w:val="0"/>
                <w:iCs w:val="0"/>
                <w:color w:val="000000"/>
                <w:sz w:val="20"/>
                <w:szCs w:val="20"/>
                <w:u w:val="none"/>
                <w:lang w:val="en-US" w:eastAsia="zh-CN"/>
                <w:highlight w:val="none"/>
              </w:rPr>
              <w:t>208</w:t>
            </w:r>
          </w:p>
        </w:tc>
        <w:tc>
          <w:tcPr>
            <w:tcW w:w="1352"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sz w:val="20"/>
                <w:szCs w:val="20"/>
                <w:u w:val="none"/>
                <w:lang w:val="en-US" w:eastAsia="zh-CN"/>
                <w:highlight w:val="none"/>
              </w:rPr>
              <w:t>社会保障和就业支出</w:t>
            </w:r>
          </w:p>
        </w:tc>
        <w:tc>
          <w:tcPr>
            <w:tcW w:w="2117"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5.09</w:t>
            </w:r>
          </w:p>
        </w:tc>
        <w:tc>
          <w:tcPr>
            <w:tcW w:w="2118"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5.09</w:t>
            </w:r>
          </w:p>
        </w:tc>
        <w:tc>
          <w:tcPr>
            <w:tcW w:w="2117" w:type="dxa"/>
            <w:tcBorders>
              <w:top w:val="single" w:sz="8" w:space="0" w:color="000000"/>
              <w:left w:val="single" w:sz="8" w:space="0" w:color="000000"/>
              <w:bottom w:val="single" w:sz="8" w:space="0" w:color="000000"/>
              <w:right w:val="single" w:sz="8" w:space="0" w:color="auto"/>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661"/>
        </w:trPr>
        <w:tc>
          <w:tcPr>
            <w:tcW w:w="993" w:type="dxa"/>
            <w:tcBorders>
              <w:top w:val="single" w:sz="8" w:space="0" w:color="000000"/>
              <w:left w:val="single" w:sz="8" w:space="0" w:color="auto"/>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none"/>
              </w:rPr>
            </w:pPr>
            <w:r>
              <w:rPr>
                <w:rFonts w:ascii="Times New Roman" w:eastAsia="方正仿宋_GB2312" w:cs="Times New Roman" w:hAnsi="Times New Roman"/>
                <w:i w:val="0"/>
                <w:iCs w:val="0"/>
                <w:color w:val="000000"/>
                <w:sz w:val="20"/>
                <w:szCs w:val="20"/>
                <w:u w:val="none"/>
                <w:lang w:val="en-US" w:eastAsia="zh-CN"/>
                <w:highlight w:val="none"/>
              </w:rPr>
              <w:t>20805</w:t>
            </w:r>
          </w:p>
        </w:tc>
        <w:tc>
          <w:tcPr>
            <w:tcW w:w="1352"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sz w:val="20"/>
                <w:szCs w:val="20"/>
                <w:u w:val="none"/>
                <w:lang w:val="en-US" w:eastAsia="zh-CN"/>
                <w:highlight w:val="none"/>
              </w:rPr>
              <w:t>行政事业单位养老支出</w:t>
            </w:r>
          </w:p>
        </w:tc>
        <w:tc>
          <w:tcPr>
            <w:tcW w:w="2117"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5.09</w:t>
            </w:r>
          </w:p>
        </w:tc>
        <w:tc>
          <w:tcPr>
            <w:tcW w:w="2118"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5.09</w:t>
            </w:r>
          </w:p>
        </w:tc>
        <w:tc>
          <w:tcPr>
            <w:tcW w:w="2117" w:type="dxa"/>
            <w:tcBorders>
              <w:top w:val="single" w:sz="8" w:space="0" w:color="000000"/>
              <w:left w:val="single" w:sz="8" w:space="0" w:color="000000"/>
              <w:bottom w:val="single" w:sz="8" w:space="0" w:color="000000"/>
              <w:right w:val="single" w:sz="8" w:space="0" w:color="auto"/>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661"/>
        </w:trPr>
        <w:tc>
          <w:tcPr>
            <w:tcW w:w="993" w:type="dxa"/>
            <w:tcBorders>
              <w:top w:val="single" w:sz="8" w:space="0" w:color="000000"/>
              <w:left w:val="single" w:sz="8" w:space="0" w:color="auto"/>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none"/>
              </w:rPr>
            </w:pPr>
            <w:r>
              <w:rPr>
                <w:rFonts w:ascii="Times New Roman" w:eastAsia="方正仿宋_GB2312" w:cs="Times New Roman" w:hAnsi="Times New Roman"/>
                <w:i w:val="0"/>
                <w:iCs w:val="0"/>
                <w:color w:val="000000"/>
                <w:sz w:val="20"/>
                <w:szCs w:val="20"/>
                <w:u w:val="none"/>
                <w:lang w:val="en-US" w:eastAsia="zh-CN"/>
                <w:highlight w:val="none"/>
              </w:rPr>
              <w:t>2080505</w:t>
            </w:r>
          </w:p>
        </w:tc>
        <w:tc>
          <w:tcPr>
            <w:tcW w:w="1352"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sz w:val="20"/>
                <w:szCs w:val="20"/>
                <w:u w:val="none"/>
                <w:lang w:val="en-US" w:eastAsia="zh-CN"/>
                <w:highlight w:val="none"/>
              </w:rPr>
              <w:t>机关事业单位基本养老保险缴费支出</w:t>
            </w:r>
          </w:p>
        </w:tc>
        <w:tc>
          <w:tcPr>
            <w:tcW w:w="2117"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5.09</w:t>
            </w:r>
          </w:p>
        </w:tc>
        <w:tc>
          <w:tcPr>
            <w:tcW w:w="2118"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5.09</w:t>
            </w:r>
          </w:p>
        </w:tc>
        <w:tc>
          <w:tcPr>
            <w:tcW w:w="2117" w:type="dxa"/>
            <w:tcBorders>
              <w:top w:val="single" w:sz="8" w:space="0" w:color="000000"/>
              <w:left w:val="single" w:sz="8" w:space="0" w:color="000000"/>
              <w:bottom w:val="single" w:sz="8" w:space="0" w:color="000000"/>
              <w:right w:val="single" w:sz="8" w:space="0" w:color="auto"/>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661"/>
        </w:trPr>
        <w:tc>
          <w:tcPr>
            <w:tcW w:w="993" w:type="dxa"/>
            <w:tcBorders>
              <w:top w:val="single" w:sz="8" w:space="0" w:color="000000"/>
              <w:left w:val="single" w:sz="8" w:space="0" w:color="auto"/>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none"/>
              </w:rPr>
            </w:pPr>
            <w:r>
              <w:rPr>
                <w:rFonts w:ascii="Times New Roman" w:eastAsia="方正仿宋_GB2312" w:cs="Times New Roman" w:hAnsi="Times New Roman"/>
                <w:i w:val="0"/>
                <w:iCs w:val="0"/>
                <w:color w:val="000000"/>
                <w:sz w:val="20"/>
                <w:szCs w:val="20"/>
                <w:u w:val="none"/>
                <w:lang w:val="en-US" w:eastAsia="zh-CN"/>
                <w:highlight w:val="none"/>
              </w:rPr>
              <w:t>210</w:t>
            </w:r>
          </w:p>
        </w:tc>
        <w:tc>
          <w:tcPr>
            <w:tcW w:w="1352"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sz w:val="20"/>
                <w:szCs w:val="20"/>
                <w:u w:val="none"/>
                <w:lang w:val="en-US" w:eastAsia="zh-CN"/>
                <w:highlight w:val="none"/>
              </w:rPr>
              <w:t>卫生健康支出</w:t>
            </w:r>
          </w:p>
        </w:tc>
        <w:tc>
          <w:tcPr>
            <w:tcW w:w="2117"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2.79</w:t>
            </w:r>
          </w:p>
        </w:tc>
        <w:tc>
          <w:tcPr>
            <w:tcW w:w="2118"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2.79</w:t>
            </w:r>
          </w:p>
        </w:tc>
        <w:tc>
          <w:tcPr>
            <w:tcW w:w="2117" w:type="dxa"/>
            <w:tcBorders>
              <w:top w:val="single" w:sz="8" w:space="0" w:color="000000"/>
              <w:left w:val="single" w:sz="8" w:space="0" w:color="000000"/>
              <w:bottom w:val="single" w:sz="8" w:space="0" w:color="000000"/>
              <w:right w:val="single" w:sz="8" w:space="0" w:color="auto"/>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661"/>
        </w:trPr>
        <w:tc>
          <w:tcPr>
            <w:tcW w:w="993" w:type="dxa"/>
            <w:tcBorders>
              <w:top w:val="single" w:sz="8" w:space="0" w:color="000000"/>
              <w:left w:val="single" w:sz="8" w:space="0" w:color="auto"/>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none"/>
              </w:rPr>
            </w:pPr>
            <w:r>
              <w:rPr>
                <w:rFonts w:ascii="Times New Roman" w:eastAsia="方正仿宋_GB2312" w:cs="Times New Roman" w:hAnsi="Times New Roman"/>
                <w:i w:val="0"/>
                <w:iCs w:val="0"/>
                <w:color w:val="000000"/>
                <w:sz w:val="20"/>
                <w:szCs w:val="20"/>
                <w:u w:val="none"/>
                <w:lang w:val="en-US" w:eastAsia="zh-CN"/>
                <w:highlight w:val="none"/>
              </w:rPr>
              <w:t>21011</w:t>
            </w:r>
          </w:p>
        </w:tc>
        <w:tc>
          <w:tcPr>
            <w:tcW w:w="1352"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sz w:val="20"/>
                <w:szCs w:val="20"/>
                <w:u w:val="none"/>
                <w:lang w:val="en-US" w:eastAsia="zh-CN"/>
                <w:highlight w:val="none"/>
              </w:rPr>
              <w:t>行政事业单位医疗</w:t>
            </w:r>
          </w:p>
        </w:tc>
        <w:tc>
          <w:tcPr>
            <w:tcW w:w="2117"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2.79</w:t>
            </w:r>
          </w:p>
        </w:tc>
        <w:tc>
          <w:tcPr>
            <w:tcW w:w="2118"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2.79</w:t>
            </w:r>
          </w:p>
        </w:tc>
        <w:tc>
          <w:tcPr>
            <w:tcW w:w="2117" w:type="dxa"/>
            <w:tcBorders>
              <w:top w:val="single" w:sz="8" w:space="0" w:color="000000"/>
              <w:left w:val="single" w:sz="8" w:space="0" w:color="000000"/>
              <w:bottom w:val="single" w:sz="8" w:space="0" w:color="000000"/>
              <w:right w:val="single" w:sz="8" w:space="0" w:color="auto"/>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661"/>
        </w:trPr>
        <w:tc>
          <w:tcPr>
            <w:tcW w:w="993" w:type="dxa"/>
            <w:tcBorders>
              <w:top w:val="single" w:sz="8" w:space="0" w:color="000000"/>
              <w:left w:val="single" w:sz="8" w:space="0" w:color="auto"/>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none"/>
              </w:rPr>
            </w:pPr>
            <w:r>
              <w:rPr>
                <w:rFonts w:ascii="Times New Roman" w:eastAsia="方正仿宋_GB2312" w:cs="Times New Roman" w:hAnsi="Times New Roman"/>
                <w:i w:val="0"/>
                <w:iCs w:val="0"/>
                <w:color w:val="000000"/>
                <w:sz w:val="20"/>
                <w:szCs w:val="20"/>
                <w:u w:val="none"/>
                <w:lang w:val="en-US" w:eastAsia="zh-CN"/>
                <w:highlight w:val="none"/>
              </w:rPr>
              <w:t>2101102</w:t>
            </w:r>
          </w:p>
        </w:tc>
        <w:tc>
          <w:tcPr>
            <w:tcW w:w="1352"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sz w:val="20"/>
                <w:szCs w:val="20"/>
                <w:u w:val="none"/>
                <w:lang w:val="en-US" w:eastAsia="zh-CN"/>
                <w:highlight w:val="none"/>
              </w:rPr>
              <w:t>事业单位医疗</w:t>
            </w:r>
          </w:p>
        </w:tc>
        <w:tc>
          <w:tcPr>
            <w:tcW w:w="2117"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2.79</w:t>
            </w:r>
          </w:p>
        </w:tc>
        <w:tc>
          <w:tcPr>
            <w:tcW w:w="2118"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2.79</w:t>
            </w:r>
          </w:p>
        </w:tc>
        <w:tc>
          <w:tcPr>
            <w:tcW w:w="2117" w:type="dxa"/>
            <w:tcBorders>
              <w:top w:val="single" w:sz="8" w:space="0" w:color="000000"/>
              <w:left w:val="single" w:sz="8" w:space="0" w:color="000000"/>
              <w:bottom w:val="single" w:sz="8" w:space="0" w:color="000000"/>
              <w:right w:val="single" w:sz="8" w:space="0" w:color="auto"/>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661"/>
        </w:trPr>
        <w:tc>
          <w:tcPr>
            <w:tcW w:w="993" w:type="dxa"/>
            <w:tcBorders>
              <w:top w:val="single" w:sz="8" w:space="0" w:color="000000"/>
              <w:left w:val="single" w:sz="8" w:space="0" w:color="auto"/>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none"/>
              </w:rPr>
            </w:pPr>
            <w:r>
              <w:rPr>
                <w:rFonts w:ascii="Times New Roman" w:eastAsia="方正仿宋_GB2312" w:cs="Times New Roman" w:hAnsi="Times New Roman"/>
                <w:i w:val="0"/>
                <w:iCs w:val="0"/>
                <w:color w:val="000000"/>
                <w:sz w:val="20"/>
                <w:szCs w:val="20"/>
                <w:u w:val="none"/>
                <w:lang w:val="en-US" w:eastAsia="zh-CN"/>
                <w:highlight w:val="none"/>
              </w:rPr>
              <w:t>212</w:t>
            </w:r>
          </w:p>
        </w:tc>
        <w:tc>
          <w:tcPr>
            <w:tcW w:w="1352"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sz w:val="20"/>
                <w:szCs w:val="20"/>
                <w:u w:val="none"/>
                <w:lang w:val="en-US" w:eastAsia="zh-CN"/>
                <w:highlight w:val="none"/>
              </w:rPr>
              <w:t>城乡社区支出</w:t>
            </w:r>
          </w:p>
        </w:tc>
        <w:tc>
          <w:tcPr>
            <w:tcW w:w="2117"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115.80</w:t>
            </w:r>
          </w:p>
        </w:tc>
        <w:tc>
          <w:tcPr>
            <w:tcW w:w="2118"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59.78</w:t>
            </w:r>
          </w:p>
        </w:tc>
        <w:tc>
          <w:tcPr>
            <w:tcW w:w="2117" w:type="dxa"/>
            <w:tcBorders>
              <w:top w:val="single" w:sz="8" w:space="0" w:color="000000"/>
              <w:left w:val="single" w:sz="8" w:space="0" w:color="000000"/>
              <w:bottom w:val="single" w:sz="8" w:space="0" w:color="000000"/>
              <w:right w:val="single" w:sz="8" w:space="0" w:color="auto"/>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56.03</w:t>
            </w:r>
          </w:p>
        </w:tc>
      </w:tr>
      <w:tr>
        <w:trPr>
          <w:trHeight w:val="661"/>
        </w:trPr>
        <w:tc>
          <w:tcPr>
            <w:tcW w:w="993" w:type="dxa"/>
            <w:tcBorders>
              <w:top w:val="single" w:sz="8" w:space="0" w:color="000000"/>
              <w:left w:val="single" w:sz="8" w:space="0" w:color="auto"/>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none"/>
              </w:rPr>
            </w:pPr>
            <w:r>
              <w:rPr>
                <w:rFonts w:ascii="Times New Roman" w:eastAsia="方正仿宋_GB2312" w:cs="Times New Roman" w:hAnsi="Times New Roman"/>
                <w:i w:val="0"/>
                <w:iCs w:val="0"/>
                <w:color w:val="000000"/>
                <w:sz w:val="20"/>
                <w:szCs w:val="20"/>
                <w:u w:val="none"/>
                <w:lang w:val="en-US" w:eastAsia="zh-CN"/>
                <w:highlight w:val="none"/>
              </w:rPr>
              <w:t>21201</w:t>
            </w:r>
          </w:p>
        </w:tc>
        <w:tc>
          <w:tcPr>
            <w:tcW w:w="1352"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sz w:val="20"/>
                <w:szCs w:val="20"/>
                <w:u w:val="none"/>
                <w:lang w:val="en-US" w:eastAsia="zh-CN"/>
                <w:highlight w:val="none"/>
              </w:rPr>
              <w:t>城乡社区管理事务</w:t>
            </w:r>
          </w:p>
        </w:tc>
        <w:tc>
          <w:tcPr>
            <w:tcW w:w="2117"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115.80</w:t>
            </w:r>
          </w:p>
        </w:tc>
        <w:tc>
          <w:tcPr>
            <w:tcW w:w="2118"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59.78</w:t>
            </w:r>
          </w:p>
        </w:tc>
        <w:tc>
          <w:tcPr>
            <w:tcW w:w="2117" w:type="dxa"/>
            <w:tcBorders>
              <w:top w:val="single" w:sz="8" w:space="0" w:color="000000"/>
              <w:left w:val="single" w:sz="8" w:space="0" w:color="000000"/>
              <w:bottom w:val="single" w:sz="8" w:space="0" w:color="000000"/>
              <w:right w:val="single" w:sz="8" w:space="0" w:color="auto"/>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56.03</w:t>
            </w:r>
          </w:p>
        </w:tc>
      </w:tr>
      <w:tr>
        <w:trPr>
          <w:trHeight w:val="661"/>
        </w:trPr>
        <w:tc>
          <w:tcPr>
            <w:tcW w:w="993" w:type="dxa"/>
            <w:tcBorders>
              <w:top w:val="single" w:sz="8" w:space="0" w:color="000000"/>
              <w:left w:val="single" w:sz="8" w:space="0" w:color="auto"/>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none"/>
              </w:rPr>
            </w:pPr>
            <w:r>
              <w:rPr>
                <w:rFonts w:ascii="Times New Roman" w:eastAsia="方正仿宋_GB2312" w:cs="Times New Roman" w:hAnsi="Times New Roman"/>
                <w:i w:val="0"/>
                <w:iCs w:val="0"/>
                <w:color w:val="000000"/>
                <w:sz w:val="20"/>
                <w:szCs w:val="20"/>
                <w:u w:val="none"/>
                <w:lang w:val="en-US" w:eastAsia="zh-CN"/>
                <w:highlight w:val="none"/>
              </w:rPr>
              <w:t>2120102</w:t>
            </w:r>
          </w:p>
        </w:tc>
        <w:tc>
          <w:tcPr>
            <w:tcW w:w="1352"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sz w:val="20"/>
                <w:szCs w:val="20"/>
                <w:u w:val="none"/>
                <w:lang w:val="en-US" w:eastAsia="zh-CN"/>
                <w:highlight w:val="none"/>
              </w:rPr>
              <w:t>一般行政管理事务</w:t>
            </w:r>
          </w:p>
        </w:tc>
        <w:tc>
          <w:tcPr>
            <w:tcW w:w="2117"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56.03</w:t>
            </w:r>
          </w:p>
        </w:tc>
        <w:tc>
          <w:tcPr>
            <w:tcW w:w="2118"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2117" w:type="dxa"/>
            <w:tcBorders>
              <w:top w:val="single" w:sz="8" w:space="0" w:color="000000"/>
              <w:left w:val="single" w:sz="8" w:space="0" w:color="000000"/>
              <w:bottom w:val="single" w:sz="8" w:space="0" w:color="000000"/>
              <w:right w:val="single" w:sz="8" w:space="0" w:color="auto"/>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56.03</w:t>
            </w:r>
          </w:p>
        </w:tc>
      </w:tr>
      <w:tr>
        <w:trPr>
          <w:trHeight w:val="661"/>
        </w:trPr>
        <w:tc>
          <w:tcPr>
            <w:tcW w:w="993" w:type="dxa"/>
            <w:tcBorders>
              <w:top w:val="single" w:sz="8" w:space="0" w:color="000000"/>
              <w:left w:val="single" w:sz="8" w:space="0" w:color="auto"/>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none"/>
              </w:rPr>
            </w:pPr>
            <w:r>
              <w:rPr>
                <w:rFonts w:ascii="Times New Roman" w:eastAsia="方正仿宋_GB2312" w:cs="Times New Roman" w:hAnsi="Times New Roman"/>
                <w:i w:val="0"/>
                <w:iCs w:val="0"/>
                <w:color w:val="000000"/>
                <w:sz w:val="20"/>
                <w:szCs w:val="20"/>
                <w:u w:val="none"/>
                <w:lang w:val="en-US" w:eastAsia="zh-CN"/>
                <w:highlight w:val="none"/>
              </w:rPr>
              <w:t>2120109</w:t>
            </w:r>
          </w:p>
        </w:tc>
        <w:tc>
          <w:tcPr>
            <w:tcW w:w="1352"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sz w:val="20"/>
                <w:szCs w:val="20"/>
                <w:u w:val="none"/>
                <w:lang w:val="en-US" w:eastAsia="zh-CN"/>
                <w:highlight w:val="none"/>
              </w:rPr>
              <w:t>住宅建设与房地产市场监管</w:t>
            </w:r>
          </w:p>
        </w:tc>
        <w:tc>
          <w:tcPr>
            <w:tcW w:w="2117"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59.78</w:t>
            </w:r>
          </w:p>
        </w:tc>
        <w:tc>
          <w:tcPr>
            <w:tcW w:w="2118"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59.78</w:t>
            </w:r>
          </w:p>
        </w:tc>
        <w:tc>
          <w:tcPr>
            <w:tcW w:w="2117" w:type="dxa"/>
            <w:tcBorders>
              <w:top w:val="single" w:sz="8" w:space="0" w:color="000000"/>
              <w:left w:val="single" w:sz="8" w:space="0" w:color="000000"/>
              <w:bottom w:val="single" w:sz="8" w:space="0" w:color="000000"/>
              <w:right w:val="single" w:sz="8" w:space="0" w:color="auto"/>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661"/>
        </w:trPr>
        <w:tc>
          <w:tcPr>
            <w:tcW w:w="993" w:type="dxa"/>
            <w:tcBorders>
              <w:top w:val="single" w:sz="8" w:space="0" w:color="000000"/>
              <w:left w:val="single" w:sz="8" w:space="0" w:color="auto"/>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none"/>
              </w:rPr>
            </w:pPr>
            <w:r>
              <w:rPr>
                <w:rFonts w:ascii="Times New Roman" w:eastAsia="方正仿宋_GB2312" w:cs="Times New Roman" w:hAnsi="Times New Roman"/>
                <w:i w:val="0"/>
                <w:iCs w:val="0"/>
                <w:color w:val="000000"/>
                <w:sz w:val="20"/>
                <w:szCs w:val="20"/>
                <w:u w:val="none"/>
                <w:lang w:val="en-US" w:eastAsia="zh-CN"/>
                <w:highlight w:val="none"/>
              </w:rPr>
              <w:t>221</w:t>
            </w:r>
          </w:p>
        </w:tc>
        <w:tc>
          <w:tcPr>
            <w:tcW w:w="1352"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sz w:val="20"/>
                <w:szCs w:val="20"/>
                <w:u w:val="none"/>
                <w:lang w:val="en-US" w:eastAsia="zh-CN"/>
                <w:highlight w:val="none"/>
              </w:rPr>
              <w:t>住房保障支出</w:t>
            </w:r>
          </w:p>
        </w:tc>
        <w:tc>
          <w:tcPr>
            <w:tcW w:w="2117"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4.21</w:t>
            </w:r>
          </w:p>
        </w:tc>
        <w:tc>
          <w:tcPr>
            <w:tcW w:w="2118"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4.21</w:t>
            </w:r>
          </w:p>
        </w:tc>
        <w:tc>
          <w:tcPr>
            <w:tcW w:w="2117" w:type="dxa"/>
            <w:tcBorders>
              <w:top w:val="single" w:sz="8" w:space="0" w:color="000000"/>
              <w:left w:val="single" w:sz="8" w:space="0" w:color="000000"/>
              <w:bottom w:val="single" w:sz="8" w:space="0" w:color="000000"/>
              <w:right w:val="single" w:sz="8" w:space="0" w:color="auto"/>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661"/>
        </w:trPr>
        <w:tc>
          <w:tcPr>
            <w:tcW w:w="993" w:type="dxa"/>
            <w:tcBorders>
              <w:top w:val="single" w:sz="8" w:space="0" w:color="000000"/>
              <w:left w:val="single" w:sz="8" w:space="0" w:color="auto"/>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none"/>
              </w:rPr>
            </w:pPr>
            <w:r>
              <w:rPr>
                <w:rFonts w:ascii="Times New Roman" w:eastAsia="方正仿宋_GB2312" w:cs="Times New Roman" w:hAnsi="Times New Roman"/>
                <w:i w:val="0"/>
                <w:iCs w:val="0"/>
                <w:color w:val="000000"/>
                <w:sz w:val="20"/>
                <w:szCs w:val="20"/>
                <w:u w:val="none"/>
                <w:lang w:val="en-US" w:eastAsia="zh-CN"/>
                <w:highlight w:val="none"/>
              </w:rPr>
              <w:t>22102</w:t>
            </w:r>
          </w:p>
        </w:tc>
        <w:tc>
          <w:tcPr>
            <w:tcW w:w="1352"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sz w:val="20"/>
                <w:szCs w:val="20"/>
                <w:u w:val="none"/>
                <w:lang w:val="en-US" w:eastAsia="zh-CN"/>
                <w:highlight w:val="none"/>
              </w:rPr>
              <w:t>住房改革支出</w:t>
            </w:r>
          </w:p>
        </w:tc>
        <w:tc>
          <w:tcPr>
            <w:tcW w:w="2117"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4.21</w:t>
            </w:r>
          </w:p>
        </w:tc>
        <w:tc>
          <w:tcPr>
            <w:tcW w:w="2118"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4.21</w:t>
            </w:r>
          </w:p>
        </w:tc>
        <w:tc>
          <w:tcPr>
            <w:tcW w:w="2117" w:type="dxa"/>
            <w:tcBorders>
              <w:top w:val="single" w:sz="8" w:space="0" w:color="000000"/>
              <w:left w:val="single" w:sz="8" w:space="0" w:color="000000"/>
              <w:bottom w:val="single" w:sz="8" w:space="0" w:color="000000"/>
              <w:right w:val="single" w:sz="8" w:space="0" w:color="auto"/>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536"/>
        </w:trPr>
        <w:tc>
          <w:tcPr>
            <w:tcW w:w="993" w:type="dxa"/>
            <w:tcBorders>
              <w:top w:val="single" w:sz="8" w:space="0" w:color="000000"/>
              <w:left w:val="single" w:sz="8" w:space="0" w:color="auto"/>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none"/>
              </w:rPr>
            </w:pPr>
            <w:r>
              <w:rPr>
                <w:rFonts w:ascii="Times New Roman" w:eastAsia="方正仿宋_GB2312" w:cs="Times New Roman" w:hAnsi="Times New Roman"/>
                <w:i w:val="0"/>
                <w:iCs w:val="0"/>
                <w:color w:val="000000"/>
                <w:sz w:val="20"/>
                <w:szCs w:val="20"/>
                <w:u w:val="none"/>
                <w:lang w:val="en-US" w:eastAsia="zh-CN"/>
                <w:highlight w:val="none"/>
              </w:rPr>
              <w:t>2210201</w:t>
            </w:r>
          </w:p>
        </w:tc>
        <w:tc>
          <w:tcPr>
            <w:tcW w:w="1352" w:type="dxa"/>
            <w:tcBorders>
              <w:top w:val="single" w:sz="8" w:space="0" w:color="000000"/>
              <w:left w:val="single" w:sz="8" w:space="0" w:color="000000"/>
              <w:bottom w:val="single" w:sz="8" w:space="0" w:color="000000"/>
              <w:right w:val="single" w:sz="8"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sz w:val="20"/>
                <w:szCs w:val="20"/>
                <w:u w:val="none"/>
                <w:lang w:val="en-US" w:eastAsia="zh-CN"/>
                <w:highlight w:val="none"/>
              </w:rPr>
              <w:t>住房公积金</w:t>
            </w:r>
          </w:p>
        </w:tc>
        <w:tc>
          <w:tcPr>
            <w:tcW w:w="2117"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4.21</w:t>
            </w:r>
          </w:p>
        </w:tc>
        <w:tc>
          <w:tcPr>
            <w:tcW w:w="2118"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r>
              <w:rPr>
                <w:rFonts w:ascii="Times New Roman" w:eastAsia="宋体" w:cs="Times New Roman" w:hAnsi="Times New Roman"/>
                <w:i w:val="0"/>
                <w:iCs w:val="0"/>
                <w:color w:val="000000"/>
                <w:sz w:val="20"/>
                <w:szCs w:val="20"/>
                <w:u w:val="none"/>
                <w:lang w:val="en-US" w:eastAsia="zh-CN"/>
                <w:highlight w:val="none"/>
              </w:rPr>
              <w:t>4.21</w:t>
            </w:r>
          </w:p>
        </w:tc>
        <w:tc>
          <w:tcPr>
            <w:tcW w:w="2117" w:type="dxa"/>
            <w:tcBorders>
              <w:top w:val="single" w:sz="8" w:space="0" w:color="000000"/>
              <w:left w:val="single" w:sz="8" w:space="0" w:color="000000"/>
              <w:bottom w:val="single" w:sz="8" w:space="0" w:color="000000"/>
              <w:right w:val="single" w:sz="8" w:space="0" w:color="auto"/>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661"/>
        </w:trPr>
        <w:tc>
          <w:tcPr>
            <w:tcW w:w="8697" w:type="dxa"/>
            <w:gridSpan w:val="7"/>
            <w:tcBorders>
              <w:top w:val="single" w:sz="8" w:space="0" w:color="000000"/>
              <w:left w:val="nil"/>
              <w:bottom w:val="nil"/>
              <w:right w:val="nil"/>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kern w:val="0"/>
                <w:sz w:val="20"/>
                <w:szCs w:val="20"/>
                <w:u w:val="none"/>
                <w:lang w:val="en-US" w:eastAsia="zh-CN"/>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注：本表反映部门本年度一般公共预算财政拨款支出情况。</w:t>
            </w:r>
          </w:p>
        </w:tc>
      </w:tr>
    </w:tbl>
    <w:p>
      <w:pPr>
        <w:rPr>
          <w:rFonts w:ascii="仿宋_GB2312" w:eastAsia="仿宋_GB2312" w:hAnsi="宋体" w:hint="eastAsia"/>
          <w:b/>
          <w:color w:val="auto"/>
          <w:kern w:val="0"/>
          <w:sz w:val="32"/>
          <w:szCs w:val="32"/>
          <w:highlight w:val="none"/>
        </w:rPr>
      </w:pPr>
      <w:r>
        <w:rPr>
          <w:rFonts w:ascii="仿宋_GB2312" w:eastAsia="仿宋_GB2312" w:hAnsi="宋体" w:hint="eastAsia"/>
          <w:b/>
          <w:color w:val="auto"/>
          <w:kern w:val="0"/>
          <w:sz w:val="32"/>
          <w:szCs w:val="32"/>
          <w:highlight w:val="none"/>
        </w:rPr>
        <w:br w:type="page"/>
      </w:r>
    </w:p>
    <w:tbl>
      <w:tblPr>
        <w:jc w:val="center"/>
        <w:tblW w:w="11601" w:type="dxa"/>
        <w:tblBorders>
          <w:top w:val="none" w:sz="0" w:space="0" w:color="auto"/>
          <w:left w:val="none" w:sz="0" w:space="0" w:color="auto"/>
          <w:bottom w:val="none" w:sz="0" w:space="0" w:color="auto"/>
          <w:right w:val="none" w:sz="0" w:space="0" w:color="auto"/>
        </w:tblBorders>
        <w:shd w:val="clear" w:color="auto" w:fill="auto"/>
        <w:tblLayout w:type="fixed"/>
        <w:tblCellMar>
          <w:top w:w="0" w:type="dxa"/>
          <w:left w:w="108" w:type="dxa"/>
          <w:bottom w:w="0" w:type="dxa"/>
          <w:right w:w="108" w:type="dxa"/>
        </w:tblCellMar>
        <w:tblLook w:val="0600" w:firstRow="0" w:lastRow="0" w:firstColumn="0" w:lastColumn="0" w:noHBand="1" w:noVBand="1"/>
      </w:tblPr>
      <w:tblGrid>
        <w:gridCol w:w="666"/>
        <w:gridCol w:w="1332"/>
        <w:gridCol w:w="1896"/>
        <w:gridCol w:w="666"/>
        <w:gridCol w:w="933"/>
        <w:gridCol w:w="122"/>
        <w:gridCol w:w="1774"/>
        <w:gridCol w:w="666"/>
        <w:gridCol w:w="1650"/>
        <w:gridCol w:w="1896"/>
      </w:tblGrid>
      <w:t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center"/>
              <w:textAlignment w:val="bottom"/>
              <w:rPr>
                <w:rFonts w:ascii="方正仿宋_GB2312" w:eastAsia="方正仿宋_GB2312" w:cs="方正仿宋_GB2312" w:hAnsi="方正仿宋_GB2312"/>
                <w:i w:val="0"/>
                <w:iCs w:val="0"/>
                <w:color w:val="000000"/>
                <w:sz w:val="32"/>
                <w:szCs w:val="32"/>
                <w:u w:val="none"/>
              </w:rPr>
            </w:pPr>
            <w:r>
              <w:rPr>
                <w:rFonts w:ascii="方正仿宋_GB2312" w:eastAsia="方正仿宋_GB2312" w:cs="方正仿宋_GB2312" w:hAnsi="方正仿宋_GB2312" w:hint="eastAsia"/>
                <w:i w:val="0"/>
                <w:iCs w:val="0"/>
                <w:color w:val="000000"/>
                <w:kern w:val="0"/>
                <w:sz w:val="32"/>
                <w:szCs w:val="32"/>
                <w:u w:val="none"/>
                <w:lang w:val="en-US" w:eastAsia="zh-CN"/>
              </w:rPr>
              <w:t>一般公共预算财政拨款基本支出决算明细表</w:t>
            </w:r>
          </w:p>
        </w:tc>
      </w:tr>
      <w:t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right"/>
              <w:textAlignment w:val="bottom"/>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公开</w:t>
            </w:r>
            <w:r>
              <w:rPr>
                <w:rFonts w:ascii="Times New Roman" w:eastAsia="方正仿宋_GB2312" w:cs="Times New Roman" w:hAnsi="Times New Roman"/>
                <w:i w:val="0"/>
                <w:iCs w:val="0"/>
                <w:color w:val="000000"/>
                <w:kern w:val="0"/>
                <w:sz w:val="18"/>
                <w:szCs w:val="18"/>
                <w:u w:val="none"/>
                <w:lang w:val="en-US" w:eastAsia="zh-CN"/>
              </w:rPr>
              <w:t>06</w:t>
            </w:r>
            <w:r>
              <w:rPr>
                <w:rStyle w:val="27"/>
                <w:lang w:val="en-US" w:eastAsia="zh-CN"/>
              </w:rPr>
              <w:t>表</w:t>
            </w:r>
          </w:p>
        </w:tc>
      </w:tr>
      <w:tr>
        <w:tc>
          <w:tcPr>
            <w:tcW w:w="5615" w:type="dxa"/>
            <w:gridSpan w:val="6"/>
            <w:tcBorders>
              <w:top w:val="nil"/>
              <w:left w:val="nil"/>
              <w:bottom w:val="single" w:sz="8" w:space="0" w:color="000000"/>
              <w:right w:val="nil"/>
            </w:tcBorders>
            <w:shd w:val="clear" w:color="auto" w:fill="auto"/>
            <w:noWrap/>
            <w:vAlign w:val="bottom"/>
          </w:tcPr>
          <w:p>
            <w:pPr>
              <w:keepNext w:val="0"/>
              <w:keepLines w:val="0"/>
              <w:widowControl/>
              <w:suppressLineNumbers w:val="0"/>
              <w:snapToGrid w:val="0"/>
              <w:jc w:val="both"/>
              <w:textAlignment w:val="bottom"/>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 xml:space="preserve">部门（单位）：行唐县房地产管理所 </w:t>
            </w:r>
            <w:r>
              <w:rPr>
                <w:rFonts w:ascii="宋体" w:eastAsia="宋体" w:cs="宋体" w:hAnsi="宋体" w:hint="eastAsia"/>
                <w:i w:val="0"/>
                <w:iCs w:val="0"/>
                <w:color w:val="000000"/>
                <w:kern w:val="0"/>
                <w:sz w:val="18"/>
                <w:szCs w:val="18"/>
                <w:u w:val="none"/>
                <w:lang w:val="en-US" w:eastAsia="zh-CN"/>
              </w:rPr>
              <w:t xml:space="preserve">                                                                   </w:t>
            </w:r>
          </w:p>
        </w:tc>
        <w:tc>
          <w:tcPr>
            <w:tcW w:w="1774" w:type="dxa"/>
            <w:tcBorders>
              <w:top w:val="nil"/>
              <w:left w:val="nil"/>
              <w:bottom w:val="single" w:sz="8" w:space="0" w:color="000000"/>
              <w:right w:val="nil"/>
            </w:tcBorders>
            <w:shd w:val="clear" w:color="auto" w:fill="auto"/>
            <w:noWrap/>
            <w:vAlign w:val="bottom"/>
          </w:tcPr>
          <w:p>
            <w:pPr>
              <w:keepNext w:val="0"/>
              <w:keepLines w:val="0"/>
              <w:widowControl/>
              <w:suppressLineNumbers w:val="0"/>
              <w:snapToGrid w:val="0"/>
              <w:jc w:val="center"/>
              <w:textAlignment w:val="bottom"/>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2025</w:t>
            </w:r>
            <w:r>
              <w:rPr>
                <w:rStyle w:val="27"/>
                <w:lang w:val="en-US" w:eastAsia="zh-CN"/>
              </w:rPr>
              <w:t>年度</w:t>
            </w:r>
          </w:p>
        </w:tc>
        <w:tc>
          <w:tcPr>
            <w:tcW w:w="4212" w:type="dxa"/>
            <w:gridSpan w:val="3"/>
            <w:tcBorders>
              <w:top w:val="nil"/>
              <w:left w:val="nil"/>
              <w:bottom w:val="single" w:sz="8" w:space="0" w:color="000000"/>
              <w:right w:val="nil"/>
            </w:tcBorders>
            <w:shd w:val="clear" w:color="auto" w:fill="auto"/>
            <w:noWrap/>
            <w:vAlign w:val="bottom"/>
          </w:tcPr>
          <w:p>
            <w:pPr>
              <w:keepNext w:val="0"/>
              <w:keepLines w:val="0"/>
              <w:widowControl/>
              <w:suppressLineNumbers w:val="0"/>
              <w:snapToGrid w:val="0"/>
              <w:jc w:val="right"/>
              <w:textAlignment w:val="bottom"/>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金额单位：万元</w:t>
            </w:r>
          </w:p>
        </w:tc>
      </w:tr>
      <w:tr>
        <w:tc>
          <w:tcPr>
            <w:tcW w:w="3894" w:type="dxa"/>
            <w:gridSpan w:val="3"/>
            <w:tcBorders>
              <w:top w:val="nil"/>
              <w:left w:val="single" w:sz="8" w:space="0" w:color="000000"/>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人员经费</w:t>
            </w:r>
          </w:p>
        </w:tc>
        <w:tc>
          <w:tcPr>
            <w:tcW w:w="7707" w:type="dxa"/>
            <w:gridSpan w:val="7"/>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公用经费</w:t>
            </w: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科目代码</w:t>
            </w:r>
          </w:p>
        </w:tc>
        <w:tc>
          <w:tcPr>
            <w:tcW w:w="1332"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科目名称</w:t>
            </w:r>
          </w:p>
        </w:tc>
        <w:tc>
          <w:tcPr>
            <w:tcW w:w="1896" w:type="dxa"/>
            <w:tcBorders>
              <w:top w:val="single" w:sz="8" w:space="0" w:color="000000"/>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金额</w:t>
            </w:r>
          </w:p>
        </w:tc>
        <w:tc>
          <w:tcPr>
            <w:tcW w:w="666" w:type="dxa"/>
            <w:tcBorders>
              <w:top w:val="single" w:sz="8" w:space="0" w:color="000000"/>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科目代码</w:t>
            </w:r>
          </w:p>
        </w:tc>
        <w:tc>
          <w:tcPr>
            <w:tcW w:w="1055" w:type="dxa"/>
            <w:gridSpan w:val="2"/>
            <w:tcBorders>
              <w:top w:val="single" w:sz="8" w:space="0" w:color="000000"/>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科目名称</w:t>
            </w:r>
          </w:p>
        </w:tc>
        <w:tc>
          <w:tcPr>
            <w:tcW w:w="1774" w:type="dxa"/>
            <w:tcBorders>
              <w:top w:val="single" w:sz="8" w:space="0" w:color="000000"/>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金额</w:t>
            </w:r>
          </w:p>
        </w:tc>
        <w:tc>
          <w:tcPr>
            <w:tcW w:w="666" w:type="dxa"/>
            <w:tcBorders>
              <w:top w:val="single" w:sz="8" w:space="0" w:color="000000"/>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科目代码</w:t>
            </w:r>
          </w:p>
        </w:tc>
        <w:tc>
          <w:tcPr>
            <w:tcW w:w="1650" w:type="dxa"/>
            <w:tcBorders>
              <w:top w:val="single" w:sz="8" w:space="0" w:color="000000"/>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科目名称</w:t>
            </w:r>
          </w:p>
        </w:tc>
        <w:tc>
          <w:tcPr>
            <w:tcW w:w="1896" w:type="dxa"/>
            <w:tcBorders>
              <w:top w:val="single" w:sz="8" w:space="0" w:color="000000"/>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金额</w:t>
            </w:r>
          </w:p>
        </w:tc>
      </w:tr>
      <w:tr>
        <w:tc>
          <w:tcPr>
            <w:tcW w:w="666" w:type="dxa"/>
            <w:tcBorders>
              <w:top w:val="nil"/>
              <w:left w:val="single" w:sz="8" w:space="0" w:color="000000"/>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w:t>
            </w:r>
          </w:p>
        </w:tc>
        <w:tc>
          <w:tcPr>
            <w:tcW w:w="1332"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工资福利支出</w:t>
            </w:r>
          </w:p>
        </w:tc>
        <w:tc>
          <w:tcPr>
            <w:tcW w:w="189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68.04</w:t>
            </w:r>
          </w:p>
        </w:tc>
        <w:tc>
          <w:tcPr>
            <w:tcW w:w="66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w:t>
            </w:r>
          </w:p>
        </w:tc>
        <w:tc>
          <w:tcPr>
            <w:tcW w:w="1055" w:type="dxa"/>
            <w:gridSpan w:val="2"/>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商品和服务支出</w:t>
            </w:r>
          </w:p>
        </w:tc>
        <w:tc>
          <w:tcPr>
            <w:tcW w:w="1774"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3.82</w:t>
            </w:r>
          </w:p>
        </w:tc>
        <w:tc>
          <w:tcPr>
            <w:tcW w:w="66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307</w:t>
            </w:r>
          </w:p>
        </w:tc>
        <w:tc>
          <w:tcPr>
            <w:tcW w:w="1650"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债务利息及费用支出</w:t>
            </w:r>
          </w:p>
        </w:tc>
        <w:tc>
          <w:tcPr>
            <w:tcW w:w="189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30101</w:t>
            </w:r>
          </w:p>
        </w:tc>
        <w:tc>
          <w:tcPr>
            <w:tcW w:w="1332"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 xml:space="preserve">  </w:t>
            </w:r>
            <w:r>
              <w:rPr>
                <w:rStyle w:val="27"/>
                <w:lang w:val="en-US" w:eastAsia="zh-CN"/>
              </w:rPr>
              <w:t>基本工资</w:t>
            </w:r>
          </w:p>
        </w:tc>
        <w:tc>
          <w:tcPr>
            <w:tcW w:w="189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30.76</w:t>
            </w:r>
          </w:p>
        </w:tc>
        <w:tc>
          <w:tcPr>
            <w:tcW w:w="66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30201</w:t>
            </w:r>
          </w:p>
        </w:tc>
        <w:tc>
          <w:tcPr>
            <w:tcW w:w="1055" w:type="dxa"/>
            <w:gridSpan w:val="2"/>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办公费</w:t>
            </w:r>
          </w:p>
        </w:tc>
        <w:tc>
          <w:tcPr>
            <w:tcW w:w="1774"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1.53</w:t>
            </w:r>
          </w:p>
        </w:tc>
        <w:tc>
          <w:tcPr>
            <w:tcW w:w="66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30701</w:t>
            </w:r>
          </w:p>
        </w:tc>
        <w:tc>
          <w:tcPr>
            <w:tcW w:w="1650"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国内债务付息</w:t>
            </w:r>
          </w:p>
        </w:tc>
        <w:tc>
          <w:tcPr>
            <w:tcW w:w="189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30102</w:t>
            </w:r>
          </w:p>
        </w:tc>
        <w:tc>
          <w:tcPr>
            <w:tcW w:w="1332"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 xml:space="preserve">  </w:t>
            </w:r>
            <w:r>
              <w:rPr>
                <w:rStyle w:val="27"/>
                <w:lang w:val="en-US" w:eastAsia="zh-CN"/>
              </w:rPr>
              <w:t>津贴补贴</w:t>
            </w:r>
          </w:p>
        </w:tc>
        <w:tc>
          <w:tcPr>
            <w:tcW w:w="189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2.75</w:t>
            </w:r>
          </w:p>
        </w:tc>
        <w:tc>
          <w:tcPr>
            <w:tcW w:w="66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30202</w:t>
            </w:r>
          </w:p>
        </w:tc>
        <w:tc>
          <w:tcPr>
            <w:tcW w:w="1055" w:type="dxa"/>
            <w:gridSpan w:val="2"/>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印刷费</w:t>
            </w:r>
          </w:p>
        </w:tc>
        <w:tc>
          <w:tcPr>
            <w:tcW w:w="1774"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30702</w:t>
            </w:r>
          </w:p>
        </w:tc>
        <w:tc>
          <w:tcPr>
            <w:tcW w:w="1650"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国外债务付息</w:t>
            </w:r>
          </w:p>
        </w:tc>
        <w:tc>
          <w:tcPr>
            <w:tcW w:w="189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30103</w:t>
            </w:r>
          </w:p>
        </w:tc>
        <w:tc>
          <w:tcPr>
            <w:tcW w:w="1332"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 xml:space="preserve">  </w:t>
            </w:r>
            <w:r>
              <w:rPr>
                <w:rStyle w:val="27"/>
                <w:lang w:val="en-US" w:eastAsia="zh-CN"/>
              </w:rPr>
              <w:t>奖金</w:t>
            </w:r>
          </w:p>
        </w:tc>
        <w:tc>
          <w:tcPr>
            <w:tcW w:w="189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30204</w:t>
            </w:r>
          </w:p>
        </w:tc>
        <w:tc>
          <w:tcPr>
            <w:tcW w:w="1055" w:type="dxa"/>
            <w:gridSpan w:val="2"/>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手续费</w:t>
            </w:r>
          </w:p>
        </w:tc>
        <w:tc>
          <w:tcPr>
            <w:tcW w:w="1774"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w:t>
            </w:r>
          </w:p>
        </w:tc>
        <w:tc>
          <w:tcPr>
            <w:tcW w:w="1650"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资本性支出</w:t>
            </w:r>
          </w:p>
        </w:tc>
        <w:tc>
          <w:tcPr>
            <w:tcW w:w="189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30106</w:t>
            </w:r>
          </w:p>
        </w:tc>
        <w:tc>
          <w:tcPr>
            <w:tcW w:w="1332"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 xml:space="preserve">  </w:t>
            </w:r>
            <w:r>
              <w:rPr>
                <w:rStyle w:val="27"/>
                <w:lang w:val="en-US" w:eastAsia="zh-CN"/>
              </w:rPr>
              <w:t>伙食补助费</w:t>
            </w:r>
          </w:p>
        </w:tc>
        <w:tc>
          <w:tcPr>
            <w:tcW w:w="189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30205</w:t>
            </w:r>
          </w:p>
        </w:tc>
        <w:tc>
          <w:tcPr>
            <w:tcW w:w="1055" w:type="dxa"/>
            <w:gridSpan w:val="2"/>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水费</w:t>
            </w:r>
          </w:p>
        </w:tc>
        <w:tc>
          <w:tcPr>
            <w:tcW w:w="1774"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0.30</w:t>
            </w:r>
          </w:p>
        </w:tc>
        <w:tc>
          <w:tcPr>
            <w:tcW w:w="66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31001</w:t>
            </w:r>
          </w:p>
        </w:tc>
        <w:tc>
          <w:tcPr>
            <w:tcW w:w="1650"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房屋建筑物购建</w:t>
            </w:r>
          </w:p>
        </w:tc>
        <w:tc>
          <w:tcPr>
            <w:tcW w:w="189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30107</w:t>
            </w:r>
          </w:p>
        </w:tc>
        <w:tc>
          <w:tcPr>
            <w:tcW w:w="1332"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 xml:space="preserve">  </w:t>
            </w:r>
            <w:r>
              <w:rPr>
                <w:rStyle w:val="27"/>
                <w:lang w:val="en-US" w:eastAsia="zh-CN"/>
              </w:rPr>
              <w:t>绩效工资</w:t>
            </w:r>
          </w:p>
        </w:tc>
        <w:tc>
          <w:tcPr>
            <w:tcW w:w="189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22.10</w:t>
            </w:r>
          </w:p>
        </w:tc>
        <w:tc>
          <w:tcPr>
            <w:tcW w:w="66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30206</w:t>
            </w:r>
          </w:p>
        </w:tc>
        <w:tc>
          <w:tcPr>
            <w:tcW w:w="1055" w:type="dxa"/>
            <w:gridSpan w:val="2"/>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电费</w:t>
            </w:r>
          </w:p>
        </w:tc>
        <w:tc>
          <w:tcPr>
            <w:tcW w:w="1774"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0.60</w:t>
            </w:r>
          </w:p>
        </w:tc>
        <w:tc>
          <w:tcPr>
            <w:tcW w:w="66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31002</w:t>
            </w:r>
          </w:p>
        </w:tc>
        <w:tc>
          <w:tcPr>
            <w:tcW w:w="1650"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办公设备购置</w:t>
            </w:r>
          </w:p>
        </w:tc>
        <w:tc>
          <w:tcPr>
            <w:tcW w:w="189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30108</w:t>
            </w:r>
          </w:p>
        </w:tc>
        <w:tc>
          <w:tcPr>
            <w:tcW w:w="1332"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机关事业单位基本养老保险缴费</w:t>
            </w:r>
          </w:p>
        </w:tc>
        <w:tc>
          <w:tcPr>
            <w:tcW w:w="189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5.09</w:t>
            </w:r>
          </w:p>
        </w:tc>
        <w:tc>
          <w:tcPr>
            <w:tcW w:w="66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30207</w:t>
            </w:r>
          </w:p>
        </w:tc>
        <w:tc>
          <w:tcPr>
            <w:tcW w:w="1055" w:type="dxa"/>
            <w:gridSpan w:val="2"/>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邮电费</w:t>
            </w:r>
          </w:p>
        </w:tc>
        <w:tc>
          <w:tcPr>
            <w:tcW w:w="1774"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0.03</w:t>
            </w:r>
          </w:p>
        </w:tc>
        <w:tc>
          <w:tcPr>
            <w:tcW w:w="66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31003</w:t>
            </w:r>
          </w:p>
        </w:tc>
        <w:tc>
          <w:tcPr>
            <w:tcW w:w="1650"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专用设备购置</w:t>
            </w:r>
          </w:p>
        </w:tc>
        <w:tc>
          <w:tcPr>
            <w:tcW w:w="189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30109</w:t>
            </w:r>
          </w:p>
        </w:tc>
        <w:tc>
          <w:tcPr>
            <w:tcW w:w="1332"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职业年金缴费</w:t>
            </w:r>
          </w:p>
        </w:tc>
        <w:tc>
          <w:tcPr>
            <w:tcW w:w="189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30208</w:t>
            </w:r>
          </w:p>
        </w:tc>
        <w:tc>
          <w:tcPr>
            <w:tcW w:w="1055" w:type="dxa"/>
            <w:gridSpan w:val="2"/>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取暖费</w:t>
            </w:r>
          </w:p>
        </w:tc>
        <w:tc>
          <w:tcPr>
            <w:tcW w:w="1774"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1.06</w:t>
            </w:r>
          </w:p>
        </w:tc>
        <w:tc>
          <w:tcPr>
            <w:tcW w:w="66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31005</w:t>
            </w:r>
          </w:p>
        </w:tc>
        <w:tc>
          <w:tcPr>
            <w:tcW w:w="1650"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基础设施建设</w:t>
            </w:r>
          </w:p>
        </w:tc>
        <w:tc>
          <w:tcPr>
            <w:tcW w:w="189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30110</w:t>
            </w:r>
          </w:p>
        </w:tc>
        <w:tc>
          <w:tcPr>
            <w:tcW w:w="1332"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职工基本医疗保险缴费</w:t>
            </w:r>
          </w:p>
        </w:tc>
        <w:tc>
          <w:tcPr>
            <w:tcW w:w="189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2.79</w:t>
            </w:r>
          </w:p>
        </w:tc>
        <w:tc>
          <w:tcPr>
            <w:tcW w:w="66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30209</w:t>
            </w:r>
          </w:p>
        </w:tc>
        <w:tc>
          <w:tcPr>
            <w:tcW w:w="1055" w:type="dxa"/>
            <w:gridSpan w:val="2"/>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物业管理费</w:t>
            </w:r>
          </w:p>
        </w:tc>
        <w:tc>
          <w:tcPr>
            <w:tcW w:w="1774"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31006</w:t>
            </w:r>
          </w:p>
        </w:tc>
        <w:tc>
          <w:tcPr>
            <w:tcW w:w="1650"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大型修缮</w:t>
            </w:r>
          </w:p>
        </w:tc>
        <w:tc>
          <w:tcPr>
            <w:tcW w:w="189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30111</w:t>
            </w:r>
          </w:p>
        </w:tc>
        <w:tc>
          <w:tcPr>
            <w:tcW w:w="1332"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公务员医疗补助缴费</w:t>
            </w:r>
          </w:p>
        </w:tc>
        <w:tc>
          <w:tcPr>
            <w:tcW w:w="189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30211</w:t>
            </w:r>
          </w:p>
        </w:tc>
        <w:tc>
          <w:tcPr>
            <w:tcW w:w="1055" w:type="dxa"/>
            <w:gridSpan w:val="2"/>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差旅费</w:t>
            </w:r>
          </w:p>
        </w:tc>
        <w:tc>
          <w:tcPr>
            <w:tcW w:w="1774"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31007</w:t>
            </w:r>
          </w:p>
        </w:tc>
        <w:tc>
          <w:tcPr>
            <w:tcW w:w="1650"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信息网络及软件购置更新</w:t>
            </w:r>
          </w:p>
        </w:tc>
        <w:tc>
          <w:tcPr>
            <w:tcW w:w="189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30112</w:t>
            </w:r>
          </w:p>
        </w:tc>
        <w:tc>
          <w:tcPr>
            <w:tcW w:w="1332"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其他社会保障缴费</w:t>
            </w:r>
          </w:p>
        </w:tc>
        <w:tc>
          <w:tcPr>
            <w:tcW w:w="189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0.35</w:t>
            </w:r>
          </w:p>
        </w:tc>
        <w:tc>
          <w:tcPr>
            <w:tcW w:w="66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30212</w:t>
            </w:r>
          </w:p>
        </w:tc>
        <w:tc>
          <w:tcPr>
            <w:tcW w:w="1055" w:type="dxa"/>
            <w:gridSpan w:val="2"/>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因公出国（境）费用</w:t>
            </w:r>
          </w:p>
        </w:tc>
        <w:tc>
          <w:tcPr>
            <w:tcW w:w="1774"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31008</w:t>
            </w:r>
          </w:p>
        </w:tc>
        <w:tc>
          <w:tcPr>
            <w:tcW w:w="1650"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物资储备</w:t>
            </w:r>
          </w:p>
        </w:tc>
        <w:tc>
          <w:tcPr>
            <w:tcW w:w="189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30113</w:t>
            </w:r>
          </w:p>
        </w:tc>
        <w:tc>
          <w:tcPr>
            <w:tcW w:w="1332"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住房公积金</w:t>
            </w:r>
          </w:p>
        </w:tc>
        <w:tc>
          <w:tcPr>
            <w:tcW w:w="189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4.21</w:t>
            </w:r>
          </w:p>
        </w:tc>
        <w:tc>
          <w:tcPr>
            <w:tcW w:w="66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30213</w:t>
            </w:r>
          </w:p>
        </w:tc>
        <w:tc>
          <w:tcPr>
            <w:tcW w:w="1055" w:type="dxa"/>
            <w:gridSpan w:val="2"/>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维修（护）费</w:t>
            </w:r>
          </w:p>
        </w:tc>
        <w:tc>
          <w:tcPr>
            <w:tcW w:w="1774"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0.24</w:t>
            </w:r>
          </w:p>
        </w:tc>
        <w:tc>
          <w:tcPr>
            <w:tcW w:w="66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31009</w:t>
            </w:r>
          </w:p>
        </w:tc>
        <w:tc>
          <w:tcPr>
            <w:tcW w:w="1650"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土地补偿</w:t>
            </w:r>
          </w:p>
        </w:tc>
        <w:tc>
          <w:tcPr>
            <w:tcW w:w="189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rPr>
          <w:trHeight w:val="297"/>
        </w:trPr>
        <w:tc>
          <w:tcPr>
            <w:tcW w:w="666" w:type="dxa"/>
            <w:tcBorders>
              <w:top w:val="nil"/>
              <w:left w:val="single" w:sz="8" w:space="0" w:color="000000"/>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30114</w:t>
            </w:r>
          </w:p>
        </w:tc>
        <w:tc>
          <w:tcPr>
            <w:tcW w:w="1332"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医疗费</w:t>
            </w:r>
          </w:p>
        </w:tc>
        <w:tc>
          <w:tcPr>
            <w:tcW w:w="189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30214</w:t>
            </w:r>
          </w:p>
        </w:tc>
        <w:tc>
          <w:tcPr>
            <w:tcW w:w="1055" w:type="dxa"/>
            <w:gridSpan w:val="2"/>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 xml:space="preserve">  </w:t>
            </w:r>
            <w:r>
              <w:rPr>
                <w:rStyle w:val="27"/>
                <w:lang w:val="en-US" w:eastAsia="zh-CN"/>
              </w:rPr>
              <w:t>租赁费</w:t>
            </w:r>
          </w:p>
        </w:tc>
        <w:tc>
          <w:tcPr>
            <w:tcW w:w="1774"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31010</w:t>
            </w:r>
          </w:p>
        </w:tc>
        <w:tc>
          <w:tcPr>
            <w:tcW w:w="1650"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安置补助</w:t>
            </w:r>
          </w:p>
        </w:tc>
        <w:tc>
          <w:tcPr>
            <w:tcW w:w="189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rPr>
          <w:trHeight w:val="605"/>
        </w:trPr>
        <w:tc>
          <w:tcPr>
            <w:tcW w:w="666" w:type="dxa"/>
            <w:tcBorders>
              <w:top w:val="nil"/>
              <w:left w:val="single" w:sz="8" w:space="0" w:color="000000"/>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30199</w:t>
            </w:r>
          </w:p>
        </w:tc>
        <w:tc>
          <w:tcPr>
            <w:tcW w:w="1332"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其他工资福利支出</w:t>
            </w:r>
          </w:p>
        </w:tc>
        <w:tc>
          <w:tcPr>
            <w:tcW w:w="189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30215</w:t>
            </w:r>
          </w:p>
        </w:tc>
        <w:tc>
          <w:tcPr>
            <w:tcW w:w="1055" w:type="dxa"/>
            <w:gridSpan w:val="2"/>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会议费</w:t>
            </w:r>
          </w:p>
        </w:tc>
        <w:tc>
          <w:tcPr>
            <w:tcW w:w="1774"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31011</w:t>
            </w:r>
          </w:p>
        </w:tc>
        <w:tc>
          <w:tcPr>
            <w:tcW w:w="1650"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地上附着物和青苗补偿</w:t>
            </w:r>
          </w:p>
        </w:tc>
        <w:tc>
          <w:tcPr>
            <w:tcW w:w="189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303</w:t>
            </w:r>
          </w:p>
        </w:tc>
        <w:tc>
          <w:tcPr>
            <w:tcW w:w="1332"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对个人和家庭的补助</w:t>
            </w:r>
          </w:p>
        </w:tc>
        <w:tc>
          <w:tcPr>
            <w:tcW w:w="189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30216</w:t>
            </w:r>
          </w:p>
        </w:tc>
        <w:tc>
          <w:tcPr>
            <w:tcW w:w="1055" w:type="dxa"/>
            <w:gridSpan w:val="2"/>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培训费</w:t>
            </w:r>
          </w:p>
        </w:tc>
        <w:tc>
          <w:tcPr>
            <w:tcW w:w="1774"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31012</w:t>
            </w:r>
          </w:p>
        </w:tc>
        <w:tc>
          <w:tcPr>
            <w:tcW w:w="1650"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拆迁补偿</w:t>
            </w:r>
          </w:p>
        </w:tc>
        <w:tc>
          <w:tcPr>
            <w:tcW w:w="189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30301</w:t>
            </w:r>
          </w:p>
        </w:tc>
        <w:tc>
          <w:tcPr>
            <w:tcW w:w="1332"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离休费</w:t>
            </w:r>
          </w:p>
        </w:tc>
        <w:tc>
          <w:tcPr>
            <w:tcW w:w="189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30217</w:t>
            </w:r>
          </w:p>
        </w:tc>
        <w:tc>
          <w:tcPr>
            <w:tcW w:w="1055" w:type="dxa"/>
            <w:gridSpan w:val="2"/>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公务接待费</w:t>
            </w:r>
          </w:p>
        </w:tc>
        <w:tc>
          <w:tcPr>
            <w:tcW w:w="1774"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31013</w:t>
            </w:r>
          </w:p>
        </w:tc>
        <w:tc>
          <w:tcPr>
            <w:tcW w:w="1650"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公务用车购置</w:t>
            </w:r>
          </w:p>
        </w:tc>
        <w:tc>
          <w:tcPr>
            <w:tcW w:w="189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30302</w:t>
            </w:r>
          </w:p>
        </w:tc>
        <w:tc>
          <w:tcPr>
            <w:tcW w:w="1332"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退休费</w:t>
            </w:r>
          </w:p>
        </w:tc>
        <w:tc>
          <w:tcPr>
            <w:tcW w:w="189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30218</w:t>
            </w:r>
          </w:p>
        </w:tc>
        <w:tc>
          <w:tcPr>
            <w:tcW w:w="1055" w:type="dxa"/>
            <w:gridSpan w:val="2"/>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专用材料费</w:t>
            </w:r>
          </w:p>
        </w:tc>
        <w:tc>
          <w:tcPr>
            <w:tcW w:w="1774"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31019</w:t>
            </w:r>
          </w:p>
        </w:tc>
        <w:tc>
          <w:tcPr>
            <w:tcW w:w="1650"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其他交通工具购置</w:t>
            </w:r>
          </w:p>
        </w:tc>
        <w:tc>
          <w:tcPr>
            <w:tcW w:w="189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30303</w:t>
            </w:r>
          </w:p>
        </w:tc>
        <w:tc>
          <w:tcPr>
            <w:tcW w:w="1332"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退职（役）费</w:t>
            </w:r>
          </w:p>
        </w:tc>
        <w:tc>
          <w:tcPr>
            <w:tcW w:w="189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30224</w:t>
            </w:r>
          </w:p>
        </w:tc>
        <w:tc>
          <w:tcPr>
            <w:tcW w:w="1055" w:type="dxa"/>
            <w:gridSpan w:val="2"/>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被装购置费</w:t>
            </w:r>
          </w:p>
        </w:tc>
        <w:tc>
          <w:tcPr>
            <w:tcW w:w="1774"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31021</w:t>
            </w:r>
          </w:p>
        </w:tc>
        <w:tc>
          <w:tcPr>
            <w:tcW w:w="1650"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文物和陈列品购置</w:t>
            </w:r>
          </w:p>
        </w:tc>
        <w:tc>
          <w:tcPr>
            <w:tcW w:w="189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30304</w:t>
            </w:r>
          </w:p>
        </w:tc>
        <w:tc>
          <w:tcPr>
            <w:tcW w:w="1332"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抚恤金</w:t>
            </w:r>
          </w:p>
        </w:tc>
        <w:tc>
          <w:tcPr>
            <w:tcW w:w="189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30225</w:t>
            </w:r>
          </w:p>
        </w:tc>
        <w:tc>
          <w:tcPr>
            <w:tcW w:w="1055" w:type="dxa"/>
            <w:gridSpan w:val="2"/>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专用燃料费</w:t>
            </w:r>
          </w:p>
        </w:tc>
        <w:tc>
          <w:tcPr>
            <w:tcW w:w="1774"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31022</w:t>
            </w:r>
          </w:p>
        </w:tc>
        <w:tc>
          <w:tcPr>
            <w:tcW w:w="1650"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无形资产购置</w:t>
            </w:r>
          </w:p>
        </w:tc>
        <w:tc>
          <w:tcPr>
            <w:tcW w:w="189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rPr>
          <w:trHeight w:val="530"/>
        </w:trPr>
        <w:tc>
          <w:tcPr>
            <w:tcW w:w="666" w:type="dxa"/>
            <w:tcBorders>
              <w:top w:val="nil"/>
              <w:left w:val="single" w:sz="8" w:space="0" w:color="000000"/>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30305</w:t>
            </w:r>
          </w:p>
        </w:tc>
        <w:tc>
          <w:tcPr>
            <w:tcW w:w="1332"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生活补助</w:t>
            </w:r>
          </w:p>
        </w:tc>
        <w:tc>
          <w:tcPr>
            <w:tcW w:w="189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30226</w:t>
            </w:r>
          </w:p>
        </w:tc>
        <w:tc>
          <w:tcPr>
            <w:tcW w:w="1055" w:type="dxa"/>
            <w:gridSpan w:val="2"/>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劳务费</w:t>
            </w:r>
          </w:p>
        </w:tc>
        <w:tc>
          <w:tcPr>
            <w:tcW w:w="1774"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31099</w:t>
            </w:r>
          </w:p>
        </w:tc>
        <w:tc>
          <w:tcPr>
            <w:tcW w:w="1650"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其他资本性支出</w:t>
            </w:r>
          </w:p>
        </w:tc>
        <w:tc>
          <w:tcPr>
            <w:tcW w:w="189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rPr>
          <w:trHeight w:val="605"/>
        </w:trPr>
        <w:tc>
          <w:tcPr>
            <w:tcW w:w="666" w:type="dxa"/>
            <w:tcBorders>
              <w:top w:val="nil"/>
              <w:left w:val="single" w:sz="8" w:space="0" w:color="000000"/>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30306</w:t>
            </w:r>
          </w:p>
        </w:tc>
        <w:tc>
          <w:tcPr>
            <w:tcW w:w="1332"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救济费</w:t>
            </w:r>
          </w:p>
        </w:tc>
        <w:tc>
          <w:tcPr>
            <w:tcW w:w="189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30227</w:t>
            </w:r>
          </w:p>
        </w:tc>
        <w:tc>
          <w:tcPr>
            <w:tcW w:w="1055" w:type="dxa"/>
            <w:gridSpan w:val="2"/>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委托业务费</w:t>
            </w:r>
          </w:p>
        </w:tc>
        <w:tc>
          <w:tcPr>
            <w:tcW w:w="1774"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399</w:t>
            </w:r>
          </w:p>
        </w:tc>
        <w:tc>
          <w:tcPr>
            <w:tcW w:w="1650"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其他支出</w:t>
            </w:r>
          </w:p>
        </w:tc>
        <w:tc>
          <w:tcPr>
            <w:tcW w:w="189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rPr>
          <w:trHeight w:val="636"/>
        </w:trPr>
        <w:tc>
          <w:tcPr>
            <w:tcW w:w="666" w:type="dxa"/>
            <w:tcBorders>
              <w:top w:val="nil"/>
              <w:left w:val="single" w:sz="8" w:space="0" w:color="000000"/>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30307</w:t>
            </w:r>
          </w:p>
        </w:tc>
        <w:tc>
          <w:tcPr>
            <w:tcW w:w="1332"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医疗费补助</w:t>
            </w:r>
          </w:p>
        </w:tc>
        <w:tc>
          <w:tcPr>
            <w:tcW w:w="189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30228</w:t>
            </w:r>
          </w:p>
        </w:tc>
        <w:tc>
          <w:tcPr>
            <w:tcW w:w="1055" w:type="dxa"/>
            <w:gridSpan w:val="2"/>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工会经费</w:t>
            </w:r>
          </w:p>
        </w:tc>
        <w:tc>
          <w:tcPr>
            <w:tcW w:w="1774"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39907</w:t>
            </w:r>
          </w:p>
        </w:tc>
        <w:tc>
          <w:tcPr>
            <w:tcW w:w="1650"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国家赔偿费用支出</w:t>
            </w:r>
          </w:p>
        </w:tc>
        <w:tc>
          <w:tcPr>
            <w:tcW w:w="189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rPr>
          <w:trHeight w:val="90"/>
        </w:trPr>
        <w:tc>
          <w:tcPr>
            <w:tcW w:w="666" w:type="dxa"/>
            <w:tcBorders>
              <w:top w:val="nil"/>
              <w:left w:val="single" w:sz="8" w:space="0" w:color="000000"/>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30308</w:t>
            </w:r>
          </w:p>
        </w:tc>
        <w:tc>
          <w:tcPr>
            <w:tcW w:w="1332"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助学金</w:t>
            </w:r>
          </w:p>
        </w:tc>
        <w:tc>
          <w:tcPr>
            <w:tcW w:w="189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30229</w:t>
            </w:r>
          </w:p>
        </w:tc>
        <w:tc>
          <w:tcPr>
            <w:tcW w:w="1055" w:type="dxa"/>
            <w:gridSpan w:val="2"/>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福利费</w:t>
            </w:r>
          </w:p>
        </w:tc>
        <w:tc>
          <w:tcPr>
            <w:tcW w:w="1774"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0.06</w:t>
            </w:r>
          </w:p>
        </w:tc>
        <w:tc>
          <w:tcPr>
            <w:tcW w:w="66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39908</w:t>
            </w:r>
          </w:p>
        </w:tc>
        <w:tc>
          <w:tcPr>
            <w:tcW w:w="1650"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对民间非营利组织和群众性自治组织补贴</w:t>
            </w:r>
          </w:p>
        </w:tc>
        <w:tc>
          <w:tcPr>
            <w:tcW w:w="189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30309</w:t>
            </w:r>
          </w:p>
        </w:tc>
        <w:tc>
          <w:tcPr>
            <w:tcW w:w="1332"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奖励金</w:t>
            </w:r>
          </w:p>
        </w:tc>
        <w:tc>
          <w:tcPr>
            <w:tcW w:w="189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30231</w:t>
            </w:r>
          </w:p>
        </w:tc>
        <w:tc>
          <w:tcPr>
            <w:tcW w:w="933"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公务用车运行维护费</w:t>
            </w:r>
          </w:p>
        </w:tc>
        <w:tc>
          <w:tcPr>
            <w:tcW w:w="1896" w:type="dxa"/>
            <w:gridSpan w:val="2"/>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39909</w:t>
            </w:r>
          </w:p>
        </w:tc>
        <w:tc>
          <w:tcPr>
            <w:tcW w:w="1650"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经常性赠与</w:t>
            </w:r>
          </w:p>
        </w:tc>
        <w:tc>
          <w:tcPr>
            <w:tcW w:w="189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30310</w:t>
            </w:r>
          </w:p>
        </w:tc>
        <w:tc>
          <w:tcPr>
            <w:tcW w:w="1332"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个人农业生产补贴</w:t>
            </w:r>
          </w:p>
        </w:tc>
        <w:tc>
          <w:tcPr>
            <w:tcW w:w="189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30239</w:t>
            </w:r>
          </w:p>
        </w:tc>
        <w:tc>
          <w:tcPr>
            <w:tcW w:w="933"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其他交通费用</w:t>
            </w:r>
          </w:p>
        </w:tc>
        <w:tc>
          <w:tcPr>
            <w:tcW w:w="1896" w:type="dxa"/>
            <w:gridSpan w:val="2"/>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39910</w:t>
            </w:r>
          </w:p>
        </w:tc>
        <w:tc>
          <w:tcPr>
            <w:tcW w:w="1650"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资本性赠与</w:t>
            </w:r>
          </w:p>
        </w:tc>
        <w:tc>
          <w:tcPr>
            <w:tcW w:w="189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30311</w:t>
            </w:r>
          </w:p>
        </w:tc>
        <w:tc>
          <w:tcPr>
            <w:tcW w:w="1332"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代缴社会保险费</w:t>
            </w:r>
          </w:p>
        </w:tc>
        <w:tc>
          <w:tcPr>
            <w:tcW w:w="189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30240</w:t>
            </w:r>
          </w:p>
        </w:tc>
        <w:tc>
          <w:tcPr>
            <w:tcW w:w="933"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税金及附加费用</w:t>
            </w:r>
          </w:p>
        </w:tc>
        <w:tc>
          <w:tcPr>
            <w:tcW w:w="1896" w:type="dxa"/>
            <w:gridSpan w:val="2"/>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39999</w:t>
            </w:r>
          </w:p>
        </w:tc>
        <w:tc>
          <w:tcPr>
            <w:tcW w:w="1650"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其他支出</w:t>
            </w:r>
          </w:p>
        </w:tc>
        <w:tc>
          <w:tcPr>
            <w:tcW w:w="189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30399</w:t>
            </w:r>
          </w:p>
        </w:tc>
        <w:tc>
          <w:tcPr>
            <w:tcW w:w="1332"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其他对个人和家庭的补助</w:t>
            </w:r>
          </w:p>
        </w:tc>
        <w:tc>
          <w:tcPr>
            <w:tcW w:w="189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30299</w:t>
            </w:r>
          </w:p>
        </w:tc>
        <w:tc>
          <w:tcPr>
            <w:tcW w:w="933"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其他商品和服务支出</w:t>
            </w:r>
          </w:p>
        </w:tc>
        <w:tc>
          <w:tcPr>
            <w:tcW w:w="1896" w:type="dxa"/>
            <w:gridSpan w:val="2"/>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noWrap/>
            <w:vAlign w:val="center"/>
          </w:tcPr>
          <w:p>
            <w:pPr>
              <w:snapToGrid w:val="0"/>
              <w:jc w:val="center"/>
              <w:rPr>
                <w:rFonts w:ascii="Times New Roman" w:eastAsia="宋体" w:cs="Times New Roman" w:hAnsi="Times New Roman"/>
                <w:i w:val="0"/>
                <w:iCs w:val="0"/>
                <w:color w:val="000000"/>
                <w:sz w:val="18"/>
                <w:szCs w:val="18"/>
                <w:u w:val="none"/>
              </w:rPr>
            </w:pPr>
          </w:p>
        </w:tc>
        <w:tc>
          <w:tcPr>
            <w:tcW w:w="1650" w:type="dxa"/>
            <w:tcBorders>
              <w:top w:val="nil"/>
              <w:left w:val="nil"/>
              <w:bottom w:val="single" w:sz="8" w:space="0" w:color="000000"/>
              <w:right w:val="single" w:sz="8" w:space="0" w:color="000000"/>
            </w:tcBorders>
            <w:shd w:val="clear" w:color="auto" w:fill="auto"/>
            <w:noWrap/>
            <w:vAlign w:val="center"/>
          </w:tcPr>
          <w:p>
            <w:pPr>
              <w:snapToGrid w:val="0"/>
              <w:jc w:val="left"/>
              <w:rPr>
                <w:rFonts w:ascii="方正仿宋_GB2312" w:eastAsia="方正仿宋_GB2312" w:cs="方正仿宋_GB2312" w:hAnsi="方正仿宋_GB2312" w:hint="eastAsia"/>
                <w:i w:val="0"/>
                <w:iCs w:val="0"/>
                <w:color w:val="000000"/>
                <w:sz w:val="18"/>
                <w:szCs w:val="18"/>
                <w:u w:val="none"/>
              </w:rPr>
            </w:pPr>
          </w:p>
        </w:tc>
        <w:tc>
          <w:tcPr>
            <w:tcW w:w="1896" w:type="dxa"/>
            <w:tcBorders>
              <w:top w:val="nil"/>
              <w:left w:val="nil"/>
              <w:bottom w:val="single" w:sz="8" w:space="0" w:color="000000"/>
              <w:right w:val="single" w:sz="8" w:space="0" w:color="000000"/>
            </w:tcBorders>
            <w:shd w:val="clear" w:color="auto" w:fill="auto"/>
            <w:noWrap/>
            <w:vAlign w:val="center"/>
          </w:tcPr>
          <w:p>
            <w:pPr>
              <w:snapToGrid w:val="0"/>
              <w:jc w:val="right"/>
              <w:rPr>
                <w:rFonts w:ascii="Times New Roman" w:eastAsia="宋体" w:cs="Times New Roman" w:hAnsi="Times New Roman"/>
                <w:i w:val="0"/>
                <w:iCs w:val="0"/>
                <w:color w:val="000000"/>
                <w:sz w:val="18"/>
                <w:szCs w:val="18"/>
                <w:u w:val="none"/>
              </w:rPr>
            </w:pPr>
          </w:p>
        </w:tc>
      </w:tr>
      <w:tr>
        <w:tc>
          <w:tcPr>
            <w:tcW w:w="1998" w:type="dxa"/>
            <w:gridSpan w:val="2"/>
            <w:tcBorders>
              <w:top w:val="nil"/>
              <w:left w:val="single" w:sz="8" w:space="0" w:color="000000"/>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人员经费合计</w:t>
            </w:r>
          </w:p>
        </w:tc>
        <w:tc>
          <w:tcPr>
            <w:tcW w:w="189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68.04</w:t>
            </w:r>
          </w:p>
        </w:tc>
        <w:tc>
          <w:tcPr>
            <w:tcW w:w="5811" w:type="dxa"/>
            <w:gridSpan w:val="6"/>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center"/>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公用经费合计</w:t>
            </w:r>
          </w:p>
        </w:tc>
        <w:tc>
          <w:tcPr>
            <w:tcW w:w="1896" w:type="dxa"/>
            <w:tcBorders>
              <w:top w:val="nil"/>
              <w:left w:val="nil"/>
              <w:bottom w:val="single" w:sz="8" w:space="0" w:color="000000"/>
              <w:right w:val="single" w:sz="8" w:space="0" w:color="000000"/>
            </w:tcBorders>
            <w:shd w:val="clear" w:color="auto" w:fill="auto"/>
            <w:noWrap/>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3.82</w:t>
            </w:r>
          </w:p>
        </w:tc>
      </w:tr>
      <w:tr>
        <w:tc>
          <w:tcPr>
            <w:tcW w:w="11601" w:type="dxa"/>
            <w:gridSpan w:val="10"/>
            <w:tcBorders>
              <w:top w:val="nil"/>
              <w:left w:val="nil"/>
              <w:bottom w:val="nil"/>
              <w:right w:val="nil"/>
            </w:tcBorders>
            <w:shd w:val="clear" w:color="auto" w:fill="auto"/>
            <w:noWrap/>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注：本表反映部门本年度一般公共预算财政拨款基本支出明细情况。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ascii="仿宋_GB2312" w:eastAsia="仿宋_GB2312" w:hAnsi="宋体" w:hint="eastAsia"/>
          <w:b/>
          <w:color w:val="auto"/>
          <w:kern w:val="0"/>
          <w:sz w:val="32"/>
          <w:szCs w:val="32"/>
          <w:highlight w:val="none"/>
        </w:rPr>
      </w:pPr>
    </w:p>
    <w:p>
      <w:pPr>
        <w:rPr>
          <w:rFonts w:ascii="仿宋_GB2312" w:eastAsia="仿宋_GB2312" w:hAnsi="宋体" w:hint="eastAsia"/>
          <w:b/>
          <w:color w:val="auto"/>
          <w:kern w:val="0"/>
          <w:sz w:val="32"/>
          <w:szCs w:val="32"/>
          <w:highlight w:val="none"/>
        </w:rPr>
      </w:pPr>
    </w:p>
    <w:tbl>
      <w:tblPr>
        <w:jc w:val="left"/>
        <w:tblInd w:w="-1404" w:type="dxa"/>
        <w:tblW w:w="10480"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Look w:val="0600" w:firstRow="0" w:lastRow="0" w:firstColumn="0" w:lastColumn="0" w:noHBand="1" w:noVBand="1"/>
      </w:tblPr>
      <w:tblGrid>
        <w:gridCol w:w="1260"/>
        <w:gridCol w:w="1474"/>
        <w:gridCol w:w="1306"/>
        <w:gridCol w:w="1027"/>
        <w:gridCol w:w="1107"/>
        <w:gridCol w:w="418"/>
        <w:gridCol w:w="702"/>
        <w:gridCol w:w="1146"/>
        <w:gridCol w:w="2040"/>
      </w:tblGrid>
      <w:tr>
        <w:trPr>
          <w:trHeight w:val="550"/>
        </w:trPr>
        <w:tc>
          <w:tcPr>
            <w:tcW w:w="10480" w:type="dxa"/>
            <w:gridSpan w:val="9"/>
            <w:tcBorders>
              <w:top w:val="nil"/>
              <w:left w:val="nil"/>
              <w:bottom w:val="nil"/>
              <w:right w:val="nil"/>
            </w:tcBorders>
            <w:noWrap/>
            <w:vAlign w:val="bottom"/>
          </w:tcPr>
          <w:p>
            <w:pPr>
              <w:keepNext w:val="0"/>
              <w:keepLines w:val="0"/>
              <w:widowControl/>
              <w:suppressLineNumbers w:val="0"/>
              <w:jc w:val="center"/>
              <w:textAlignment w:val="bottom"/>
              <w:rPr>
                <w:rFonts w:ascii="宋体" w:eastAsia="宋体" w:cs="宋体" w:hAnsi="宋体" w:hint="eastAsia"/>
                <w:i w:val="0"/>
                <w:iCs w:val="0"/>
                <w:color w:val="000000"/>
                <w:sz w:val="20"/>
                <w:szCs w:val="20"/>
                <w:u w:val="none"/>
                <w:highlight w:val="none"/>
              </w:rPr>
            </w:pPr>
            <w:r>
              <w:rPr>
                <w:rFonts w:ascii="方正仿宋_GB2312" w:eastAsia="方正仿宋_GB2312" w:cs="方正仿宋_GB2312" w:hAnsi="方正仿宋_GB2312" w:hint="eastAsia"/>
                <w:b w:val="0"/>
                <w:bCs/>
                <w:color w:val="auto"/>
                <w:kern w:val="0"/>
                <w:sz w:val="32"/>
                <w:szCs w:val="32"/>
                <w:lang w:val="en-US" w:eastAsia="zh-CN"/>
                <w:highlight w:val="none"/>
              </w:rPr>
              <w:t>政府性基金预算财政拨款收入支出决算表</w:t>
            </w:r>
          </w:p>
        </w:tc>
      </w:tr>
      <w:tr>
        <w:trPr>
          <w:trHeight w:val="90"/>
        </w:trPr>
        <w:tc>
          <w:tcPr>
            <w:tcW w:w="10480" w:type="dxa"/>
            <w:gridSpan w:val="9"/>
            <w:tcBorders>
              <w:top w:val="nil"/>
              <w:left w:val="nil"/>
              <w:bottom w:val="nil"/>
              <w:right w:val="nil"/>
            </w:tcBorders>
            <w:noWrap/>
            <w:vAlign w:val="bottom"/>
          </w:tcPr>
          <w:p>
            <w:pPr>
              <w:keepNext w:val="0"/>
              <w:keepLines w:val="0"/>
              <w:widowControl/>
              <w:suppressLineNumbers w:val="0"/>
              <w:jc w:val="right"/>
              <w:textAlignment w:val="bottom"/>
              <w:rPr>
                <w:rFonts w:ascii="宋体" w:eastAsia="宋体" w:cs="宋体" w:hAnsi="宋体"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公开</w:t>
            </w:r>
            <w:r>
              <w:rPr>
                <w:rFonts w:ascii="Times New Roman" w:eastAsia="宋体" w:cs="Times New Roman" w:hAnsi="Times New Roman"/>
                <w:i w:val="0"/>
                <w:iCs w:val="0"/>
                <w:color w:val="000000"/>
                <w:kern w:val="0"/>
                <w:sz w:val="20"/>
                <w:szCs w:val="20"/>
                <w:u w:val="none"/>
                <w:lang w:val="en-US" w:eastAsia="zh-CN"/>
                <w:highlight w:val="none"/>
              </w:rPr>
              <w:t>07</w:t>
            </w:r>
            <w:r>
              <w:rPr>
                <w:rFonts w:ascii="方正仿宋_GB2312" w:eastAsia="方正仿宋_GB2312" w:cs="方正仿宋_GB2312" w:hAnsi="方正仿宋_GB2312" w:hint="eastAsia"/>
                <w:i w:val="0"/>
                <w:iCs w:val="0"/>
                <w:color w:val="000000"/>
                <w:kern w:val="0"/>
                <w:sz w:val="20"/>
                <w:szCs w:val="20"/>
                <w:u w:val="none"/>
                <w:lang w:val="en-US" w:eastAsia="zh-CN"/>
                <w:highlight w:val="none"/>
              </w:rPr>
              <w:t>表</w:t>
            </w:r>
          </w:p>
        </w:tc>
      </w:tr>
      <w:tr>
        <w:trPr>
          <w:trHeight w:val="300"/>
        </w:trPr>
        <w:tc>
          <w:tcPr>
            <w:tcW w:w="4040" w:type="dxa"/>
            <w:gridSpan w:val="3"/>
            <w:tcBorders>
              <w:top w:val="nil"/>
              <w:left w:val="nil"/>
              <w:bottom w:val="single" w:sz="8" w:space="0" w:color="000000"/>
              <w:right w:val="nil"/>
            </w:tcBorders>
            <w:noWrap/>
            <w:vAlign w:val="bottom"/>
          </w:tcPr>
          <w:p>
            <w:pPr>
              <w:keepNext w:val="0"/>
              <w:keepLines w:val="0"/>
              <w:widowControl/>
              <w:suppressLineNumbers w:val="0"/>
              <w:jc w:val="left"/>
              <w:textAlignment w:val="bottom"/>
              <w:rPr>
                <w:rFonts w:ascii="宋体" w:eastAsia="宋体" w:cs="宋体" w:hAnsi="宋体"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 xml:space="preserve">部门（单位）：行唐县房地产管理所 </w:t>
            </w:r>
            <w:r>
              <w:rPr>
                <w:rFonts w:ascii="宋体" w:eastAsia="宋体" w:cs="宋体" w:hAnsi="宋体" w:hint="eastAsia"/>
                <w:i w:val="0"/>
                <w:iCs w:val="0"/>
                <w:color w:val="000000"/>
                <w:kern w:val="0"/>
                <w:sz w:val="20"/>
                <w:szCs w:val="20"/>
                <w:u w:val="none"/>
                <w:lang w:val="en-US" w:eastAsia="zh-CN"/>
                <w:highlight w:val="none"/>
              </w:rPr>
              <w:t xml:space="preserve">                                                                                     </w:t>
            </w:r>
          </w:p>
        </w:tc>
        <w:tc>
          <w:tcPr>
            <w:tcW w:w="2552" w:type="dxa"/>
            <w:gridSpan w:val="3"/>
            <w:tcBorders>
              <w:top w:val="nil"/>
              <w:left w:val="nil"/>
              <w:bottom w:val="single" w:sz="8" w:space="0" w:color="000000"/>
              <w:right w:val="nil"/>
            </w:tcBorders>
            <w:noWrap/>
            <w:vAlign w:val="bottom"/>
          </w:tcPr>
          <w:p>
            <w:pPr>
              <w:keepNext w:val="0"/>
              <w:keepLines w:val="0"/>
              <w:widowControl/>
              <w:suppressLineNumbers w:val="0"/>
              <w:jc w:val="center"/>
              <w:textAlignment w:val="bottom"/>
              <w:rPr>
                <w:rFonts w:ascii="宋体" w:eastAsia="宋体" w:cs="宋体" w:hAnsi="宋体"/>
                <w:i w:val="0"/>
                <w:iCs w:val="0"/>
                <w:color w:val="000000"/>
                <w:kern w:val="0"/>
                <w:sz w:val="20"/>
                <w:szCs w:val="20"/>
                <w:u w:val="none"/>
                <w:lang w:val="en-US" w:eastAsia="zh-CN"/>
                <w:highlight w:val="none"/>
              </w:rPr>
            </w:pPr>
            <w:r>
              <w:rPr>
                <w:rFonts w:ascii="Times New Roman" w:eastAsia="宋体" w:cs="Times New Roman" w:hAnsi="Times New Roman"/>
                <w:i w:val="0"/>
                <w:iCs w:val="0"/>
                <w:color w:val="000000"/>
                <w:kern w:val="0"/>
                <w:sz w:val="20"/>
                <w:szCs w:val="20"/>
                <w:u w:val="none"/>
                <w:lang w:val="en-US" w:eastAsia="zh-CN"/>
                <w:highlight w:val="none"/>
              </w:rPr>
              <w:t>202</w:t>
            </w:r>
            <w:r>
              <w:rPr>
                <w:rFonts w:ascii="Times New Roman" w:eastAsia="宋体" w:cs="Times New Roman" w:hAnsi="Times New Roman" w:hint="eastAsia"/>
                <w:i w:val="0"/>
                <w:iCs w:val="0"/>
                <w:color w:val="000000"/>
                <w:kern w:val="0"/>
                <w:sz w:val="20"/>
                <w:szCs w:val="20"/>
                <w:u w:val="none"/>
                <w:lang w:val="en-US" w:eastAsia="zh-CN"/>
                <w:highlight w:val="none"/>
              </w:rPr>
              <w:t>5</w:t>
            </w:r>
            <w:r>
              <w:rPr>
                <w:rFonts w:ascii="方正仿宋_GB2312" w:eastAsia="方正仿宋_GB2312" w:cs="方正仿宋_GB2312" w:hAnsi="方正仿宋_GB2312" w:hint="eastAsia"/>
                <w:i w:val="0"/>
                <w:iCs w:val="0"/>
                <w:color w:val="000000"/>
                <w:kern w:val="0"/>
                <w:sz w:val="20"/>
                <w:szCs w:val="20"/>
                <w:u w:val="none"/>
                <w:lang w:val="en-US" w:eastAsia="zh-CN"/>
                <w:highlight w:val="none"/>
              </w:rPr>
              <w:t>年度</w:t>
            </w:r>
          </w:p>
        </w:tc>
        <w:tc>
          <w:tcPr>
            <w:tcW w:w="3888" w:type="dxa"/>
            <w:gridSpan w:val="3"/>
            <w:tcBorders>
              <w:top w:val="nil"/>
              <w:left w:val="nil"/>
              <w:bottom w:val="single" w:sz="8" w:space="0" w:color="000000"/>
              <w:right w:val="nil"/>
            </w:tcBorders>
            <w:noWrap/>
            <w:vAlign w:val="bottom"/>
          </w:tcPr>
          <w:p>
            <w:pPr>
              <w:keepNext w:val="0"/>
              <w:keepLines w:val="0"/>
              <w:widowControl/>
              <w:suppressLineNumbers w:val="0"/>
              <w:jc w:val="right"/>
              <w:textAlignment w:val="bottom"/>
              <w:rPr>
                <w:rFonts w:ascii="宋体" w:eastAsia="宋体" w:cs="宋体" w:hAnsi="宋体"/>
                <w:i w:val="0"/>
                <w:iCs w:val="0"/>
                <w:color w:val="000000"/>
                <w:kern w:val="0"/>
                <w:sz w:val="20"/>
                <w:szCs w:val="20"/>
                <w:u w:val="none"/>
                <w:lang w:val="en-US" w:eastAsia="zh-CN"/>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金额单位：万元</w:t>
            </w:r>
          </w:p>
        </w:tc>
      </w:tr>
      <w:tr>
        <w:trPr>
          <w:trHeight w:val="308"/>
        </w:trPr>
        <w:tc>
          <w:tcPr>
            <w:tcW w:w="2734"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项目</w:t>
            </w:r>
          </w:p>
        </w:tc>
        <w:tc>
          <w:tcPr>
            <w:tcW w:w="1306"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年初结转和结余</w:t>
            </w:r>
          </w:p>
        </w:tc>
        <w:tc>
          <w:tcPr>
            <w:tcW w:w="1027"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本年收入</w:t>
            </w:r>
          </w:p>
        </w:tc>
        <w:tc>
          <w:tcPr>
            <w:tcW w:w="3373" w:type="dxa"/>
            <w:gridSpan w:val="4"/>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本年支出</w:t>
            </w:r>
          </w:p>
        </w:tc>
        <w:tc>
          <w:tcPr>
            <w:tcW w:w="2040"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年末结转和结余</w:t>
            </w:r>
          </w:p>
        </w:tc>
      </w:tr>
      <w:tr>
        <w:trPr>
          <w:trHeight w:val="312"/>
        </w:trPr>
        <w:tc>
          <w:tcPr>
            <w:tcW w:w="1260"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lang w:val="en-US" w:eastAsia="zh-CN"/>
                <w:highlight w:val="none"/>
              </w:rPr>
            </w:pPr>
            <w:r>
              <w:rPr>
                <w:rFonts w:ascii="方正仿宋_GB2312" w:eastAsia="方正仿宋_GB2312" w:cs="方正仿宋_GB2312" w:hAnsi="方正仿宋_GB2312" w:hint="eastAsia"/>
                <w:i w:val="0"/>
                <w:iCs w:val="0"/>
                <w:color w:val="000000"/>
                <w:sz w:val="20"/>
                <w:szCs w:val="20"/>
                <w:u w:val="none"/>
                <w:lang w:val="en-US" w:eastAsia="zh-CN"/>
                <w:highlight w:val="none"/>
              </w:rPr>
              <w:t>科目代码</w:t>
            </w:r>
          </w:p>
        </w:tc>
        <w:tc>
          <w:tcPr>
            <w:tcW w:w="1474"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科目名称</w:t>
            </w:r>
          </w:p>
        </w:tc>
        <w:tc>
          <w:tcPr>
            <w:tcW w:w="1306" w:type="dxa"/>
            <w:vMerge/>
            <w:tcBorders>
              <w:top w:val="single" w:sz="8" w:space="0" w:color="000000"/>
              <w:left w:val="single" w:sz="8" w:space="0" w:color="000000"/>
              <w:bottom w:val="single" w:sz="8" w:space="0" w:color="000000"/>
              <w:right w:val="single" w:sz="8" w:space="0" w:color="000000"/>
            </w:tcBorders>
            <w:vAlign w:val="center"/>
          </w:tcPr>
          <w:p/>
        </w:tc>
        <w:tc>
          <w:tcPr>
            <w:tcW w:w="1027" w:type="dxa"/>
            <w:vMerge/>
            <w:tcBorders>
              <w:top w:val="single" w:sz="8" w:space="0" w:color="000000"/>
              <w:left w:val="single" w:sz="8" w:space="0" w:color="000000"/>
              <w:bottom w:val="single" w:sz="8" w:space="0" w:color="000000"/>
              <w:right w:val="single" w:sz="8" w:space="0" w:color="000000"/>
            </w:tcBorders>
            <w:vAlign w:val="center"/>
          </w:tcPr>
          <w:p/>
        </w:tc>
        <w:tc>
          <w:tcPr>
            <w:tcW w:w="1107"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lang w:val="en-US" w:eastAsia="zh-CN"/>
                <w:highlight w:val="none"/>
              </w:rPr>
            </w:pPr>
            <w:r>
              <w:rPr>
                <w:rFonts w:ascii="方正仿宋_GB2312" w:eastAsia="方正仿宋_GB2312" w:cs="方正仿宋_GB2312" w:hAnsi="方正仿宋_GB2312" w:hint="eastAsia"/>
                <w:i w:val="0"/>
                <w:iCs w:val="0"/>
                <w:color w:val="000000"/>
                <w:sz w:val="20"/>
                <w:szCs w:val="20"/>
                <w:u w:val="none"/>
                <w:lang w:val="en-US" w:eastAsia="zh-CN"/>
                <w:highlight w:val="none"/>
              </w:rPr>
              <w:t>小计</w:t>
            </w:r>
          </w:p>
        </w:tc>
        <w:tc>
          <w:tcPr>
            <w:tcW w:w="1120" w:type="dxa"/>
            <w:gridSpan w:val="2"/>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基本支出</w:t>
            </w:r>
          </w:p>
        </w:tc>
        <w:tc>
          <w:tcPr>
            <w:tcW w:w="1146"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项目支出</w:t>
            </w:r>
          </w:p>
        </w:tc>
        <w:tc>
          <w:tcPr>
            <w:tcW w:w="2040" w:type="dxa"/>
            <w:vMerge/>
            <w:tcBorders>
              <w:top w:val="single" w:sz="8" w:space="0" w:color="000000"/>
              <w:left w:val="single" w:sz="8" w:space="0" w:color="000000"/>
              <w:bottom w:val="single" w:sz="8" w:space="0" w:color="000000"/>
              <w:right w:val="single" w:sz="8" w:space="0" w:color="000000"/>
            </w:tcBorders>
            <w:vAlign w:val="center"/>
          </w:tcPr>
          <w:p/>
        </w:tc>
      </w:tr>
      <w:tr>
        <w:trPr>
          <w:trHeight w:val="312"/>
        </w:trPr>
        <w:tc>
          <w:tcPr>
            <w:tcW w:w="1260" w:type="dxa"/>
            <w:vMerge/>
            <w:tcBorders>
              <w:top w:val="single" w:sz="8" w:space="0" w:color="000000"/>
              <w:left w:val="single" w:sz="8" w:space="0" w:color="000000"/>
              <w:bottom w:val="single" w:sz="8" w:space="0" w:color="000000"/>
              <w:right w:val="single" w:sz="8" w:space="0" w:color="000000"/>
            </w:tcBorders>
            <w:vAlign w:val="center"/>
          </w:tcPr>
          <w:p/>
        </w:tc>
        <w:tc>
          <w:tcPr>
            <w:tcW w:w="1474" w:type="dxa"/>
            <w:vMerge/>
            <w:tcBorders>
              <w:top w:val="single" w:sz="8" w:space="0" w:color="000000"/>
              <w:left w:val="single" w:sz="8" w:space="0" w:color="000000"/>
              <w:bottom w:val="single" w:sz="8" w:space="0" w:color="000000"/>
              <w:right w:val="single" w:sz="8" w:space="0" w:color="000000"/>
            </w:tcBorders>
            <w:vAlign w:val="center"/>
          </w:tcPr>
          <w:p/>
        </w:tc>
        <w:tc>
          <w:tcPr>
            <w:tcW w:w="1306" w:type="dxa"/>
            <w:vMerge/>
            <w:tcBorders>
              <w:top w:val="single" w:sz="8" w:space="0" w:color="000000"/>
              <w:left w:val="single" w:sz="8" w:space="0" w:color="000000"/>
              <w:bottom w:val="single" w:sz="8" w:space="0" w:color="000000"/>
              <w:right w:val="single" w:sz="8" w:space="0" w:color="000000"/>
            </w:tcBorders>
            <w:vAlign w:val="center"/>
          </w:tcPr>
          <w:p/>
        </w:tc>
        <w:tc>
          <w:tcPr>
            <w:tcW w:w="1027" w:type="dxa"/>
            <w:vMerge/>
            <w:tcBorders>
              <w:top w:val="single" w:sz="8" w:space="0" w:color="000000"/>
              <w:left w:val="single" w:sz="8" w:space="0" w:color="000000"/>
              <w:bottom w:val="single" w:sz="8" w:space="0" w:color="000000"/>
              <w:right w:val="single" w:sz="8" w:space="0" w:color="000000"/>
            </w:tcBorders>
            <w:vAlign w:val="center"/>
          </w:tcPr>
          <w:p/>
        </w:tc>
        <w:tc>
          <w:tcPr>
            <w:tcW w:w="1107" w:type="dxa"/>
            <w:vMerge/>
            <w:tcBorders>
              <w:top w:val="single" w:sz="8" w:space="0" w:color="000000"/>
              <w:left w:val="single" w:sz="8" w:space="0" w:color="000000"/>
              <w:bottom w:val="single" w:sz="8" w:space="0" w:color="000000"/>
              <w:right w:val="single" w:sz="8" w:space="0" w:color="000000"/>
            </w:tcBorders>
            <w:vAlign w:val="center"/>
          </w:tcPr>
          <w:p/>
        </w:tc>
        <w:tc>
          <w:tcPr>
            <w:tcW w:w="1120"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146" w:type="dxa"/>
            <w:vMerge/>
            <w:tcBorders>
              <w:top w:val="single" w:sz="8" w:space="0" w:color="000000"/>
              <w:left w:val="single" w:sz="8" w:space="0" w:color="000000"/>
              <w:bottom w:val="single" w:sz="8" w:space="0" w:color="000000"/>
              <w:right w:val="single" w:sz="8" w:space="0" w:color="000000"/>
            </w:tcBorders>
            <w:vAlign w:val="center"/>
          </w:tcPr>
          <w:p/>
        </w:tc>
        <w:tc>
          <w:tcPr>
            <w:tcW w:w="2040" w:type="dxa"/>
            <w:vMerge/>
            <w:tcBorders>
              <w:top w:val="single" w:sz="8" w:space="0" w:color="000000"/>
              <w:left w:val="single" w:sz="8" w:space="0" w:color="000000"/>
              <w:bottom w:val="single" w:sz="8" w:space="0" w:color="000000"/>
              <w:right w:val="single" w:sz="8" w:space="0" w:color="000000"/>
            </w:tcBorders>
            <w:vAlign w:val="center"/>
          </w:tcPr>
          <w:p/>
        </w:tc>
      </w:tr>
      <w:tr>
        <w:trPr>
          <w:trHeight w:val="312"/>
        </w:trPr>
        <w:tc>
          <w:tcPr>
            <w:tcW w:w="1260" w:type="dxa"/>
            <w:vMerge/>
            <w:tcBorders>
              <w:top w:val="single" w:sz="8" w:space="0" w:color="000000"/>
              <w:left w:val="single" w:sz="8" w:space="0" w:color="000000"/>
              <w:bottom w:val="single" w:sz="8" w:space="0" w:color="000000"/>
              <w:right w:val="single" w:sz="8" w:space="0" w:color="000000"/>
            </w:tcBorders>
            <w:vAlign w:val="center"/>
          </w:tcPr>
          <w:p/>
        </w:tc>
        <w:tc>
          <w:tcPr>
            <w:tcW w:w="1474" w:type="dxa"/>
            <w:vMerge/>
            <w:tcBorders>
              <w:top w:val="single" w:sz="8" w:space="0" w:color="000000"/>
              <w:left w:val="single" w:sz="8" w:space="0" w:color="000000"/>
              <w:bottom w:val="single" w:sz="8" w:space="0" w:color="000000"/>
              <w:right w:val="single" w:sz="8" w:space="0" w:color="000000"/>
            </w:tcBorders>
            <w:vAlign w:val="center"/>
          </w:tcPr>
          <w:p/>
        </w:tc>
        <w:tc>
          <w:tcPr>
            <w:tcW w:w="1306" w:type="dxa"/>
            <w:vMerge/>
            <w:tcBorders>
              <w:top w:val="single" w:sz="8" w:space="0" w:color="000000"/>
              <w:left w:val="single" w:sz="8" w:space="0" w:color="000000"/>
              <w:bottom w:val="single" w:sz="8" w:space="0" w:color="000000"/>
              <w:right w:val="single" w:sz="8" w:space="0" w:color="000000"/>
            </w:tcBorders>
            <w:vAlign w:val="center"/>
          </w:tcPr>
          <w:p/>
        </w:tc>
        <w:tc>
          <w:tcPr>
            <w:tcW w:w="1027" w:type="dxa"/>
            <w:vMerge/>
            <w:tcBorders>
              <w:top w:val="single" w:sz="8" w:space="0" w:color="000000"/>
              <w:left w:val="single" w:sz="8" w:space="0" w:color="000000"/>
              <w:bottom w:val="single" w:sz="8" w:space="0" w:color="000000"/>
              <w:right w:val="single" w:sz="8" w:space="0" w:color="000000"/>
            </w:tcBorders>
            <w:vAlign w:val="center"/>
          </w:tcPr>
          <w:p/>
        </w:tc>
        <w:tc>
          <w:tcPr>
            <w:tcW w:w="1107" w:type="dxa"/>
            <w:vMerge/>
            <w:tcBorders>
              <w:top w:val="single" w:sz="8" w:space="0" w:color="000000"/>
              <w:left w:val="single" w:sz="8" w:space="0" w:color="000000"/>
              <w:bottom w:val="single" w:sz="8" w:space="0" w:color="000000"/>
              <w:right w:val="single" w:sz="8" w:space="0" w:color="000000"/>
            </w:tcBorders>
            <w:vAlign w:val="center"/>
          </w:tcPr>
          <w:p/>
        </w:tc>
        <w:tc>
          <w:tcPr>
            <w:tcW w:w="1120"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146" w:type="dxa"/>
            <w:vMerge/>
            <w:tcBorders>
              <w:top w:val="single" w:sz="8" w:space="0" w:color="000000"/>
              <w:left w:val="single" w:sz="8" w:space="0" w:color="000000"/>
              <w:bottom w:val="single" w:sz="8" w:space="0" w:color="000000"/>
              <w:right w:val="single" w:sz="8" w:space="0" w:color="000000"/>
            </w:tcBorders>
            <w:vAlign w:val="center"/>
          </w:tcPr>
          <w:p/>
        </w:tc>
        <w:tc>
          <w:tcPr>
            <w:tcW w:w="2040" w:type="dxa"/>
            <w:vMerge/>
            <w:tcBorders>
              <w:top w:val="single" w:sz="8" w:space="0" w:color="000000"/>
              <w:left w:val="single" w:sz="8" w:space="0" w:color="000000"/>
              <w:bottom w:val="single" w:sz="8" w:space="0" w:color="000000"/>
              <w:right w:val="single" w:sz="8" w:space="0" w:color="000000"/>
            </w:tcBorders>
            <w:vAlign w:val="center"/>
          </w:tcPr>
          <w:p/>
        </w:tc>
      </w:tr>
      <w:tr>
        <w:trPr>
          <w:trHeight w:val="308"/>
        </w:trPr>
        <w:tc>
          <w:tcPr>
            <w:tcW w:w="2734"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栏次</w:t>
            </w:r>
          </w:p>
        </w:tc>
        <w:tc>
          <w:tcPr>
            <w:tcW w:w="1306"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20"/>
                <w:szCs w:val="20"/>
                <w:u w:val="none"/>
                <w:highlight w:val="none"/>
              </w:rPr>
            </w:pPr>
            <w:r>
              <w:rPr>
                <w:rFonts w:ascii="Times New Roman" w:eastAsia="方正仿宋_GB2312" w:cs="Times New Roman" w:hAnsi="Times New Roman"/>
                <w:i w:val="0"/>
                <w:iCs w:val="0"/>
                <w:color w:val="000000"/>
                <w:kern w:val="0"/>
                <w:sz w:val="20"/>
                <w:szCs w:val="20"/>
                <w:u w:val="none"/>
                <w:lang w:val="en-US" w:eastAsia="zh-CN"/>
                <w:highlight w:val="none"/>
              </w:rPr>
              <w:t>1</w:t>
            </w:r>
          </w:p>
        </w:tc>
        <w:tc>
          <w:tcPr>
            <w:tcW w:w="1027"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20"/>
                <w:szCs w:val="20"/>
                <w:u w:val="none"/>
                <w:highlight w:val="none"/>
              </w:rPr>
            </w:pPr>
            <w:r>
              <w:rPr>
                <w:rFonts w:ascii="Times New Roman" w:eastAsia="方正仿宋_GB2312" w:cs="Times New Roman" w:hAnsi="Times New Roman"/>
                <w:i w:val="0"/>
                <w:iCs w:val="0"/>
                <w:color w:val="000000"/>
                <w:kern w:val="0"/>
                <w:sz w:val="20"/>
                <w:szCs w:val="20"/>
                <w:u w:val="none"/>
                <w:lang w:val="en-US" w:eastAsia="zh-CN"/>
                <w:highlight w:val="none"/>
              </w:rPr>
              <w:t>2</w:t>
            </w:r>
          </w:p>
        </w:tc>
        <w:tc>
          <w:tcPr>
            <w:tcW w:w="1107"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20"/>
                <w:szCs w:val="20"/>
                <w:u w:val="none"/>
                <w:highlight w:val="none"/>
              </w:rPr>
            </w:pPr>
            <w:r>
              <w:rPr>
                <w:rFonts w:ascii="Times New Roman" w:eastAsia="方正仿宋_GB2312" w:cs="Times New Roman" w:hAnsi="Times New Roman"/>
                <w:i w:val="0"/>
                <w:iCs w:val="0"/>
                <w:color w:val="000000"/>
                <w:kern w:val="0"/>
                <w:sz w:val="20"/>
                <w:szCs w:val="20"/>
                <w:u w:val="none"/>
                <w:lang w:val="en-US" w:eastAsia="zh-CN"/>
                <w:highlight w:val="none"/>
              </w:rPr>
              <w:t>3</w:t>
            </w:r>
          </w:p>
        </w:tc>
        <w:tc>
          <w:tcPr>
            <w:tcW w:w="1120"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20"/>
                <w:szCs w:val="20"/>
                <w:u w:val="none"/>
                <w:highlight w:val="none"/>
              </w:rPr>
            </w:pPr>
            <w:r>
              <w:rPr>
                <w:rFonts w:ascii="Times New Roman" w:eastAsia="方正仿宋_GB2312" w:cs="Times New Roman" w:hAnsi="Times New Roman"/>
                <w:i w:val="0"/>
                <w:iCs w:val="0"/>
                <w:color w:val="000000"/>
                <w:kern w:val="0"/>
                <w:sz w:val="20"/>
                <w:szCs w:val="20"/>
                <w:u w:val="none"/>
                <w:lang w:val="en-US" w:eastAsia="zh-CN"/>
                <w:highlight w:val="none"/>
              </w:rPr>
              <w:t>4</w:t>
            </w:r>
          </w:p>
        </w:tc>
        <w:tc>
          <w:tcPr>
            <w:tcW w:w="1146"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20"/>
                <w:szCs w:val="20"/>
                <w:u w:val="none"/>
                <w:highlight w:val="none"/>
              </w:rPr>
            </w:pPr>
            <w:r>
              <w:rPr>
                <w:rFonts w:ascii="Times New Roman" w:eastAsia="方正仿宋_GB2312" w:cs="Times New Roman" w:hAnsi="Times New Roman"/>
                <w:i w:val="0"/>
                <w:iCs w:val="0"/>
                <w:color w:val="000000"/>
                <w:kern w:val="0"/>
                <w:sz w:val="20"/>
                <w:szCs w:val="20"/>
                <w:u w:val="none"/>
                <w:lang w:val="en-US" w:eastAsia="zh-CN"/>
                <w:highlight w:val="none"/>
              </w:rPr>
              <w:t>5</w:t>
            </w:r>
          </w:p>
        </w:tc>
        <w:tc>
          <w:tcPr>
            <w:tcW w:w="2040"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20"/>
                <w:szCs w:val="20"/>
                <w:u w:val="none"/>
                <w:lang w:val="en-US" w:eastAsia="zh-CN"/>
                <w:highlight w:val="none"/>
              </w:rPr>
            </w:pPr>
            <w:r>
              <w:rPr>
                <w:rFonts w:ascii="Times New Roman" w:eastAsia="方正仿宋_GB2312" w:cs="Times New Roman" w:hAnsi="Times New Roman"/>
                <w:i w:val="0"/>
                <w:iCs w:val="0"/>
                <w:color w:val="000000"/>
                <w:sz w:val="20"/>
                <w:szCs w:val="20"/>
                <w:u w:val="none"/>
                <w:lang w:val="en-US" w:eastAsia="zh-CN"/>
                <w:highlight w:val="none"/>
              </w:rPr>
              <w:t>6</w:t>
            </w:r>
          </w:p>
        </w:tc>
      </w:tr>
      <w:tr>
        <w:trPr>
          <w:trHeight w:val="869"/>
        </w:trPr>
        <w:tc>
          <w:tcPr>
            <w:tcW w:w="2734"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合计</w:t>
            </w:r>
          </w:p>
        </w:tc>
        <w:tc>
          <w:tcPr>
            <w:tcW w:w="1306"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02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10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120"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146"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2040"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308"/>
        </w:trPr>
        <w:tc>
          <w:tcPr>
            <w:tcW w:w="10480" w:type="dxa"/>
            <w:gridSpan w:val="9"/>
            <w:tcBorders>
              <w:top w:val="single" w:sz="8" w:space="0" w:color="000000"/>
              <w:left w:val="nil"/>
              <w:bottom w:val="nil"/>
              <w:right w:val="nil"/>
            </w:tcBorders>
            <w:noWrap/>
            <w:vAlign w:val="center"/>
          </w:tcPr>
          <w:p>
            <w:pPr>
              <w:rPr>
                <w:rFonts w:ascii="方正仿宋_GB2312" w:eastAsia="方正仿宋_GB2312" w:cs="方正仿宋_GB2312" w:hAnsi="方正仿宋_GB2312"/>
                <w:i w:val="0"/>
                <w:iCs w:val="0"/>
                <w:color w:val="000000"/>
                <w:kern w:val="0"/>
                <w:sz w:val="20"/>
                <w:szCs w:val="20"/>
                <w:u w:val="none"/>
                <w:lang w:val="en-US" w:eastAsia="zh-CN"/>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注：本表反映部门本年度政府性基金预算财政拨款收入、支出及结转和结余情况。（如无相关数据，则需注明空表列示）</w:t>
              <w:br w:type="page"/>
            </w:r>
          </w:p>
          <w:p>
            <w:pPr>
              <w:rPr>
                <w:rFonts w:ascii="宋体" w:eastAsia="宋体" w:cs="宋体" w:hAnsi="宋体" w:hint="eastAsia"/>
                <w:i w:val="0"/>
                <w:iCs w:val="0"/>
                <w:color w:val="000000"/>
                <w:sz w:val="20"/>
                <w:szCs w:val="20"/>
                <w:u w:val="none"/>
                <w:highlight w:val="none"/>
              </w:rPr>
            </w:pPr>
          </w:p>
        </w:tc>
      </w:tr>
    </w:tbl>
    <w:p>
      <w:pPr>
        <w:rPr>
          <w:rFonts w:ascii="仿宋_GB2312" w:eastAsia="仿宋_GB2312" w:hAnsi="宋体" w:hint="eastAsia"/>
          <w:b/>
          <w:color w:val="auto"/>
          <w:kern w:val="0"/>
          <w:sz w:val="32"/>
          <w:szCs w:val="32"/>
          <w:highlight w:val="none"/>
        </w:rPr>
      </w:pPr>
    </w:p>
    <w:tbl>
      <w:tblPr>
        <w:jc w:val="left"/>
        <w:tblInd w:w="-976" w:type="dxa"/>
        <w:tblW w:w="9428"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Look w:val="0600" w:firstRow="0" w:lastRow="0" w:firstColumn="0" w:lastColumn="0" w:noHBand="1" w:noVBand="1"/>
      </w:tblPr>
      <w:tblGrid>
        <w:gridCol w:w="2993"/>
        <w:gridCol w:w="731"/>
        <w:gridCol w:w="1296"/>
        <w:gridCol w:w="1332"/>
        <w:gridCol w:w="5"/>
        <w:gridCol w:w="47"/>
        <w:gridCol w:w="1281"/>
        <w:gridCol w:w="10"/>
        <w:gridCol w:w="1733"/>
      </w:tblGrid>
      <w:tr>
        <w:trPr>
          <w:trHeight w:val="550"/>
        </w:trPr>
        <w:tc>
          <w:tcPr>
            <w:tcW w:w="9428" w:type="dxa"/>
            <w:gridSpan w:val="9"/>
            <w:tcBorders>
              <w:top w:val="nil"/>
              <w:left w:val="nil"/>
              <w:bottom w:val="nil"/>
              <w:right w:val="nil"/>
            </w:tcBorders>
            <w:noWrap/>
            <w:vAlign w:val="bottom"/>
          </w:tcPr>
          <w:p>
            <w:pPr>
              <w:keepNext w:val="0"/>
              <w:keepLines w:val="0"/>
              <w:widowControl/>
              <w:suppressLineNumbers w:val="0"/>
              <w:jc w:val="center"/>
              <w:textAlignment w:val="bottom"/>
              <w:rPr>
                <w:rFonts w:ascii="宋体" w:eastAsia="宋体" w:cs="宋体" w:hAnsi="宋体" w:hint="eastAsia"/>
                <w:i w:val="0"/>
                <w:iCs w:val="0"/>
                <w:color w:val="000000"/>
                <w:sz w:val="20"/>
                <w:szCs w:val="20"/>
                <w:u w:val="none"/>
                <w:highlight w:val="none"/>
              </w:rPr>
            </w:pPr>
            <w:r>
              <w:rPr>
                <w:rFonts w:ascii="方正仿宋_GB2312" w:eastAsia="方正仿宋_GB2312" w:cs="方正仿宋_GB2312" w:hAnsi="方正仿宋_GB2312" w:hint="eastAsia"/>
                <w:b w:val="0"/>
                <w:bCs/>
                <w:color w:val="auto"/>
                <w:kern w:val="0"/>
                <w:sz w:val="32"/>
                <w:szCs w:val="32"/>
                <w:lang w:val="en-US" w:eastAsia="zh-CN"/>
                <w:highlight w:val="none"/>
              </w:rPr>
              <w:t>国有资本经营预算财政拨款支出决算表</w:t>
            </w:r>
          </w:p>
        </w:tc>
      </w:tr>
      <w:tr>
        <w:trPr>
          <w:trHeight w:val="300"/>
        </w:trPr>
        <w:tc>
          <w:tcPr>
            <w:tcW w:w="9428" w:type="dxa"/>
            <w:gridSpan w:val="9"/>
            <w:tcBorders>
              <w:top w:val="nil"/>
              <w:left w:val="nil"/>
              <w:bottom w:val="nil"/>
              <w:right w:val="nil"/>
            </w:tcBorders>
            <w:noWrap/>
            <w:vAlign w:val="bottom"/>
          </w:tcPr>
          <w:p>
            <w:pPr>
              <w:keepNext w:val="0"/>
              <w:keepLines w:val="0"/>
              <w:widowControl/>
              <w:suppressLineNumbers w:val="0"/>
              <w:jc w:val="right"/>
              <w:textAlignment w:val="bottom"/>
              <w:rPr>
                <w:rFonts w:ascii="宋体" w:eastAsia="宋体" w:cs="宋体" w:hAnsi="宋体"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公开</w:t>
            </w:r>
            <w:r>
              <w:rPr>
                <w:rFonts w:ascii="Times New Roman" w:eastAsia="方正仿宋_GB2312" w:cs="Times New Roman" w:hAnsi="Times New Roman"/>
                <w:i w:val="0"/>
                <w:iCs w:val="0"/>
                <w:color w:val="000000"/>
                <w:kern w:val="0"/>
                <w:sz w:val="20"/>
                <w:szCs w:val="20"/>
                <w:u w:val="none"/>
                <w:lang w:val="en-US" w:eastAsia="zh-CN"/>
                <w:highlight w:val="none"/>
              </w:rPr>
              <w:t>08</w:t>
            </w:r>
            <w:r>
              <w:rPr>
                <w:rFonts w:ascii="方正仿宋_GB2312" w:eastAsia="方正仿宋_GB2312" w:cs="方正仿宋_GB2312" w:hAnsi="方正仿宋_GB2312" w:hint="eastAsia"/>
                <w:i w:val="0"/>
                <w:iCs w:val="0"/>
                <w:color w:val="000000"/>
                <w:kern w:val="0"/>
                <w:sz w:val="20"/>
                <w:szCs w:val="20"/>
                <w:u w:val="none"/>
                <w:lang w:val="en-US" w:eastAsia="zh-CN"/>
                <w:highlight w:val="none"/>
              </w:rPr>
              <w:t>表</w:t>
            </w:r>
          </w:p>
        </w:tc>
      </w:tr>
      <w:tr>
        <w:trPr>
          <w:trHeight w:val="300"/>
        </w:trPr>
        <w:tc>
          <w:tcPr>
            <w:tcW w:w="3724" w:type="dxa"/>
            <w:gridSpan w:val="2"/>
            <w:tcBorders>
              <w:top w:val="nil"/>
              <w:left w:val="nil"/>
              <w:bottom w:val="single" w:sz="8" w:space="0" w:color="000000"/>
              <w:right w:val="nil"/>
            </w:tcBorders>
            <w:noWrap/>
            <w:vAlign w:val="bottom"/>
          </w:tcPr>
          <w:p>
            <w:pPr>
              <w:keepNext w:val="0"/>
              <w:keepLines w:val="0"/>
              <w:widowControl/>
              <w:suppressLineNumbers w:val="0"/>
              <w:jc w:val="both"/>
              <w:textAlignment w:val="bottom"/>
              <w:rPr>
                <w:rFonts w:ascii="宋体" w:eastAsia="宋体" w:cs="宋体" w:hAnsi="宋体"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部门（单位）：行唐县房地产管理所</w:t>
            </w:r>
          </w:p>
        </w:tc>
        <w:tc>
          <w:tcPr>
            <w:tcW w:w="2680" w:type="dxa"/>
            <w:gridSpan w:val="4"/>
            <w:tcBorders>
              <w:top w:val="nil"/>
              <w:left w:val="nil"/>
              <w:bottom w:val="single" w:sz="8" w:space="0" w:color="000000"/>
              <w:right w:val="nil"/>
            </w:tcBorders>
            <w:noWrap/>
            <w:vAlign w:val="bottom"/>
          </w:tcPr>
          <w:p>
            <w:pPr>
              <w:keepNext w:val="0"/>
              <w:keepLines w:val="0"/>
              <w:widowControl/>
              <w:suppressLineNumbers w:val="0"/>
              <w:jc w:val="center"/>
              <w:textAlignment w:val="bottom"/>
              <w:rPr>
                <w:rFonts w:ascii="宋体" w:eastAsia="宋体" w:cs="宋体" w:hAnsi="宋体"/>
                <w:i w:val="0"/>
                <w:iCs w:val="0"/>
                <w:color w:val="000000"/>
                <w:kern w:val="0"/>
                <w:sz w:val="20"/>
                <w:szCs w:val="20"/>
                <w:u w:val="none"/>
                <w:lang w:val="en-US" w:eastAsia="zh-CN"/>
                <w:highlight w:val="none"/>
              </w:rPr>
            </w:pPr>
            <w:r>
              <w:rPr>
                <w:rFonts w:ascii="Times New Roman" w:eastAsia="宋体" w:cs="Times New Roman" w:hAnsi="Times New Roman"/>
                <w:i w:val="0"/>
                <w:iCs w:val="0"/>
                <w:color w:val="000000"/>
                <w:kern w:val="0"/>
                <w:sz w:val="20"/>
                <w:szCs w:val="20"/>
                <w:u w:val="none"/>
                <w:lang w:val="en-US" w:eastAsia="zh-CN"/>
                <w:highlight w:val="none"/>
              </w:rPr>
              <w:t>202</w:t>
            </w:r>
            <w:r>
              <w:rPr>
                <w:rFonts w:ascii="Times New Roman" w:eastAsia="宋体" w:cs="Times New Roman" w:hAnsi="Times New Roman" w:hint="eastAsia"/>
                <w:i w:val="0"/>
                <w:iCs w:val="0"/>
                <w:color w:val="000000"/>
                <w:kern w:val="0"/>
                <w:sz w:val="20"/>
                <w:szCs w:val="20"/>
                <w:u w:val="none"/>
                <w:lang w:val="en-US" w:eastAsia="zh-CN"/>
                <w:highlight w:val="none"/>
              </w:rPr>
              <w:t>5</w:t>
            </w:r>
            <w:r>
              <w:rPr>
                <w:rFonts w:ascii="方正仿宋_GB2312" w:eastAsia="方正仿宋_GB2312" w:cs="方正仿宋_GB2312" w:hAnsi="方正仿宋_GB2312" w:hint="eastAsia"/>
                <w:i w:val="0"/>
                <w:iCs w:val="0"/>
                <w:color w:val="000000"/>
                <w:kern w:val="0"/>
                <w:sz w:val="20"/>
                <w:szCs w:val="20"/>
                <w:u w:val="none"/>
                <w:lang w:val="en-US" w:eastAsia="zh-CN"/>
                <w:highlight w:val="none"/>
              </w:rPr>
              <w:t>年度</w:t>
            </w:r>
          </w:p>
        </w:tc>
        <w:tc>
          <w:tcPr>
            <w:tcW w:w="3024" w:type="dxa"/>
            <w:gridSpan w:val="3"/>
            <w:tcBorders>
              <w:top w:val="nil"/>
              <w:left w:val="nil"/>
              <w:bottom w:val="single" w:sz="8" w:space="0" w:color="000000"/>
              <w:right w:val="nil"/>
            </w:tcBorders>
            <w:noWrap/>
            <w:vAlign w:val="bottom"/>
          </w:tcPr>
          <w:p>
            <w:pPr>
              <w:keepNext w:val="0"/>
              <w:keepLines w:val="0"/>
              <w:widowControl/>
              <w:suppressLineNumbers w:val="0"/>
              <w:jc w:val="right"/>
              <w:textAlignment w:val="bottom"/>
              <w:rPr>
                <w:rFonts w:ascii="宋体" w:eastAsia="宋体" w:cs="宋体" w:hAnsi="宋体"/>
                <w:i w:val="0"/>
                <w:iCs w:val="0"/>
                <w:color w:val="000000"/>
                <w:kern w:val="0"/>
                <w:sz w:val="20"/>
                <w:szCs w:val="20"/>
                <w:u w:val="none"/>
                <w:lang w:val="en-US" w:eastAsia="zh-CN"/>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金额单位：万元</w:t>
            </w:r>
          </w:p>
        </w:tc>
      </w:tr>
      <w:tr>
        <w:trPr>
          <w:trHeight w:val="312"/>
        </w:trPr>
        <w:tc>
          <w:tcPr>
            <w:tcW w:w="5020" w:type="dxa"/>
            <w:gridSpan w:val="3"/>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i w:val="0"/>
                <w:iCs w:val="0"/>
                <w:color w:val="000000"/>
                <w:sz w:val="20"/>
                <w:szCs w:val="20"/>
                <w:u w:val="none"/>
                <w:lang w:val="en-US" w:eastAsia="zh-CN"/>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 xml:space="preserve"> 项目</w:t>
            </w:r>
          </w:p>
        </w:tc>
        <w:tc>
          <w:tcPr>
            <w:tcW w:w="4408" w:type="dxa"/>
            <w:gridSpan w:val="6"/>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i w:val="0"/>
                <w:iCs w:val="0"/>
                <w:color w:val="000000"/>
                <w:sz w:val="20"/>
                <w:szCs w:val="20"/>
                <w:u w:val="none"/>
                <w:lang w:val="en-US" w:eastAsia="zh-CN"/>
                <w:highlight w:val="none"/>
              </w:rPr>
            </w:pPr>
            <w:r>
              <w:rPr>
                <w:rFonts w:ascii="方正仿宋_GB2312" w:eastAsia="方正仿宋_GB2312" w:cs="方正仿宋_GB2312" w:hAnsi="方正仿宋_GB2312" w:hint="eastAsia"/>
                <w:i w:val="0"/>
                <w:iCs w:val="0"/>
                <w:color w:val="000000"/>
                <w:sz w:val="20"/>
                <w:szCs w:val="20"/>
                <w:u w:val="none"/>
                <w:lang w:val="en-US" w:eastAsia="zh-CN"/>
                <w:highlight w:val="none"/>
              </w:rPr>
              <w:t>本年支出</w:t>
            </w:r>
          </w:p>
        </w:tc>
      </w:tr>
      <w:tr>
        <w:trPr>
          <w:trHeight w:val="312"/>
        </w:trPr>
        <w:tc>
          <w:tcPr>
            <w:tcW w:w="5020" w:type="dxa"/>
            <w:gridSpan w:val="3"/>
            <w:vMerge/>
            <w:tcBorders>
              <w:top w:val="single" w:sz="8" w:space="0" w:color="000000"/>
              <w:left w:val="single" w:sz="8" w:space="0" w:color="000000"/>
              <w:bottom w:val="single" w:sz="8" w:space="0" w:color="000000"/>
              <w:right w:val="single" w:sz="8" w:space="0" w:color="000000"/>
            </w:tcBorders>
            <w:vAlign w:val="center"/>
          </w:tcPr>
          <w:p/>
        </w:tc>
        <w:tc>
          <w:tcPr>
            <w:tcW w:w="4408" w:type="dxa"/>
            <w:gridSpan w:val="6"/>
            <w:vMerge/>
            <w:tcBorders>
              <w:top w:val="single" w:sz="8" w:space="0" w:color="000000"/>
              <w:left w:val="single" w:sz="8" w:space="0" w:color="000000"/>
              <w:bottom w:val="single" w:sz="8" w:space="0" w:color="000000"/>
              <w:right w:val="single" w:sz="8" w:space="0" w:color="000000"/>
            </w:tcBorders>
            <w:vAlign w:val="center"/>
          </w:tcPr>
          <w:p/>
        </w:tc>
      </w:tr>
      <w:tr>
        <w:trPr>
          <w:trHeight w:val="312"/>
        </w:trPr>
        <w:tc>
          <w:tcPr>
            <w:tcW w:w="2993" w:type="dxa"/>
            <w:vMerge w:val="restart"/>
            <w:tcBorders>
              <w:top w:val="single" w:sz="8" w:space="0" w:color="000000"/>
              <w:left w:val="single" w:sz="8" w:space="0" w:color="000000"/>
              <w:bottom w:val="single" w:sz="8" w:space="0" w:color="000000"/>
              <w:right w:val="single" w:sz="8" w:space="0" w:color="000000"/>
            </w:tcBorders>
            <w:vAlign w:val="center"/>
          </w:tcPr>
          <w:p>
            <w:pPr>
              <w:jc w:val="center"/>
              <w:rPr>
                <w:rFonts w:ascii="方正仿宋_GB2312" w:eastAsia="方正仿宋_GB2312" w:cs="方正仿宋_GB2312" w:hAnsi="方正仿宋_GB2312"/>
                <w:i w:val="0"/>
                <w:iCs w:val="0"/>
                <w:color w:val="000000"/>
                <w:sz w:val="20"/>
                <w:szCs w:val="20"/>
                <w:u w:val="none"/>
                <w:lang w:val="en-US" w:eastAsia="zh-CN"/>
                <w:highlight w:val="none"/>
              </w:rPr>
            </w:pPr>
            <w:r>
              <w:rPr>
                <w:rFonts w:ascii="方正仿宋_GB2312" w:eastAsia="方正仿宋_GB2312" w:cs="方正仿宋_GB2312" w:hAnsi="方正仿宋_GB2312" w:hint="eastAsia"/>
                <w:i w:val="0"/>
                <w:iCs w:val="0"/>
                <w:color w:val="000000"/>
                <w:sz w:val="20"/>
                <w:szCs w:val="20"/>
                <w:u w:val="none"/>
                <w:lang w:val="en-US" w:eastAsia="zh-CN"/>
                <w:highlight w:val="none"/>
              </w:rPr>
              <w:t>科目代码</w:t>
            </w:r>
          </w:p>
        </w:tc>
        <w:tc>
          <w:tcPr>
            <w:tcW w:w="2027" w:type="dxa"/>
            <w:gridSpan w:val="2"/>
            <w:vMerge w:val="restart"/>
            <w:tcBorders>
              <w:top w:val="single" w:sz="8" w:space="0" w:color="000000"/>
              <w:left w:val="single" w:sz="8" w:space="0" w:color="000000"/>
              <w:bottom w:val="single" w:sz="8" w:space="0" w:color="000000"/>
              <w:right w:val="single" w:sz="8" w:space="0" w:color="000000"/>
            </w:tcBorders>
            <w:vAlign w:val="center"/>
          </w:tcPr>
          <w:p>
            <w:pPr>
              <w:jc w:val="center"/>
              <w:rPr>
                <w:rFonts w:ascii="方正仿宋_GB2312" w:eastAsia="方正仿宋_GB2312" w:cs="方正仿宋_GB2312" w:hAnsi="方正仿宋_GB2312"/>
                <w:i w:val="0"/>
                <w:iCs w:val="0"/>
                <w:color w:val="000000"/>
                <w:sz w:val="20"/>
                <w:szCs w:val="20"/>
                <w:u w:val="none"/>
                <w:lang w:val="en-US" w:eastAsia="zh-CN"/>
                <w:highlight w:val="none"/>
              </w:rPr>
            </w:pPr>
            <w:r>
              <w:rPr>
                <w:rFonts w:ascii="方正仿宋_GB2312" w:eastAsia="方正仿宋_GB2312" w:cs="方正仿宋_GB2312" w:hAnsi="方正仿宋_GB2312" w:hint="eastAsia"/>
                <w:i w:val="0"/>
                <w:iCs w:val="0"/>
                <w:color w:val="000000"/>
                <w:sz w:val="20"/>
                <w:szCs w:val="20"/>
                <w:u w:val="none"/>
                <w:lang w:val="en-US" w:eastAsia="zh-CN"/>
                <w:highlight w:val="none"/>
              </w:rPr>
              <w:t>科目名称</w:t>
            </w:r>
          </w:p>
        </w:tc>
        <w:tc>
          <w:tcPr>
            <w:tcW w:w="1337" w:type="dxa"/>
            <w:gridSpan w:val="2"/>
            <w:vMerge w:val="restart"/>
            <w:tcBorders>
              <w:top w:val="single" w:sz="8" w:space="0" w:color="000000"/>
              <w:left w:val="single" w:sz="8" w:space="0" w:color="000000"/>
              <w:bottom w:val="single" w:sz="8" w:space="0" w:color="000000"/>
              <w:right w:val="single" w:sz="8" w:space="0" w:color="000000"/>
            </w:tcBorders>
            <w:vAlign w:val="center"/>
          </w:tcPr>
          <w:p>
            <w:pPr>
              <w:jc w:val="center"/>
              <w:rPr>
                <w:rFonts w:ascii="方正仿宋_GB2312" w:eastAsia="方正仿宋_GB2312" w:cs="方正仿宋_GB2312" w:hAnsi="方正仿宋_GB2312" w:hint="eastAsia"/>
                <w:i w:val="0"/>
                <w:iCs w:val="0"/>
                <w:color w:val="000000"/>
                <w:sz w:val="20"/>
                <w:szCs w:val="20"/>
                <w:u w:val="none"/>
                <w:lang w:val="en-US" w:eastAsia="zh-CN"/>
                <w:highlight w:val="none"/>
              </w:rPr>
            </w:pPr>
            <w:r>
              <w:rPr>
                <w:rFonts w:ascii="方正仿宋_GB2312" w:eastAsia="方正仿宋_GB2312" w:cs="方正仿宋_GB2312" w:hAnsi="方正仿宋_GB2312" w:hint="eastAsia"/>
                <w:i w:val="0"/>
                <w:iCs w:val="0"/>
                <w:color w:val="000000"/>
                <w:sz w:val="20"/>
                <w:szCs w:val="20"/>
                <w:u w:val="none"/>
                <w:lang w:val="en-US" w:eastAsia="zh-CN"/>
                <w:highlight w:val="none"/>
              </w:rPr>
              <w:t>合计</w:t>
            </w:r>
          </w:p>
        </w:tc>
        <w:tc>
          <w:tcPr>
            <w:tcW w:w="1338" w:type="dxa"/>
            <w:gridSpan w:val="3"/>
            <w:vMerge w:val="restart"/>
            <w:tcBorders>
              <w:top w:val="single" w:sz="8" w:space="0" w:color="000000"/>
              <w:left w:val="single" w:sz="8" w:space="0" w:color="000000"/>
              <w:bottom w:val="single" w:sz="8" w:space="0" w:color="000000"/>
              <w:right w:val="single" w:sz="8" w:space="0" w:color="000000"/>
            </w:tcBorders>
            <w:vAlign w:val="center"/>
          </w:tcPr>
          <w:p>
            <w:pPr>
              <w:jc w:val="center"/>
              <w:rPr>
                <w:rFonts w:ascii="方正仿宋_GB2312" w:eastAsia="方正仿宋_GB2312" w:cs="方正仿宋_GB2312" w:hAnsi="方正仿宋_GB2312"/>
                <w:i w:val="0"/>
                <w:iCs w:val="0"/>
                <w:color w:val="000000"/>
                <w:sz w:val="20"/>
                <w:szCs w:val="20"/>
                <w:u w:val="none"/>
                <w:lang w:val="en-US" w:eastAsia="zh-CN"/>
                <w:highlight w:val="none"/>
              </w:rPr>
            </w:pPr>
            <w:r>
              <w:rPr>
                <w:rFonts w:ascii="方正仿宋_GB2312" w:eastAsia="方正仿宋_GB2312" w:cs="方正仿宋_GB2312" w:hAnsi="方正仿宋_GB2312" w:hint="eastAsia"/>
                <w:i w:val="0"/>
                <w:iCs w:val="0"/>
                <w:color w:val="000000"/>
                <w:sz w:val="20"/>
                <w:szCs w:val="20"/>
                <w:u w:val="none"/>
                <w:lang w:val="en-US" w:eastAsia="zh-CN"/>
                <w:highlight w:val="none"/>
              </w:rPr>
              <w:t>基本支出</w:t>
            </w:r>
          </w:p>
        </w:tc>
        <w:tc>
          <w:tcPr>
            <w:tcW w:w="1733" w:type="dxa"/>
            <w:vMerge w:val="restart"/>
            <w:tcBorders>
              <w:top w:val="single" w:sz="8" w:space="0" w:color="000000"/>
              <w:left w:val="single" w:sz="8" w:space="0" w:color="000000"/>
              <w:bottom w:val="single" w:sz="8" w:space="0" w:color="000000"/>
              <w:right w:val="single" w:sz="4" w:space="0" w:color="000000"/>
            </w:tcBorders>
            <w:vAlign w:val="center"/>
          </w:tcPr>
          <w:p>
            <w:pPr>
              <w:jc w:val="center"/>
              <w:rPr>
                <w:rFonts w:ascii="方正仿宋_GB2312" w:eastAsia="方正仿宋_GB2312" w:cs="方正仿宋_GB2312" w:hAnsi="方正仿宋_GB2312"/>
                <w:i w:val="0"/>
                <w:iCs w:val="0"/>
                <w:color w:val="000000"/>
                <w:sz w:val="20"/>
                <w:szCs w:val="20"/>
                <w:u w:val="none"/>
                <w:lang w:val="en-US" w:eastAsia="zh-CN"/>
                <w:highlight w:val="none"/>
              </w:rPr>
            </w:pPr>
            <w:r>
              <w:rPr>
                <w:rFonts w:ascii="方正仿宋_GB2312" w:eastAsia="方正仿宋_GB2312" w:cs="方正仿宋_GB2312" w:hAnsi="方正仿宋_GB2312" w:hint="eastAsia"/>
                <w:i w:val="0"/>
                <w:iCs w:val="0"/>
                <w:color w:val="000000"/>
                <w:sz w:val="20"/>
                <w:szCs w:val="20"/>
                <w:u w:val="none"/>
                <w:lang w:val="en-US" w:eastAsia="zh-CN"/>
                <w:highlight w:val="none"/>
              </w:rPr>
              <w:t>项目支出</w:t>
            </w:r>
          </w:p>
        </w:tc>
      </w:tr>
      <w:tr>
        <w:trPr>
          <w:trHeight w:val="312"/>
        </w:trPr>
        <w:tc>
          <w:tcPr>
            <w:tcW w:w="2993" w:type="dxa"/>
            <w:vMerge/>
            <w:tcBorders>
              <w:top w:val="single" w:sz="8" w:space="0" w:color="000000"/>
              <w:left w:val="single" w:sz="8" w:space="0" w:color="000000"/>
              <w:bottom w:val="single" w:sz="8" w:space="0" w:color="000000"/>
              <w:right w:val="single" w:sz="8" w:space="0" w:color="000000"/>
            </w:tcBorders>
            <w:vAlign w:val="center"/>
          </w:tcPr>
          <w:p/>
        </w:tc>
        <w:tc>
          <w:tcPr>
            <w:tcW w:w="2027"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337"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338" w:type="dxa"/>
            <w:gridSpan w:val="3"/>
            <w:vMerge/>
            <w:tcBorders>
              <w:top w:val="single" w:sz="8" w:space="0" w:color="000000"/>
              <w:left w:val="single" w:sz="8" w:space="0" w:color="000000"/>
              <w:bottom w:val="single" w:sz="8" w:space="0" w:color="000000"/>
              <w:right w:val="single" w:sz="8" w:space="0" w:color="000000"/>
            </w:tcBorders>
            <w:vAlign w:val="center"/>
          </w:tcPr>
          <w:p/>
        </w:tc>
        <w:tc>
          <w:tcPr>
            <w:tcW w:w="1733" w:type="dxa"/>
            <w:vMerge/>
            <w:tcBorders>
              <w:top w:val="single" w:sz="8" w:space="0" w:color="000000"/>
              <w:left w:val="single" w:sz="8" w:space="0" w:color="000000"/>
              <w:bottom w:val="single" w:sz="8" w:space="0" w:color="000000"/>
              <w:right w:val="single" w:sz="4" w:space="0" w:color="000000"/>
            </w:tcBorders>
            <w:vAlign w:val="center"/>
          </w:tcPr>
          <w:p/>
        </w:tc>
      </w:tr>
      <w:tr>
        <w:trPr>
          <w:trHeight w:val="308"/>
        </w:trPr>
        <w:tc>
          <w:tcPr>
            <w:tcW w:w="5020" w:type="dxa"/>
            <w:gridSpan w:val="3"/>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方正仿宋_GB2312" w:cs="Times New Roman" w:hAnsi="Times New Roman" w:hint="eastAsia"/>
                <w:i w:val="0"/>
                <w:iCs w:val="0"/>
                <w:color w:val="000000"/>
                <w:sz w:val="20"/>
                <w:szCs w:val="20"/>
                <w:u w:val="none"/>
                <w:lang w:val="en-US" w:eastAsia="zh-CN"/>
                <w:highlight w:val="none"/>
              </w:rPr>
            </w:pPr>
            <w:r>
              <w:rPr>
                <w:rFonts w:ascii="Times New Roman" w:eastAsia="方正仿宋_GB2312" w:cs="Times New Roman" w:hAnsi="Times New Roman" w:hint="eastAsia"/>
                <w:i w:val="0"/>
                <w:iCs w:val="0"/>
                <w:color w:val="000000"/>
                <w:sz w:val="20"/>
                <w:szCs w:val="20"/>
                <w:u w:val="none"/>
                <w:lang w:val="en-US" w:eastAsia="zh-CN"/>
                <w:highlight w:val="none"/>
              </w:rPr>
              <w:t>栏次</w:t>
            </w:r>
          </w:p>
        </w:tc>
        <w:tc>
          <w:tcPr>
            <w:tcW w:w="1332"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方正仿宋_GB2312" w:cs="Times New Roman" w:hAnsi="Times New Roman" w:hint="eastAsia"/>
                <w:i w:val="0"/>
                <w:iCs w:val="0"/>
                <w:color w:val="000000"/>
                <w:sz w:val="20"/>
                <w:szCs w:val="20"/>
                <w:u w:val="none"/>
                <w:lang w:val="en-US" w:eastAsia="zh-CN"/>
                <w:highlight w:val="none"/>
              </w:rPr>
            </w:pPr>
            <w:r>
              <w:rPr>
                <w:rFonts w:ascii="Times New Roman" w:eastAsia="方正仿宋_GB2312" w:cs="Times New Roman" w:hAnsi="Times New Roman" w:hint="eastAsia"/>
                <w:i w:val="0"/>
                <w:iCs w:val="0"/>
                <w:color w:val="000000"/>
                <w:sz w:val="20"/>
                <w:szCs w:val="20"/>
                <w:u w:val="none"/>
                <w:lang w:val="en-US" w:eastAsia="zh-CN"/>
                <w:highlight w:val="none"/>
              </w:rPr>
              <w:t>1</w:t>
            </w:r>
          </w:p>
        </w:tc>
        <w:tc>
          <w:tcPr>
            <w:tcW w:w="1333" w:type="dxa"/>
            <w:gridSpan w:val="3"/>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方正仿宋_GB2312" w:cs="Times New Roman" w:hAnsi="Times New Roman" w:hint="eastAsia"/>
                <w:i w:val="0"/>
                <w:iCs w:val="0"/>
                <w:color w:val="000000"/>
                <w:sz w:val="20"/>
                <w:szCs w:val="20"/>
                <w:u w:val="none"/>
                <w:lang w:val="en-US" w:eastAsia="zh-CN"/>
                <w:highlight w:val="none"/>
              </w:rPr>
            </w:pPr>
            <w:r>
              <w:rPr>
                <w:rFonts w:ascii="Times New Roman" w:eastAsia="方正仿宋_GB2312" w:cs="Times New Roman" w:hAnsi="Times New Roman" w:hint="eastAsia"/>
                <w:i w:val="0"/>
                <w:iCs w:val="0"/>
                <w:color w:val="000000"/>
                <w:sz w:val="20"/>
                <w:szCs w:val="20"/>
                <w:u w:val="none"/>
                <w:lang w:val="en-US" w:eastAsia="zh-CN"/>
                <w:highlight w:val="none"/>
              </w:rPr>
              <w:t>2</w:t>
            </w:r>
          </w:p>
        </w:tc>
        <w:tc>
          <w:tcPr>
            <w:tcW w:w="1743" w:type="dxa"/>
            <w:gridSpan w:val="2"/>
            <w:tcBorders>
              <w:top w:val="single" w:sz="8" w:space="0" w:color="000000"/>
              <w:left w:val="single" w:sz="8" w:space="0" w:color="000000"/>
              <w:bottom w:val="single" w:sz="8" w:space="0" w:color="000000"/>
              <w:right w:val="single" w:sz="4" w:space="0" w:color="000000"/>
            </w:tcBorders>
            <w:noWrap/>
            <w:vAlign w:val="center"/>
          </w:tcPr>
          <w:p>
            <w:pPr>
              <w:keepNext w:val="0"/>
              <w:keepLines w:val="0"/>
              <w:widowControl/>
              <w:suppressLineNumbers w:val="0"/>
              <w:jc w:val="center"/>
              <w:textAlignment w:val="center"/>
              <w:rPr>
                <w:rFonts w:ascii="Times New Roman" w:eastAsia="方正仿宋_GB2312" w:cs="Times New Roman" w:hAnsi="Times New Roman" w:hint="eastAsia"/>
                <w:i w:val="0"/>
                <w:iCs w:val="0"/>
                <w:color w:val="000000"/>
                <w:sz w:val="20"/>
                <w:szCs w:val="20"/>
                <w:u w:val="none"/>
                <w:lang w:val="en-US" w:eastAsia="zh-CN"/>
                <w:highlight w:val="none"/>
              </w:rPr>
            </w:pPr>
            <w:r>
              <w:rPr>
                <w:rFonts w:ascii="Times New Roman" w:eastAsia="方正仿宋_GB2312" w:cs="Times New Roman" w:hAnsi="Times New Roman" w:hint="eastAsia"/>
                <w:i w:val="0"/>
                <w:iCs w:val="0"/>
                <w:color w:val="000000"/>
                <w:sz w:val="20"/>
                <w:szCs w:val="20"/>
                <w:u w:val="none"/>
                <w:lang w:val="en-US" w:eastAsia="zh-CN"/>
                <w:highlight w:val="none"/>
              </w:rPr>
              <w:t>3</w:t>
            </w:r>
          </w:p>
        </w:tc>
      </w:tr>
      <w:tr>
        <w:trPr>
          <w:trHeight w:val="308"/>
        </w:trPr>
        <w:tc>
          <w:tcPr>
            <w:tcW w:w="5020" w:type="dxa"/>
            <w:gridSpan w:val="3"/>
            <w:tcBorders>
              <w:top w:val="single" w:sz="8" w:space="0" w:color="000000"/>
              <w:left w:val="single" w:sz="8" w:space="0" w:color="000000"/>
              <w:bottom w:val="single" w:sz="8" w:space="0" w:color="000000"/>
              <w:right w:val="single" w:sz="8" w:space="0" w:color="000000"/>
            </w:tcBorders>
            <w:noWrap/>
            <w:vAlign w:val="center"/>
          </w:tcPr>
          <w:p>
            <w:pPr>
              <w:jc w:val="center"/>
              <w:rPr>
                <w:rFonts w:ascii="Times New Roman" w:eastAsia="宋体" w:cs="Times New Roman" w:hAnsi="Times New Roman"/>
                <w:i w:val="0"/>
                <w:iCs w:val="0"/>
                <w:color w:val="000000"/>
                <w:sz w:val="20"/>
                <w:szCs w:val="20"/>
                <w:u w:val="none"/>
                <w:lang w:val="en-US" w:eastAsia="zh-CN"/>
                <w:highlight w:val="none"/>
              </w:rPr>
            </w:pPr>
            <w:r>
              <w:rPr>
                <w:rFonts w:ascii="Times New Roman" w:eastAsia="方正仿宋_GB2312" w:cs="Times New Roman" w:hAnsi="Times New Roman" w:hint="eastAsia"/>
                <w:i w:val="0"/>
                <w:iCs w:val="0"/>
                <w:color w:val="000000"/>
                <w:sz w:val="20"/>
                <w:szCs w:val="20"/>
                <w:u w:val="none"/>
                <w:lang w:val="en-US" w:eastAsia="zh-CN"/>
                <w:highlight w:val="none"/>
              </w:rPr>
              <w:t>合计</w:t>
            </w:r>
          </w:p>
        </w:tc>
        <w:tc>
          <w:tcPr>
            <w:tcW w:w="1332"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333" w:type="dxa"/>
            <w:gridSpan w:val="3"/>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c>
          <w:tcPr>
            <w:tcW w:w="1743" w:type="dxa"/>
            <w:gridSpan w:val="2"/>
            <w:tcBorders>
              <w:top w:val="single" w:sz="8" w:space="0" w:color="000000"/>
              <w:left w:val="single" w:sz="8" w:space="0" w:color="000000"/>
              <w:bottom w:val="single" w:sz="8"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none"/>
              </w:rPr>
            </w:pPr>
          </w:p>
        </w:tc>
      </w:tr>
      <w:tr>
        <w:trPr>
          <w:trHeight w:val="308"/>
        </w:trPr>
        <w:tc>
          <w:tcPr>
            <w:tcW w:w="9428" w:type="dxa"/>
            <w:gridSpan w:val="9"/>
            <w:tcBorders>
              <w:top w:val="single" w:sz="8" w:space="0" w:color="000000"/>
              <w:left w:val="nil"/>
              <w:bottom w:val="nil"/>
              <w:right w:val="nil"/>
            </w:tcBorders>
            <w:noWrap/>
            <w:vAlign w:val="center"/>
          </w:tcPr>
          <w:p>
            <w:pPr>
              <w:keepNext w:val="0"/>
              <w:keepLines w:val="0"/>
              <w:widowControl/>
              <w:suppressLineNumbers w:val="0"/>
              <w:jc w:val="left"/>
              <w:textAlignment w:val="center"/>
              <w:rPr>
                <w:rFonts w:ascii="宋体" w:eastAsia="宋体" w:cs="宋体" w:hAnsi="宋体" w:hint="eastAsia"/>
                <w:i w:val="0"/>
                <w:iCs w:val="0"/>
                <w:color w:val="000000"/>
                <w:sz w:val="20"/>
                <w:szCs w:val="20"/>
                <w:u w:val="none"/>
                <w:highlight w:val="none"/>
              </w:rPr>
            </w:pPr>
            <w:r>
              <w:rPr>
                <w:rFonts w:ascii="方正仿宋_GB2312" w:eastAsia="方正仿宋_GB2312" w:cs="方正仿宋_GB2312" w:hAnsi="方正仿宋_GB2312" w:hint="eastAsia"/>
                <w:i w:val="0"/>
                <w:iCs w:val="0"/>
                <w:color w:val="000000"/>
                <w:kern w:val="0"/>
                <w:sz w:val="20"/>
                <w:szCs w:val="20"/>
                <w:u w:val="none"/>
                <w:lang w:val="en-US" w:eastAsia="zh-CN"/>
                <w:highlight w:val="none"/>
              </w:rPr>
              <w:t>注：本表反映部门本年度国有资本经营预算财政拨款支出情况。（如无相关数据，则需注明空表列示）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ascii="仿宋_GB2312" w:eastAsia="仿宋_GB2312" w:hAnsi="宋体" w:hint="eastAsia"/>
          <w:b/>
          <w:color w:val="auto"/>
          <w:kern w:val="0"/>
          <w:sz w:val="32"/>
          <w:szCs w:val="32"/>
          <w:highlight w:val="none"/>
        </w:rPr>
      </w:pPr>
    </w:p>
    <w:p>
      <w:pPr>
        <w:rPr>
          <w:rFonts w:ascii="仿宋_GB2312" w:eastAsia="仿宋_GB2312" w:hAnsi="宋体" w:hint="eastAsia"/>
          <w:b/>
          <w:color w:val="auto"/>
          <w:kern w:val="0"/>
          <w:sz w:val="32"/>
          <w:szCs w:val="32"/>
          <w:highlight w:val="none"/>
        </w:rPr>
      </w:pPr>
      <w:r>
        <w:rPr>
          <w:rFonts w:ascii="仿宋_GB2312" w:eastAsia="仿宋_GB2312" w:hAnsi="宋体" w:hint="eastAsia"/>
          <w:b/>
          <w:color w:val="auto"/>
          <w:kern w:val="0"/>
          <w:sz w:val="32"/>
          <w:szCs w:val="32"/>
          <w:highlight w:val="none"/>
        </w:rPr>
        <w:br w:type="page"/>
      </w:r>
    </w:p>
    <w:tbl>
      <w:tblPr>
        <w:tblpPr w:leftFromText="180" w:rightFromText="180" w:vertAnchor="text" w:horzAnchor="page" w:tblpX="282" w:tblpY="39"/>
        <w:tblOverlap w:val="never"/>
        <w:tblW w:w="11596"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Look w:val="0600" w:firstRow="0" w:lastRow="0" w:firstColumn="0" w:lastColumn="0" w:noHBand="1" w:noVBand="1"/>
      </w:tblPr>
      <w:tblGrid>
        <w:gridCol w:w="987"/>
        <w:gridCol w:w="1226"/>
        <w:gridCol w:w="814"/>
        <w:gridCol w:w="946"/>
        <w:gridCol w:w="519"/>
        <w:gridCol w:w="544"/>
        <w:gridCol w:w="777"/>
        <w:gridCol w:w="845"/>
        <w:gridCol w:w="5"/>
        <w:gridCol w:w="1133"/>
        <w:gridCol w:w="640"/>
        <w:gridCol w:w="1027"/>
        <w:gridCol w:w="946"/>
        <w:gridCol w:w="1187"/>
      </w:tblGrid>
      <w:tr>
        <w:trPr>
          <w:trHeight w:val="550"/>
        </w:trPr>
        <w:tc>
          <w:tcPr>
            <w:tcW w:w="11596" w:type="dxa"/>
            <w:gridSpan w:val="14"/>
            <w:tcBorders>
              <w:top w:val="nil"/>
              <w:left w:val="nil"/>
              <w:bottom w:val="nil"/>
              <w:right w:val="nil"/>
            </w:tcBorders>
            <w:noWrap/>
            <w:vAlign w:val="bottom"/>
          </w:tcPr>
          <w:p>
            <w:pPr>
              <w:keepNext w:val="0"/>
              <w:keepLines w:val="0"/>
              <w:widowControl/>
              <w:suppressLineNumbers w:val="0"/>
              <w:jc w:val="center"/>
              <w:textAlignment w:val="bottom"/>
              <w:rPr>
                <w:rFonts w:ascii="宋体" w:eastAsia="宋体" w:cs="宋体" w:hAnsi="宋体" w:hint="eastAsia"/>
                <w:i w:val="0"/>
                <w:iCs w:val="0"/>
                <w:color w:val="000000"/>
                <w:sz w:val="18"/>
                <w:szCs w:val="18"/>
                <w:u w:val="none"/>
                <w:highlight w:val="none"/>
              </w:rPr>
            </w:pPr>
            <w:r>
              <w:rPr>
                <w:rFonts w:ascii="方正仿宋_GB2312" w:eastAsia="方正仿宋_GB2312" w:cs="方正仿宋_GB2312" w:hAnsi="方正仿宋_GB2312" w:hint="eastAsia"/>
                <w:b w:val="0"/>
                <w:bCs/>
                <w:color w:val="auto"/>
                <w:kern w:val="0"/>
                <w:sz w:val="32"/>
                <w:szCs w:val="32"/>
                <w:lang w:val="en-US" w:eastAsia="zh-CN"/>
                <w:highlight w:val="none"/>
              </w:rPr>
              <w:t>财政拨款“三公”经费支出决算表</w:t>
            </w:r>
          </w:p>
        </w:tc>
      </w:tr>
      <w:tr>
        <w:trPr>
          <w:trHeight w:val="260"/>
        </w:trPr>
        <w:tc>
          <w:tcPr>
            <w:tcW w:w="11596" w:type="dxa"/>
            <w:gridSpan w:val="14"/>
            <w:tcBorders>
              <w:top w:val="nil"/>
              <w:left w:val="nil"/>
              <w:bottom w:val="nil"/>
              <w:right w:val="nil"/>
            </w:tcBorders>
            <w:noWrap/>
            <w:vAlign w:val="bottom"/>
          </w:tcPr>
          <w:p>
            <w:pPr>
              <w:keepNext w:val="0"/>
              <w:keepLines w:val="0"/>
              <w:widowControl/>
              <w:suppressLineNumbers w:val="0"/>
              <w:jc w:val="right"/>
              <w:textAlignment w:val="bottom"/>
              <w:rPr>
                <w:rFonts w:ascii="宋体" w:eastAsia="宋体" w:cs="宋体" w:hAnsi="宋体" w:hint="eastAsia"/>
                <w:i w:val="0"/>
                <w:iCs w:val="0"/>
                <w:color w:val="000000"/>
                <w:sz w:val="18"/>
                <w:szCs w:val="18"/>
                <w:u w:val="none"/>
                <w:highlight w:val="none"/>
              </w:rPr>
            </w:pPr>
            <w:r>
              <w:rPr>
                <w:rFonts w:ascii="方正仿宋_GB2312" w:eastAsia="方正仿宋_GB2312" w:cs="方正仿宋_GB2312" w:hAnsi="方正仿宋_GB2312" w:hint="eastAsia"/>
                <w:i w:val="0"/>
                <w:iCs w:val="0"/>
                <w:color w:val="000000"/>
                <w:kern w:val="0"/>
                <w:sz w:val="18"/>
                <w:szCs w:val="18"/>
                <w:u w:val="none"/>
                <w:lang w:val="en-US" w:eastAsia="zh-CN"/>
                <w:highlight w:val="none"/>
              </w:rPr>
              <w:t>公开</w:t>
            </w:r>
            <w:r>
              <w:rPr>
                <w:rFonts w:ascii="Times New Roman" w:eastAsia="方正仿宋_GB2312" w:cs="Times New Roman" w:hAnsi="Times New Roman"/>
                <w:i w:val="0"/>
                <w:iCs w:val="0"/>
                <w:color w:val="000000"/>
                <w:kern w:val="0"/>
                <w:sz w:val="18"/>
                <w:szCs w:val="18"/>
                <w:u w:val="none"/>
                <w:lang w:val="en-US" w:eastAsia="zh-CN"/>
                <w:highlight w:val="none"/>
              </w:rPr>
              <w:t>09</w:t>
            </w:r>
            <w:r>
              <w:rPr>
                <w:rFonts w:ascii="方正仿宋_GB2312" w:eastAsia="方正仿宋_GB2312" w:cs="方正仿宋_GB2312" w:hAnsi="方正仿宋_GB2312" w:hint="eastAsia"/>
                <w:i w:val="0"/>
                <w:iCs w:val="0"/>
                <w:color w:val="000000"/>
                <w:kern w:val="0"/>
                <w:sz w:val="18"/>
                <w:szCs w:val="18"/>
                <w:u w:val="none"/>
                <w:lang w:val="en-US" w:eastAsia="zh-CN"/>
                <w:highlight w:val="none"/>
              </w:rPr>
              <w:t>表</w:t>
            </w:r>
          </w:p>
        </w:tc>
      </w:tr>
      <w:tr>
        <w:trPr>
          <w:trHeight w:val="260"/>
        </w:trPr>
        <w:tc>
          <w:tcPr>
            <w:tcW w:w="4492" w:type="dxa"/>
            <w:gridSpan w:val="5"/>
            <w:tcBorders>
              <w:top w:val="nil"/>
              <w:left w:val="nil"/>
              <w:bottom w:val="single" w:sz="8" w:space="0" w:color="000000"/>
              <w:right w:val="nil"/>
            </w:tcBorders>
            <w:noWrap/>
            <w:vAlign w:val="bottom"/>
          </w:tcPr>
          <w:p>
            <w:pPr>
              <w:keepNext w:val="0"/>
              <w:keepLines w:val="0"/>
              <w:widowControl/>
              <w:suppressLineNumbers w:val="0"/>
              <w:jc w:val="left"/>
              <w:textAlignment w:val="bottom"/>
              <w:rPr>
                <w:rFonts w:ascii="宋体" w:eastAsia="宋体" w:cs="宋体" w:hAnsi="宋体" w:hint="eastAsia"/>
                <w:i w:val="0"/>
                <w:iCs w:val="0"/>
                <w:color w:val="000000"/>
                <w:sz w:val="18"/>
                <w:szCs w:val="18"/>
                <w:u w:val="none"/>
                <w:highlight w:val="none"/>
              </w:rPr>
            </w:pPr>
            <w:r>
              <w:rPr>
                <w:rFonts w:ascii="方正仿宋_GB2312" w:eastAsia="方正仿宋_GB2312" w:cs="方正仿宋_GB2312" w:hAnsi="方正仿宋_GB2312" w:hint="eastAsia"/>
                <w:i w:val="0"/>
                <w:iCs w:val="0"/>
                <w:color w:val="000000"/>
                <w:kern w:val="0"/>
                <w:sz w:val="18"/>
                <w:szCs w:val="18"/>
                <w:u w:val="none"/>
                <w:lang w:val="en-US" w:eastAsia="zh-CN"/>
                <w:highlight w:val="none"/>
              </w:rPr>
              <w:t>部门（单位）：行唐县房地产管理所</w:t>
            </w:r>
          </w:p>
        </w:tc>
        <w:tc>
          <w:tcPr>
            <w:tcW w:w="2166" w:type="dxa"/>
            <w:gridSpan w:val="3"/>
            <w:tcBorders>
              <w:top w:val="nil"/>
              <w:left w:val="nil"/>
              <w:bottom w:val="single" w:sz="8" w:space="0" w:color="000000"/>
              <w:right w:val="nil"/>
            </w:tcBorders>
            <w:noWrap/>
            <w:vAlign w:val="bottom"/>
          </w:tcPr>
          <w:p>
            <w:pPr>
              <w:keepNext w:val="0"/>
              <w:keepLines w:val="0"/>
              <w:widowControl/>
              <w:suppressLineNumbers w:val="0"/>
              <w:jc w:val="center"/>
              <w:textAlignment w:val="bottom"/>
              <w:rPr>
                <w:rFonts w:ascii="宋体" w:eastAsia="宋体" w:cs="宋体" w:hAnsi="宋体"/>
                <w:i w:val="0"/>
                <w:iCs w:val="0"/>
                <w:color w:val="000000"/>
                <w:kern w:val="0"/>
                <w:sz w:val="18"/>
                <w:szCs w:val="18"/>
                <w:u w:val="none"/>
                <w:lang w:val="en-US" w:eastAsia="zh-CN"/>
                <w:highlight w:val="none"/>
              </w:rPr>
            </w:pPr>
            <w:r>
              <w:rPr>
                <w:rFonts w:ascii="Times New Roman" w:eastAsia="宋体" w:cs="Times New Roman" w:hAnsi="Times New Roman"/>
                <w:i w:val="0"/>
                <w:iCs w:val="0"/>
                <w:color w:val="000000"/>
                <w:kern w:val="0"/>
                <w:sz w:val="18"/>
                <w:szCs w:val="18"/>
                <w:u w:val="none"/>
                <w:lang w:val="en-US" w:eastAsia="zh-CN"/>
                <w:highlight w:val="none"/>
              </w:rPr>
              <w:t>202</w:t>
            </w:r>
            <w:r>
              <w:rPr>
                <w:rFonts w:ascii="Times New Roman" w:eastAsia="宋体" w:cs="Times New Roman" w:hAnsi="Times New Roman" w:hint="eastAsia"/>
                <w:i w:val="0"/>
                <w:iCs w:val="0"/>
                <w:color w:val="000000"/>
                <w:kern w:val="0"/>
                <w:sz w:val="18"/>
                <w:szCs w:val="18"/>
                <w:u w:val="none"/>
                <w:lang w:val="en-US" w:eastAsia="zh-CN"/>
                <w:highlight w:val="none"/>
              </w:rPr>
              <w:t>5</w:t>
            </w:r>
            <w:r>
              <w:rPr>
                <w:rFonts w:ascii="方正仿宋_GB2312" w:eastAsia="方正仿宋_GB2312" w:cs="方正仿宋_GB2312" w:hAnsi="方正仿宋_GB2312" w:hint="eastAsia"/>
                <w:i w:val="0"/>
                <w:iCs w:val="0"/>
                <w:color w:val="000000"/>
                <w:kern w:val="0"/>
                <w:sz w:val="18"/>
                <w:szCs w:val="18"/>
                <w:u w:val="none"/>
                <w:lang w:val="en-US" w:eastAsia="zh-CN"/>
                <w:highlight w:val="none"/>
              </w:rPr>
              <w:t>年度</w:t>
            </w:r>
          </w:p>
        </w:tc>
        <w:tc>
          <w:tcPr>
            <w:tcW w:w="4938" w:type="dxa"/>
            <w:gridSpan w:val="6"/>
            <w:tcBorders>
              <w:top w:val="nil"/>
              <w:left w:val="nil"/>
              <w:bottom w:val="single" w:sz="8" w:space="0" w:color="000000"/>
              <w:right w:val="nil"/>
            </w:tcBorders>
            <w:noWrap/>
            <w:vAlign w:val="bottom"/>
          </w:tcPr>
          <w:p>
            <w:pPr>
              <w:keepNext w:val="0"/>
              <w:keepLines w:val="0"/>
              <w:widowControl/>
              <w:suppressLineNumbers w:val="0"/>
              <w:jc w:val="right"/>
              <w:textAlignment w:val="bottom"/>
              <w:rPr>
                <w:rFonts w:ascii="宋体" w:eastAsia="宋体" w:cs="宋体" w:hAnsi="宋体"/>
                <w:i w:val="0"/>
                <w:iCs w:val="0"/>
                <w:color w:val="000000"/>
                <w:kern w:val="0"/>
                <w:sz w:val="18"/>
                <w:szCs w:val="18"/>
                <w:u w:val="none"/>
                <w:lang w:val="en-US" w:eastAsia="zh-CN"/>
                <w:highlight w:val="none"/>
              </w:rPr>
            </w:pPr>
            <w:r>
              <w:rPr>
                <w:rFonts w:ascii="方正仿宋_GB2312" w:eastAsia="方正仿宋_GB2312" w:cs="方正仿宋_GB2312" w:hAnsi="方正仿宋_GB2312" w:hint="eastAsia"/>
                <w:i w:val="0"/>
                <w:iCs w:val="0"/>
                <w:color w:val="000000"/>
                <w:kern w:val="0"/>
                <w:sz w:val="18"/>
                <w:szCs w:val="18"/>
                <w:u w:val="none"/>
                <w:lang w:val="en-US" w:eastAsia="zh-CN"/>
                <w:highlight w:val="none"/>
              </w:rPr>
              <w:t>金额单位：万元</w:t>
            </w:r>
          </w:p>
        </w:tc>
      </w:tr>
      <w:tr>
        <w:trPr>
          <w:trHeight w:val="431"/>
        </w:trPr>
        <w:tc>
          <w:tcPr>
            <w:tcW w:w="5813" w:type="dxa"/>
            <w:gridSpan w:val="7"/>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none"/>
              </w:rPr>
            </w:pPr>
            <w:r>
              <w:rPr>
                <w:rFonts w:ascii="方正仿宋_GB2312" w:eastAsia="方正仿宋_GB2312" w:cs="方正仿宋_GB2312" w:hAnsi="方正仿宋_GB2312" w:hint="eastAsia"/>
                <w:i w:val="0"/>
                <w:iCs w:val="0"/>
                <w:color w:val="000000"/>
                <w:kern w:val="0"/>
                <w:sz w:val="18"/>
                <w:szCs w:val="18"/>
                <w:u w:val="none"/>
                <w:lang w:val="en-US" w:eastAsia="zh-CN"/>
                <w:highlight w:val="none"/>
              </w:rPr>
              <w:t>预算数</w:t>
            </w:r>
          </w:p>
        </w:tc>
        <w:tc>
          <w:tcPr>
            <w:tcW w:w="5783" w:type="dxa"/>
            <w:gridSpan w:val="7"/>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none"/>
              </w:rPr>
            </w:pPr>
            <w:r>
              <w:rPr>
                <w:rFonts w:ascii="方正仿宋_GB2312" w:eastAsia="方正仿宋_GB2312" w:cs="方正仿宋_GB2312" w:hAnsi="方正仿宋_GB2312" w:hint="eastAsia"/>
                <w:i w:val="0"/>
                <w:iCs w:val="0"/>
                <w:color w:val="000000"/>
                <w:kern w:val="0"/>
                <w:sz w:val="18"/>
                <w:szCs w:val="18"/>
                <w:u w:val="none"/>
                <w:lang w:val="en-US" w:eastAsia="zh-CN"/>
                <w:highlight w:val="none"/>
              </w:rPr>
              <w:t>决算数</w:t>
            </w:r>
          </w:p>
        </w:tc>
      </w:tr>
      <w:tr>
        <w:trPr>
          <w:trHeight w:val="431"/>
        </w:trPr>
        <w:tc>
          <w:tcPr>
            <w:tcW w:w="987" w:type="dxa"/>
            <w:vMerge w:val="restart"/>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none"/>
              </w:rPr>
            </w:pPr>
            <w:r>
              <w:rPr>
                <w:rFonts w:ascii="方正仿宋_GB2312" w:eastAsia="方正仿宋_GB2312" w:cs="方正仿宋_GB2312" w:hAnsi="方正仿宋_GB2312" w:hint="eastAsia"/>
                <w:i w:val="0"/>
                <w:iCs w:val="0"/>
                <w:color w:val="000000"/>
                <w:kern w:val="0"/>
                <w:sz w:val="18"/>
                <w:szCs w:val="18"/>
                <w:u w:val="none"/>
                <w:lang w:val="en-US" w:eastAsia="zh-CN"/>
                <w:highlight w:val="none"/>
              </w:rPr>
              <w:t>合计</w:t>
            </w:r>
          </w:p>
        </w:tc>
        <w:tc>
          <w:tcPr>
            <w:tcW w:w="1226" w:type="dxa"/>
            <w:vMerge w:val="restart"/>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none"/>
              </w:rPr>
            </w:pPr>
            <w:r>
              <w:rPr>
                <w:rFonts w:ascii="方正仿宋_GB2312" w:eastAsia="方正仿宋_GB2312" w:cs="方正仿宋_GB2312" w:hAnsi="方正仿宋_GB2312" w:hint="eastAsia"/>
                <w:i w:val="0"/>
                <w:iCs w:val="0"/>
                <w:color w:val="000000"/>
                <w:kern w:val="0"/>
                <w:sz w:val="18"/>
                <w:szCs w:val="18"/>
                <w:u w:val="none"/>
                <w:lang w:val="en-US" w:eastAsia="zh-CN"/>
                <w:highlight w:val="none"/>
              </w:rPr>
              <w:t>因公出国（境）费</w:t>
            </w:r>
          </w:p>
        </w:tc>
        <w:tc>
          <w:tcPr>
            <w:tcW w:w="2823" w:type="dxa"/>
            <w:gridSpan w:val="4"/>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none"/>
              </w:rPr>
            </w:pPr>
            <w:r>
              <w:rPr>
                <w:rFonts w:ascii="方正仿宋_GB2312" w:eastAsia="方正仿宋_GB2312" w:cs="方正仿宋_GB2312" w:hAnsi="方正仿宋_GB2312" w:hint="eastAsia"/>
                <w:i w:val="0"/>
                <w:iCs w:val="0"/>
                <w:color w:val="000000"/>
                <w:kern w:val="0"/>
                <w:sz w:val="18"/>
                <w:szCs w:val="18"/>
                <w:u w:val="none"/>
                <w:lang w:val="en-US" w:eastAsia="zh-CN"/>
                <w:highlight w:val="none"/>
              </w:rPr>
              <w:t>公务用车购置及运行维护费</w:t>
            </w:r>
          </w:p>
        </w:tc>
        <w:tc>
          <w:tcPr>
            <w:tcW w:w="777" w:type="dxa"/>
            <w:vMerge w:val="restart"/>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none"/>
              </w:rPr>
            </w:pPr>
            <w:r>
              <w:rPr>
                <w:rFonts w:ascii="方正仿宋_GB2312" w:eastAsia="方正仿宋_GB2312" w:cs="方正仿宋_GB2312" w:hAnsi="方正仿宋_GB2312" w:hint="eastAsia"/>
                <w:i w:val="0"/>
                <w:iCs w:val="0"/>
                <w:color w:val="000000"/>
                <w:kern w:val="0"/>
                <w:sz w:val="18"/>
                <w:szCs w:val="18"/>
                <w:u w:val="none"/>
                <w:lang w:val="en-US" w:eastAsia="zh-CN"/>
                <w:highlight w:val="none"/>
              </w:rPr>
              <w:t>公务接待费</w:t>
            </w:r>
          </w:p>
        </w:tc>
        <w:tc>
          <w:tcPr>
            <w:tcW w:w="850" w:type="dxa"/>
            <w:gridSpan w:val="2"/>
            <w:vMerge w:val="restart"/>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none"/>
              </w:rPr>
            </w:pPr>
            <w:r>
              <w:rPr>
                <w:rFonts w:ascii="方正仿宋_GB2312" w:eastAsia="方正仿宋_GB2312" w:cs="方正仿宋_GB2312" w:hAnsi="方正仿宋_GB2312" w:hint="eastAsia"/>
                <w:i w:val="0"/>
                <w:iCs w:val="0"/>
                <w:color w:val="000000"/>
                <w:kern w:val="0"/>
                <w:sz w:val="18"/>
                <w:szCs w:val="18"/>
                <w:u w:val="none"/>
                <w:lang w:val="en-US" w:eastAsia="zh-CN"/>
                <w:highlight w:val="none"/>
              </w:rPr>
              <w:t>合计</w:t>
            </w:r>
          </w:p>
        </w:tc>
        <w:tc>
          <w:tcPr>
            <w:tcW w:w="1133" w:type="dxa"/>
            <w:vMerge w:val="restart"/>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none"/>
              </w:rPr>
            </w:pPr>
            <w:r>
              <w:rPr>
                <w:rFonts w:ascii="方正仿宋_GB2312" w:eastAsia="方正仿宋_GB2312" w:cs="方正仿宋_GB2312" w:hAnsi="方正仿宋_GB2312" w:hint="eastAsia"/>
                <w:i w:val="0"/>
                <w:iCs w:val="0"/>
                <w:color w:val="000000"/>
                <w:kern w:val="0"/>
                <w:sz w:val="18"/>
                <w:szCs w:val="18"/>
                <w:u w:val="none"/>
                <w:lang w:val="en-US" w:eastAsia="zh-CN"/>
                <w:highlight w:val="none"/>
              </w:rPr>
              <w:t>因公出国（境）费</w:t>
            </w:r>
          </w:p>
        </w:tc>
        <w:tc>
          <w:tcPr>
            <w:tcW w:w="2613" w:type="dxa"/>
            <w:gridSpan w:val="3"/>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none"/>
              </w:rPr>
            </w:pPr>
            <w:r>
              <w:rPr>
                <w:rFonts w:ascii="方正仿宋_GB2312" w:eastAsia="方正仿宋_GB2312" w:cs="方正仿宋_GB2312" w:hAnsi="方正仿宋_GB2312" w:hint="eastAsia"/>
                <w:i w:val="0"/>
                <w:iCs w:val="0"/>
                <w:color w:val="000000"/>
                <w:kern w:val="0"/>
                <w:sz w:val="18"/>
                <w:szCs w:val="18"/>
                <w:u w:val="none"/>
                <w:lang w:val="en-US" w:eastAsia="zh-CN"/>
                <w:highlight w:val="none"/>
              </w:rPr>
              <w:t>公务用车购置及运行维护费</w:t>
            </w:r>
          </w:p>
        </w:tc>
        <w:tc>
          <w:tcPr>
            <w:tcW w:w="1187" w:type="dxa"/>
            <w:vMerge w:val="restart"/>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none"/>
              </w:rPr>
            </w:pPr>
            <w:r>
              <w:rPr>
                <w:rFonts w:ascii="方正仿宋_GB2312" w:eastAsia="方正仿宋_GB2312" w:cs="方正仿宋_GB2312" w:hAnsi="方正仿宋_GB2312" w:hint="eastAsia"/>
                <w:i w:val="0"/>
                <w:iCs w:val="0"/>
                <w:color w:val="000000"/>
                <w:kern w:val="0"/>
                <w:sz w:val="18"/>
                <w:szCs w:val="18"/>
                <w:u w:val="none"/>
                <w:lang w:val="en-US" w:eastAsia="zh-CN"/>
                <w:highlight w:val="none"/>
              </w:rPr>
              <w:t>公务接待费</w:t>
            </w:r>
          </w:p>
        </w:tc>
      </w:tr>
      <w:tr>
        <w:trPr>
          <w:trHeight w:val="431"/>
        </w:trPr>
        <w:tc>
          <w:tcPr>
            <w:tcW w:w="987" w:type="dxa"/>
            <w:vMerge/>
            <w:tcBorders>
              <w:top w:val="single" w:sz="8" w:space="0" w:color="000000"/>
              <w:left w:val="single" w:sz="8" w:space="0" w:color="000000"/>
              <w:bottom w:val="single" w:sz="8" w:space="0" w:color="000000"/>
              <w:right w:val="single" w:sz="8" w:space="0" w:color="000000"/>
            </w:tcBorders>
            <w:noWrap/>
            <w:vAlign w:val="center"/>
          </w:tcPr>
          <w:p/>
        </w:tc>
        <w:tc>
          <w:tcPr>
            <w:tcW w:w="1226" w:type="dxa"/>
            <w:vMerge/>
            <w:tcBorders>
              <w:top w:val="single" w:sz="8" w:space="0" w:color="000000"/>
              <w:left w:val="single" w:sz="8" w:space="0" w:color="000000"/>
              <w:bottom w:val="single" w:sz="8" w:space="0" w:color="000000"/>
              <w:right w:val="single" w:sz="8" w:space="0" w:color="000000"/>
            </w:tcBorders>
            <w:noWrap/>
            <w:vAlign w:val="center"/>
          </w:tcPr>
          <w:p/>
        </w:tc>
        <w:tc>
          <w:tcPr>
            <w:tcW w:w="81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none"/>
              </w:rPr>
            </w:pPr>
            <w:r>
              <w:rPr>
                <w:rFonts w:ascii="方正仿宋_GB2312" w:eastAsia="方正仿宋_GB2312" w:cs="方正仿宋_GB2312" w:hAnsi="方正仿宋_GB2312" w:hint="eastAsia"/>
                <w:i w:val="0"/>
                <w:iCs w:val="0"/>
                <w:color w:val="000000"/>
                <w:kern w:val="0"/>
                <w:sz w:val="18"/>
                <w:szCs w:val="18"/>
                <w:u w:val="none"/>
                <w:lang w:val="en-US" w:eastAsia="zh-CN"/>
                <w:highlight w:val="none"/>
              </w:rPr>
              <w:t>小计</w:t>
            </w:r>
          </w:p>
        </w:tc>
        <w:tc>
          <w:tcPr>
            <w:tcW w:w="946"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none"/>
              </w:rPr>
            </w:pPr>
            <w:r>
              <w:rPr>
                <w:rFonts w:ascii="方正仿宋_GB2312" w:eastAsia="方正仿宋_GB2312" w:cs="方正仿宋_GB2312" w:hAnsi="方正仿宋_GB2312" w:hint="eastAsia"/>
                <w:i w:val="0"/>
                <w:iCs w:val="0"/>
                <w:color w:val="000000"/>
                <w:kern w:val="0"/>
                <w:sz w:val="18"/>
                <w:szCs w:val="18"/>
                <w:u w:val="none"/>
                <w:lang w:val="en-US" w:eastAsia="zh-CN"/>
                <w:highlight w:val="none"/>
              </w:rPr>
              <w:t>公务用车购置费</w:t>
            </w:r>
          </w:p>
        </w:tc>
        <w:tc>
          <w:tcPr>
            <w:tcW w:w="1063"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none"/>
              </w:rPr>
            </w:pPr>
            <w:r>
              <w:rPr>
                <w:rFonts w:ascii="方正仿宋_GB2312" w:eastAsia="方正仿宋_GB2312" w:cs="方正仿宋_GB2312" w:hAnsi="方正仿宋_GB2312" w:hint="eastAsia"/>
                <w:i w:val="0"/>
                <w:iCs w:val="0"/>
                <w:color w:val="000000"/>
                <w:kern w:val="0"/>
                <w:sz w:val="18"/>
                <w:szCs w:val="18"/>
                <w:u w:val="none"/>
                <w:lang w:val="en-US" w:eastAsia="zh-CN"/>
                <w:highlight w:val="none"/>
              </w:rPr>
              <w:t>公务用车运行维护费</w:t>
            </w:r>
          </w:p>
        </w:tc>
        <w:tc>
          <w:tcPr>
            <w:tcW w:w="777" w:type="dxa"/>
            <w:vMerge/>
            <w:tcBorders>
              <w:top w:val="single" w:sz="8" w:space="0" w:color="000000"/>
              <w:left w:val="single" w:sz="8" w:space="0" w:color="000000"/>
              <w:bottom w:val="single" w:sz="8" w:space="0" w:color="000000"/>
              <w:right w:val="single" w:sz="8" w:space="0" w:color="000000"/>
            </w:tcBorders>
            <w:noWrap/>
            <w:vAlign w:val="center"/>
          </w:tcPr>
          <w:p/>
        </w:tc>
        <w:tc>
          <w:tcPr>
            <w:tcW w:w="850" w:type="dxa"/>
            <w:gridSpan w:val="2"/>
            <w:vMerge/>
            <w:tcBorders>
              <w:top w:val="single" w:sz="8" w:space="0" w:color="000000"/>
              <w:left w:val="single" w:sz="8" w:space="0" w:color="000000"/>
              <w:bottom w:val="single" w:sz="8" w:space="0" w:color="000000"/>
              <w:right w:val="single" w:sz="8" w:space="0" w:color="000000"/>
            </w:tcBorders>
            <w:noWrap/>
            <w:vAlign w:val="center"/>
          </w:tcPr>
          <w:p/>
        </w:tc>
        <w:tc>
          <w:tcPr>
            <w:tcW w:w="1133" w:type="dxa"/>
            <w:vMerge/>
            <w:tcBorders>
              <w:top w:val="single" w:sz="8" w:space="0" w:color="000000"/>
              <w:left w:val="single" w:sz="8" w:space="0" w:color="000000"/>
              <w:bottom w:val="single" w:sz="8" w:space="0" w:color="000000"/>
              <w:right w:val="single" w:sz="8" w:space="0" w:color="000000"/>
            </w:tcBorders>
            <w:noWrap/>
            <w:vAlign w:val="center"/>
          </w:tcPr>
          <w:p/>
        </w:tc>
        <w:tc>
          <w:tcPr>
            <w:tcW w:w="640"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none"/>
              </w:rPr>
            </w:pPr>
            <w:r>
              <w:rPr>
                <w:rFonts w:ascii="方正仿宋_GB2312" w:eastAsia="方正仿宋_GB2312" w:cs="方正仿宋_GB2312" w:hAnsi="方正仿宋_GB2312" w:hint="eastAsia"/>
                <w:i w:val="0"/>
                <w:iCs w:val="0"/>
                <w:color w:val="000000"/>
                <w:kern w:val="0"/>
                <w:sz w:val="18"/>
                <w:szCs w:val="18"/>
                <w:u w:val="none"/>
                <w:lang w:val="en-US" w:eastAsia="zh-CN"/>
                <w:highlight w:val="none"/>
              </w:rPr>
              <w:t>小计</w:t>
            </w:r>
          </w:p>
        </w:tc>
        <w:tc>
          <w:tcPr>
            <w:tcW w:w="1027"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none"/>
              </w:rPr>
            </w:pPr>
            <w:r>
              <w:rPr>
                <w:rFonts w:ascii="方正仿宋_GB2312" w:eastAsia="方正仿宋_GB2312" w:cs="方正仿宋_GB2312" w:hAnsi="方正仿宋_GB2312" w:hint="eastAsia"/>
                <w:i w:val="0"/>
                <w:iCs w:val="0"/>
                <w:color w:val="000000"/>
                <w:kern w:val="0"/>
                <w:sz w:val="18"/>
                <w:szCs w:val="18"/>
                <w:u w:val="none"/>
                <w:lang w:val="en-US" w:eastAsia="zh-CN"/>
                <w:highlight w:val="none"/>
              </w:rPr>
              <w:t>公务用车购置费</w:t>
            </w:r>
          </w:p>
        </w:tc>
        <w:tc>
          <w:tcPr>
            <w:tcW w:w="946"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none"/>
              </w:rPr>
            </w:pPr>
            <w:r>
              <w:rPr>
                <w:rFonts w:ascii="方正仿宋_GB2312" w:eastAsia="方正仿宋_GB2312" w:cs="方正仿宋_GB2312" w:hAnsi="方正仿宋_GB2312" w:hint="eastAsia"/>
                <w:i w:val="0"/>
                <w:iCs w:val="0"/>
                <w:color w:val="000000"/>
                <w:kern w:val="0"/>
                <w:sz w:val="18"/>
                <w:szCs w:val="18"/>
                <w:u w:val="none"/>
                <w:lang w:val="en-US" w:eastAsia="zh-CN"/>
                <w:highlight w:val="none"/>
              </w:rPr>
              <w:t>公务用车运行维护费</w:t>
            </w:r>
          </w:p>
        </w:tc>
        <w:tc>
          <w:tcPr>
            <w:tcW w:w="1187" w:type="dxa"/>
            <w:vMerge/>
            <w:tcBorders>
              <w:top w:val="single" w:sz="8" w:space="0" w:color="000000"/>
              <w:left w:val="single" w:sz="8" w:space="0" w:color="000000"/>
              <w:bottom w:val="single" w:sz="8" w:space="0" w:color="000000"/>
              <w:right w:val="single" w:sz="8" w:space="0" w:color="000000"/>
            </w:tcBorders>
            <w:noWrap/>
            <w:vAlign w:val="center"/>
          </w:tcPr>
          <w:p/>
        </w:tc>
      </w:tr>
      <w:tr>
        <w:trPr>
          <w:trHeight w:val="431"/>
        </w:trPr>
        <w:tc>
          <w:tcPr>
            <w:tcW w:w="987"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none"/>
              </w:rPr>
            </w:pPr>
            <w:r>
              <w:rPr>
                <w:rFonts w:ascii="Times New Roman" w:eastAsia="方正仿宋_GB2312" w:cs="Times New Roman" w:hAnsi="Times New Roman"/>
                <w:i w:val="0"/>
                <w:iCs w:val="0"/>
                <w:color w:val="000000"/>
                <w:kern w:val="0"/>
                <w:sz w:val="18"/>
                <w:szCs w:val="18"/>
                <w:u w:val="none"/>
                <w:lang w:val="en-US" w:eastAsia="zh-CN"/>
                <w:highlight w:val="none"/>
              </w:rPr>
              <w:t>1</w:t>
            </w:r>
          </w:p>
        </w:tc>
        <w:tc>
          <w:tcPr>
            <w:tcW w:w="1226"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none"/>
              </w:rPr>
            </w:pPr>
            <w:r>
              <w:rPr>
                <w:rFonts w:ascii="Times New Roman" w:eastAsia="方正仿宋_GB2312" w:cs="Times New Roman" w:hAnsi="Times New Roman"/>
                <w:i w:val="0"/>
                <w:iCs w:val="0"/>
                <w:color w:val="000000"/>
                <w:kern w:val="0"/>
                <w:sz w:val="18"/>
                <w:szCs w:val="18"/>
                <w:u w:val="none"/>
                <w:lang w:val="en-US" w:eastAsia="zh-CN"/>
                <w:highlight w:val="none"/>
              </w:rPr>
              <w:t>2</w:t>
            </w:r>
          </w:p>
        </w:tc>
        <w:tc>
          <w:tcPr>
            <w:tcW w:w="814"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none"/>
              </w:rPr>
            </w:pPr>
            <w:r>
              <w:rPr>
                <w:rFonts w:ascii="Times New Roman" w:eastAsia="方正仿宋_GB2312" w:cs="Times New Roman" w:hAnsi="Times New Roman"/>
                <w:i w:val="0"/>
                <w:iCs w:val="0"/>
                <w:color w:val="000000"/>
                <w:kern w:val="0"/>
                <w:sz w:val="18"/>
                <w:szCs w:val="18"/>
                <w:u w:val="none"/>
                <w:lang w:val="en-US" w:eastAsia="zh-CN"/>
                <w:highlight w:val="none"/>
              </w:rPr>
              <w:t>3</w:t>
            </w:r>
          </w:p>
        </w:tc>
        <w:tc>
          <w:tcPr>
            <w:tcW w:w="946"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none"/>
              </w:rPr>
            </w:pPr>
            <w:r>
              <w:rPr>
                <w:rFonts w:ascii="Times New Roman" w:eastAsia="方正仿宋_GB2312" w:cs="Times New Roman" w:hAnsi="Times New Roman"/>
                <w:i w:val="0"/>
                <w:iCs w:val="0"/>
                <w:color w:val="000000"/>
                <w:kern w:val="0"/>
                <w:sz w:val="18"/>
                <w:szCs w:val="18"/>
                <w:u w:val="none"/>
                <w:lang w:val="en-US" w:eastAsia="zh-CN"/>
                <w:highlight w:val="none"/>
              </w:rPr>
              <w:t>4</w:t>
            </w:r>
          </w:p>
        </w:tc>
        <w:tc>
          <w:tcPr>
            <w:tcW w:w="1063"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none"/>
              </w:rPr>
            </w:pPr>
            <w:r>
              <w:rPr>
                <w:rFonts w:ascii="Times New Roman" w:eastAsia="方正仿宋_GB2312" w:cs="Times New Roman" w:hAnsi="Times New Roman"/>
                <w:i w:val="0"/>
                <w:iCs w:val="0"/>
                <w:color w:val="000000"/>
                <w:kern w:val="0"/>
                <w:sz w:val="18"/>
                <w:szCs w:val="18"/>
                <w:u w:val="none"/>
                <w:lang w:val="en-US" w:eastAsia="zh-CN"/>
                <w:highlight w:val="none"/>
              </w:rPr>
              <w:t>5</w:t>
            </w:r>
          </w:p>
        </w:tc>
        <w:tc>
          <w:tcPr>
            <w:tcW w:w="777"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none"/>
              </w:rPr>
            </w:pPr>
            <w:r>
              <w:rPr>
                <w:rFonts w:ascii="Times New Roman" w:eastAsia="方正仿宋_GB2312" w:cs="Times New Roman" w:hAnsi="Times New Roman"/>
                <w:i w:val="0"/>
                <w:iCs w:val="0"/>
                <w:color w:val="000000"/>
                <w:kern w:val="0"/>
                <w:sz w:val="18"/>
                <w:szCs w:val="18"/>
                <w:u w:val="none"/>
                <w:lang w:val="en-US" w:eastAsia="zh-CN"/>
                <w:highlight w:val="none"/>
              </w:rPr>
              <w:t>6</w:t>
            </w:r>
          </w:p>
        </w:tc>
        <w:tc>
          <w:tcPr>
            <w:tcW w:w="850" w:type="dxa"/>
            <w:gridSpan w:val="2"/>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none"/>
              </w:rPr>
            </w:pPr>
            <w:r>
              <w:rPr>
                <w:rFonts w:ascii="Times New Roman" w:eastAsia="方正仿宋_GB2312" w:cs="Times New Roman" w:hAnsi="Times New Roman"/>
                <w:i w:val="0"/>
                <w:iCs w:val="0"/>
                <w:color w:val="000000"/>
                <w:kern w:val="0"/>
                <w:sz w:val="18"/>
                <w:szCs w:val="18"/>
                <w:u w:val="none"/>
                <w:lang w:val="en-US" w:eastAsia="zh-CN"/>
                <w:highlight w:val="none"/>
              </w:rPr>
              <w:t>7</w:t>
            </w:r>
          </w:p>
        </w:tc>
        <w:tc>
          <w:tcPr>
            <w:tcW w:w="1133"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none"/>
              </w:rPr>
            </w:pPr>
            <w:r>
              <w:rPr>
                <w:rFonts w:ascii="Times New Roman" w:eastAsia="方正仿宋_GB2312" w:cs="Times New Roman" w:hAnsi="Times New Roman"/>
                <w:i w:val="0"/>
                <w:iCs w:val="0"/>
                <w:color w:val="000000"/>
                <w:kern w:val="0"/>
                <w:sz w:val="18"/>
                <w:szCs w:val="18"/>
                <w:u w:val="none"/>
                <w:lang w:val="en-US" w:eastAsia="zh-CN"/>
                <w:highlight w:val="none"/>
              </w:rPr>
              <w:t>8</w:t>
            </w:r>
          </w:p>
        </w:tc>
        <w:tc>
          <w:tcPr>
            <w:tcW w:w="640"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none"/>
              </w:rPr>
            </w:pPr>
            <w:r>
              <w:rPr>
                <w:rFonts w:ascii="Times New Roman" w:eastAsia="方正仿宋_GB2312" w:cs="Times New Roman" w:hAnsi="Times New Roman"/>
                <w:i w:val="0"/>
                <w:iCs w:val="0"/>
                <w:color w:val="000000"/>
                <w:kern w:val="0"/>
                <w:sz w:val="18"/>
                <w:szCs w:val="18"/>
                <w:u w:val="none"/>
                <w:lang w:val="en-US" w:eastAsia="zh-CN"/>
                <w:highlight w:val="none"/>
              </w:rPr>
              <w:t>9</w:t>
            </w:r>
          </w:p>
        </w:tc>
        <w:tc>
          <w:tcPr>
            <w:tcW w:w="1027"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none"/>
              </w:rPr>
            </w:pPr>
            <w:r>
              <w:rPr>
                <w:rFonts w:ascii="Times New Roman" w:eastAsia="方正仿宋_GB2312" w:cs="Times New Roman" w:hAnsi="Times New Roman"/>
                <w:i w:val="0"/>
                <w:iCs w:val="0"/>
                <w:color w:val="000000"/>
                <w:kern w:val="0"/>
                <w:sz w:val="18"/>
                <w:szCs w:val="18"/>
                <w:u w:val="none"/>
                <w:lang w:val="en-US" w:eastAsia="zh-CN"/>
                <w:highlight w:val="none"/>
              </w:rPr>
              <w:t>10</w:t>
            </w:r>
          </w:p>
        </w:tc>
        <w:tc>
          <w:tcPr>
            <w:tcW w:w="946"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none"/>
              </w:rPr>
            </w:pPr>
            <w:r>
              <w:rPr>
                <w:rFonts w:ascii="Times New Roman" w:eastAsia="方正仿宋_GB2312" w:cs="Times New Roman" w:hAnsi="Times New Roman"/>
                <w:i w:val="0"/>
                <w:iCs w:val="0"/>
                <w:color w:val="000000"/>
                <w:kern w:val="0"/>
                <w:sz w:val="18"/>
                <w:szCs w:val="18"/>
                <w:u w:val="none"/>
                <w:lang w:val="en-US" w:eastAsia="zh-CN"/>
                <w:highlight w:val="none"/>
              </w:rPr>
              <w:t>11</w:t>
            </w:r>
          </w:p>
        </w:tc>
        <w:tc>
          <w:tcPr>
            <w:tcW w:w="1187" w:type="dxa"/>
            <w:tcBorders>
              <w:top w:val="single" w:sz="8" w:space="0" w:color="000000"/>
              <w:left w:val="single" w:sz="8" w:space="0" w:color="000000"/>
              <w:bottom w:val="single" w:sz="8" w:space="0" w:color="000000"/>
              <w:right w:val="single" w:sz="8" w:space="0" w:color="000000"/>
            </w:tcBorders>
            <w:noWrap/>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none"/>
              </w:rPr>
            </w:pPr>
            <w:r>
              <w:rPr>
                <w:rFonts w:ascii="Times New Roman" w:eastAsia="方正仿宋_GB2312" w:cs="Times New Roman" w:hAnsi="Times New Roman"/>
                <w:i w:val="0"/>
                <w:iCs w:val="0"/>
                <w:color w:val="000000"/>
                <w:kern w:val="0"/>
                <w:sz w:val="18"/>
                <w:szCs w:val="18"/>
                <w:u w:val="none"/>
                <w:lang w:val="en-US" w:eastAsia="zh-CN"/>
                <w:highlight w:val="none"/>
              </w:rPr>
              <w:t>12</w:t>
            </w:r>
          </w:p>
        </w:tc>
      </w:tr>
      <w:tr>
        <w:trPr>
          <w:trHeight w:val="431"/>
        </w:trPr>
        <w:tc>
          <w:tcPr>
            <w:tcW w:w="98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方正仿宋_GB2312" w:cs="Times New Roman" w:hAnsi="Times New Roman"/>
                <w:i w:val="0"/>
                <w:iCs w:val="0"/>
                <w:color w:val="000000"/>
                <w:sz w:val="18"/>
                <w:szCs w:val="18"/>
                <w:u w:val="none"/>
                <w:highlight w:val="none"/>
              </w:rPr>
            </w:pPr>
            <w:r>
              <w:rPr>
                <w:rFonts w:ascii="Times New Roman" w:eastAsia="方正仿宋_GB2312" w:cs="Times New Roman" w:hAnsi="Times New Roman"/>
                <w:i w:val="0"/>
                <w:iCs w:val="0"/>
                <w:color w:val="000000"/>
                <w:sz w:val="18"/>
                <w:szCs w:val="18"/>
                <w:u w:val="none"/>
                <w:highlight w:val="none"/>
              </w:rPr>
              <w:t>0.05</w:t>
            </w:r>
          </w:p>
        </w:tc>
        <w:tc>
          <w:tcPr>
            <w:tcW w:w="1226"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方正仿宋_GB2312" w:cs="Times New Roman" w:hAnsi="Times New Roman"/>
                <w:i w:val="0"/>
                <w:iCs w:val="0"/>
                <w:color w:val="000000"/>
                <w:sz w:val="18"/>
                <w:szCs w:val="18"/>
                <w:u w:val="none"/>
                <w:highlight w:val="none"/>
              </w:rPr>
            </w:pPr>
          </w:p>
        </w:tc>
        <w:tc>
          <w:tcPr>
            <w:tcW w:w="814"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方正仿宋_GB2312" w:cs="Times New Roman" w:hAnsi="Times New Roman"/>
                <w:i w:val="0"/>
                <w:iCs w:val="0"/>
                <w:color w:val="000000"/>
                <w:sz w:val="18"/>
                <w:szCs w:val="18"/>
                <w:u w:val="none"/>
                <w:highlight w:val="none"/>
              </w:rPr>
            </w:pPr>
          </w:p>
        </w:tc>
        <w:tc>
          <w:tcPr>
            <w:tcW w:w="946"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方正仿宋_GB2312" w:cs="Times New Roman" w:hAnsi="Times New Roman"/>
                <w:i w:val="0"/>
                <w:iCs w:val="0"/>
                <w:color w:val="000000"/>
                <w:sz w:val="18"/>
                <w:szCs w:val="18"/>
                <w:u w:val="none"/>
                <w:highlight w:val="none"/>
              </w:rPr>
            </w:pPr>
          </w:p>
        </w:tc>
        <w:tc>
          <w:tcPr>
            <w:tcW w:w="1063"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方正仿宋_GB2312" w:cs="Times New Roman" w:hAnsi="Times New Roman"/>
                <w:i w:val="0"/>
                <w:iCs w:val="0"/>
                <w:color w:val="000000"/>
                <w:sz w:val="18"/>
                <w:szCs w:val="18"/>
                <w:u w:val="none"/>
                <w:highlight w:val="none"/>
              </w:rPr>
            </w:pPr>
          </w:p>
        </w:tc>
        <w:tc>
          <w:tcPr>
            <w:tcW w:w="77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方正仿宋_GB2312" w:cs="Times New Roman" w:hAnsi="Times New Roman"/>
                <w:i w:val="0"/>
                <w:iCs w:val="0"/>
                <w:color w:val="000000"/>
                <w:sz w:val="18"/>
                <w:szCs w:val="18"/>
                <w:u w:val="none"/>
                <w:highlight w:val="none"/>
              </w:rPr>
            </w:pPr>
            <w:r>
              <w:rPr>
                <w:rFonts w:ascii="Times New Roman" w:eastAsia="方正仿宋_GB2312" w:cs="Times New Roman" w:hAnsi="Times New Roman"/>
                <w:i w:val="0"/>
                <w:iCs w:val="0"/>
                <w:color w:val="000000"/>
                <w:sz w:val="18"/>
                <w:szCs w:val="18"/>
                <w:u w:val="none"/>
                <w:highlight w:val="none"/>
              </w:rPr>
              <w:t>0.05</w:t>
            </w:r>
          </w:p>
        </w:tc>
        <w:tc>
          <w:tcPr>
            <w:tcW w:w="850" w:type="dxa"/>
            <w:gridSpan w:val="2"/>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方正仿宋_GB2312" w:cs="Times New Roman" w:hAnsi="Times New Roman"/>
                <w:i w:val="0"/>
                <w:iCs w:val="0"/>
                <w:color w:val="000000"/>
                <w:sz w:val="18"/>
                <w:szCs w:val="18"/>
                <w:u w:val="none"/>
                <w:highlight w:val="none"/>
              </w:rPr>
            </w:pPr>
          </w:p>
        </w:tc>
        <w:tc>
          <w:tcPr>
            <w:tcW w:w="1133"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方正仿宋_GB2312" w:cs="Times New Roman" w:hAnsi="Times New Roman"/>
                <w:i w:val="0"/>
                <w:iCs w:val="0"/>
                <w:color w:val="000000"/>
                <w:sz w:val="18"/>
                <w:szCs w:val="18"/>
                <w:u w:val="none"/>
                <w:highlight w:val="none"/>
              </w:rPr>
            </w:pPr>
          </w:p>
        </w:tc>
        <w:tc>
          <w:tcPr>
            <w:tcW w:w="640"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方正仿宋_GB2312" w:cs="Times New Roman" w:hAnsi="Times New Roman"/>
                <w:i w:val="0"/>
                <w:iCs w:val="0"/>
                <w:color w:val="000000"/>
                <w:sz w:val="18"/>
                <w:szCs w:val="18"/>
                <w:u w:val="none"/>
                <w:highlight w:val="none"/>
              </w:rPr>
            </w:pPr>
          </w:p>
        </w:tc>
        <w:tc>
          <w:tcPr>
            <w:tcW w:w="102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方正仿宋_GB2312" w:cs="Times New Roman" w:hAnsi="Times New Roman"/>
                <w:i w:val="0"/>
                <w:iCs w:val="0"/>
                <w:color w:val="000000"/>
                <w:sz w:val="18"/>
                <w:szCs w:val="18"/>
                <w:u w:val="none"/>
                <w:highlight w:val="none"/>
              </w:rPr>
            </w:pPr>
          </w:p>
        </w:tc>
        <w:tc>
          <w:tcPr>
            <w:tcW w:w="946"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方正仿宋_GB2312" w:cs="Times New Roman" w:hAnsi="Times New Roman"/>
                <w:i w:val="0"/>
                <w:iCs w:val="0"/>
                <w:color w:val="000000"/>
                <w:sz w:val="18"/>
                <w:szCs w:val="18"/>
                <w:u w:val="none"/>
                <w:highlight w:val="none"/>
              </w:rPr>
            </w:pPr>
          </w:p>
        </w:tc>
        <w:tc>
          <w:tcPr>
            <w:tcW w:w="1187" w:type="dxa"/>
            <w:tcBorders>
              <w:top w:val="single" w:sz="8" w:space="0" w:color="000000"/>
              <w:left w:val="single" w:sz="8" w:space="0" w:color="000000"/>
              <w:bottom w:val="single" w:sz="8" w:space="0" w:color="000000"/>
              <w:right w:val="single" w:sz="8" w:space="0" w:color="000000"/>
            </w:tcBorders>
            <w:noWrap/>
            <w:vAlign w:val="center"/>
          </w:tcPr>
          <w:p>
            <w:pPr>
              <w:jc w:val="right"/>
              <w:rPr>
                <w:rFonts w:ascii="Times New Roman" w:eastAsia="方正仿宋_GB2312" w:cs="Times New Roman" w:hAnsi="Times New Roman"/>
                <w:i w:val="0"/>
                <w:iCs w:val="0"/>
                <w:color w:val="000000"/>
                <w:sz w:val="18"/>
                <w:szCs w:val="18"/>
                <w:u w:val="none"/>
                <w:highlight w:val="none"/>
              </w:rPr>
            </w:pPr>
          </w:p>
        </w:tc>
      </w:tr>
      <w:tr>
        <w:trPr>
          <w:trHeight w:val="431"/>
        </w:trPr>
        <w:tc>
          <w:tcPr>
            <w:tcW w:w="11596" w:type="dxa"/>
            <w:gridSpan w:val="14"/>
            <w:tcBorders>
              <w:top w:val="single" w:sz="8" w:space="0" w:color="000000"/>
              <w:left w:val="nil"/>
              <w:bottom w:val="nil"/>
              <w:right w:val="nil"/>
            </w:tcBorders>
            <w:noWrap/>
            <w:vAlign w:val="center"/>
          </w:tcPr>
          <w:p>
            <w:pPr>
              <w:keepNext w:val="0"/>
              <w:keepLines w:val="0"/>
              <w:widowControl/>
              <w:suppressLineNumbers w:val="0"/>
              <w:jc w:val="left"/>
              <w:textAlignment w:val="center"/>
              <w:rPr>
                <w:rFonts w:ascii="宋体" w:eastAsia="宋体" w:cs="宋体" w:hAnsi="宋体" w:hint="eastAsia"/>
                <w:i w:val="0"/>
                <w:iCs w:val="0"/>
                <w:color w:val="000000"/>
                <w:sz w:val="18"/>
                <w:szCs w:val="18"/>
                <w:u w:val="none"/>
                <w:highlight w:val="none"/>
              </w:rPr>
            </w:pPr>
            <w:r>
              <w:rPr>
                <w:rFonts w:ascii="方正仿宋_GB2312" w:eastAsia="方正仿宋_GB2312" w:cs="方正仿宋_GB2312" w:hAnsi="方正仿宋_GB2312" w:hint="eastAsia"/>
                <w:i w:val="0"/>
                <w:iCs w:val="0"/>
                <w:color w:val="000000"/>
                <w:kern w:val="0"/>
                <w:sz w:val="18"/>
                <w:szCs w:val="18"/>
                <w:u w:val="none"/>
                <w:lang w:val="en-US" w:eastAsia="zh-CN"/>
                <w:highlight w:val="none"/>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ascii="仿宋_GB2312" w:eastAsia="仿宋_GB2312" w:hAnsi="宋体" w:hint="eastAsia"/>
          <w:b/>
          <w:color w:val="auto"/>
          <w:kern w:val="0"/>
          <w:sz w:val="32"/>
          <w:szCs w:val="32"/>
          <w:highlight w:val="none"/>
        </w:rPr>
      </w:pPr>
    </w:p>
    <w:p>
      <w:pPr>
        <w:rPr>
          <w:rFonts w:ascii="仿宋_GB2312" w:eastAsia="仿宋_GB2312" w:hAnsi="宋体" w:hint="eastAsia"/>
          <w:b/>
          <w:color w:val="auto"/>
          <w:kern w:val="0"/>
          <w:sz w:val="32"/>
          <w:szCs w:val="32"/>
          <w:highlight w:val="none"/>
        </w:rPr>
        <w:sectPr>
          <w:headerReference w:type="default" r:id="rId9"/>
          <w:footerReference w:type="default" r:id="rId10"/>
          <w:pgSz w:w="11906" w:h="16838"/>
          <w:pgMar w:top="850" w:right="1984" w:bottom="28" w:left="2098" w:header="851" w:footer="992" w:gutter="0"/>
          <w:pgBorders>
            <w:top w:val="none" w:sz="0" w:space="0" w:color="auto"/>
            <w:left w:val="none" w:sz="0" w:space="0" w:color="auto"/>
            <w:bottom w:val="none" w:sz="0" w:space="0" w:color="auto"/>
            <w:right w:val="none" w:sz="0" w:space="0" w:color="auto"/>
          </w:pgBorders>
          <w:cols w:num="1" w:space="720"/>
          <w:docGrid w:type="lines" w:linePitch="312" w:charSpace="0"/>
        </w:sect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rPr>
          <w:rFonts w:ascii="黑体" w:eastAsia="黑体" w:cs="黑体" w:hAnsi="宋体" w:hint="eastAsia"/>
          <w:i w:val="0"/>
          <w:iCs w:val="0"/>
          <w:caps w:val="0"/>
          <w:smallCaps w:val="0"/>
          <w:color w:val="000000"/>
          <w:spacing w:val="-20"/>
          <w:sz w:val="72"/>
          <w:szCs w:val="72"/>
          <w:shd w:val="clear" w:color="auto" w:fill="FFFFFF"/>
          <w:lang w:val="en-US" w:eastAsia="zh-CN"/>
          <w:highlight w:val="none"/>
        </w:rPr>
      </w:pPr>
    </w:p>
    <w:p>
      <w:pPr>
        <w:widowControl/>
        <w:spacing w:before="0" w:beforeAutospacing="0" w:after="0" w:afterAutospacing="0" w:line="360" w:lineRule="auto"/>
        <w:jc w:val="center"/>
        <w:outlineLvl w:val="0"/>
        <w:rPr>
          <w:rFonts w:ascii="Times New Roman" w:eastAsia="黑体" w:hAnsi="Times New Roman"/>
          <w:sz w:val="44"/>
          <w:szCs w:val="44"/>
        </w:rPr>
      </w:pPr>
      <w:r>
        <w:rPr>
          <w:rFonts w:ascii="Times New Roman" w:eastAsia="黑体" w:hAnsi="Times New Roman"/>
          <w:b w:val="0"/>
          <w:sz w:val="44"/>
          <w:szCs w:val="44"/>
        </w:rPr>
        <w:t>第三部分</w:t>
      </w:r>
      <w:r>
        <w:rPr>
          <w:rFonts w:ascii="Times New Roman" w:eastAsia="仿宋_GB2312" w:hAnsi="Times New Roman"/>
          <w:b w:val="0"/>
          <w:sz w:val="44"/>
          <w:szCs w:val="44"/>
        </w:rPr>
        <w:t>2025</w:t>
      </w:r>
      <w:r>
        <w:rPr>
          <w:rFonts w:ascii="Times New Roman" w:eastAsia="黑体" w:hAnsi="Times New Roman"/>
          <w:b w:val="0"/>
          <w:sz w:val="44"/>
          <w:szCs w:val="44"/>
        </w:rPr>
        <w:t>年度部门决算情况说明</w:t>
      </w: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1"/>
        <w:rPr>
          <w:rFonts w:ascii="黑体" w:eastAsia="黑体" w:cs="Times New Roman" w:hAnsi="Calibri" w:hint="eastAsia"/>
          <w:kern w:val="2"/>
          <w:sz w:val="32"/>
          <w:szCs w:val="32"/>
          <w:lang w:val="en-US" w:eastAsia="zh-CN" w:bidi="ar-SA"/>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1"/>
        <w:rPr>
          <w:rFonts w:ascii="黑体" w:eastAsia="黑体" w:cs="Times New Roman" w:hAnsi="Calibri" w:hint="eastAsia"/>
          <w:kern w:val="2"/>
          <w:sz w:val="32"/>
          <w:szCs w:val="32"/>
          <w:lang w:val="en-US" w:eastAsia="zh-CN" w:bidi="ar-SA"/>
        </w:rPr>
      </w:pPr>
    </w:p>
    <w:p>
      <w:pPr>
        <w:tabs>
          <w:tab w:val="left" w:pos="1071"/>
        </w:tabs>
        <w:bidi w:val="0"/>
        <w:jc w:val="left"/>
        <w:rPr>
          <w:rFonts w:hint="eastAsia"/>
          <w:lang w:val="en-US" w:eastAsia="zh-CN"/>
        </w:rPr>
        <w:sectPr>
          <w:footerReference w:type="default" r:id="rId11"/>
          <w:pgSz w:w="11906" w:h="16838"/>
          <w:pgMar w:top="2098" w:right="1417" w:bottom="1871" w:left="1417" w:header="851" w:footer="992" w:gutter="0"/>
          <w:pgBorders>
            <w:top w:val="none" w:sz="0" w:space="0" w:color="auto"/>
            <w:left w:val="none" w:sz="0" w:space="0" w:color="auto"/>
            <w:bottom w:val="none" w:sz="0" w:space="0" w:color="auto"/>
            <w:right w:val="none" w:sz="0" w:space="0" w:color="auto"/>
          </w:pgBorders>
          <w:cols w:num="1" w:space="0"/>
          <w:rtlGutter/>
          <w:docGrid w:type="lines" w:linePitch="329" w:charSpace="0"/>
        </w:sectPr>
      </w:pPr>
    </w:p>
    <w:p>
      <w:pPr>
        <w:widowControl/>
        <w:spacing w:before="0" w:beforeAutospacing="0" w:after="0" w:afterAutospacing="0" w:line="360" w:lineRule="auto"/>
        <w:jc w:val="left"/>
        <w:outlineLvl w:val="1"/>
        <w:rPr>
          <w:rFonts w:ascii="Times New Roman" w:eastAsia="黑体" w:hAnsi="Times New Roman"/>
          <w:sz w:val="32"/>
          <w:szCs w:val="32"/>
        </w:rPr>
      </w:pPr>
      <w:r>
        <w:rPr>
          <w:rFonts w:ascii="Times New Roman" w:eastAsia="黑体" w:hAnsi="Times New Roman"/>
          <w:b w:val="0"/>
          <w:sz w:val="32"/>
          <w:szCs w:val="32"/>
        </w:rPr>
        <w:t>一、收入支出决算总体情况说明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本单位2025年度收、支总计（含结转和结余）均为127.89万元。与2024年度决算相比，收支各减少2.04万元，下降1.6%，主要原因是</w:t>
      </w:r>
      <w:r>
        <w:rPr>
          <w:rFonts w:ascii="Times New Roman" w:eastAsia="仿宋_GB2312" w:hAnsi="Times New Roman"/>
          <w:b w:val="0"/>
          <w:sz w:val="32"/>
          <w:szCs w:val="32"/>
          <w:lang w:eastAsia="zh-CN"/>
        </w:rPr>
        <w:t>人员</w:t>
      </w:r>
      <w:r>
        <w:rPr>
          <w:rFonts w:ascii="Times New Roman" w:eastAsia="仿宋_GB2312" w:hAnsi="Times New Roman" w:hint="eastAsia"/>
          <w:b w:val="0"/>
          <w:sz w:val="32"/>
          <w:szCs w:val="32"/>
          <w:lang w:eastAsia="zh-CN"/>
        </w:rPr>
        <w:t>减少</w:t>
      </w:r>
      <w:r>
        <w:rPr>
          <w:rFonts w:ascii="Times New Roman" w:eastAsia="仿宋_GB2312" w:hAnsi="Times New Roman"/>
          <w:b w:val="0"/>
          <w:sz w:val="32"/>
          <w:szCs w:val="32"/>
        </w:rPr>
        <w:t>。</w:t>
      </w: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center"/>
        <w:rPr>
          <w:rFonts w:ascii="Times New Roman" w:eastAsia="Arial" w:cs="Times New Roman" w:hAnsi="Times New Roman"/>
          <w:highlight w:val="none"/>
        </w:rPr>
      </w:pPr>
      <w:r>
        <w:rPr>
          <w:rFonts w:ascii="Times New Roman" w:eastAsia="宋体" w:hAnsi="Times New Roman" w:hint="eastAsia"/>
        </w:rPr>
        <w:drawing>
          <wp:inline distT="0" distB="0" distL="114300" distR="114300">
            <wp:extent cx="5256530" cy="2988310"/>
            <wp:effectExtent l="5080" t="4444" r="8889" b="17145"/>
            <wp:docPr id="5" name="图表 5"/>
            <wp:cNvGraphicFramePr>
              <a:graphicFrameLocks noChangeAspect="0"/>
            </wp:cNvGraphicFramePr>
            <a:graphic>
              <a:graphicData uri="http://schemas.openxmlformats.org/drawingml/2006/chart">
                <c:chart xmlns:c="http://schemas.openxmlformats.org/drawingml/2006/chart" r:id="rId12"/>
              </a:graphicData>
            </a:graphic>
          </wp:inline>
        </w:drawing>
      </w:r>
      <w:r>
        <w:rPr>
          <w:rFonts w:ascii="Times New Roman" w:eastAsia="Arial" w:cs="Times New Roman" w:hAnsi="Times New Roman"/>
          <w:i w:val="0"/>
          <w:iCs w:val="0"/>
          <w:caps w:val="0"/>
          <w:smallCaps w:val="0"/>
          <w:color w:val="000000"/>
          <w:spacing w:val="0"/>
          <w:sz w:val="18"/>
          <w:szCs w:val="18"/>
          <w:shd w:val="clear" w:color="auto" w:fill="FFFFFF"/>
          <w:highlight w:val="none"/>
        </w:rPr>
        <w:t> </w:t>
      </w:r>
    </w:p>
    <w:p>
      <w:pPr>
        <w:widowControl/>
        <w:spacing w:before="0" w:beforeAutospacing="0" w:after="0" w:afterAutospacing="0" w:line="360" w:lineRule="auto"/>
        <w:jc w:val="left"/>
        <w:outlineLvl w:val="1"/>
        <w:rPr>
          <w:rFonts w:ascii="Times New Roman" w:eastAsia="黑体" w:hAnsi="Times New Roman"/>
          <w:sz w:val="32"/>
          <w:szCs w:val="32"/>
        </w:rPr>
      </w:pPr>
      <w:r>
        <w:rPr>
          <w:rFonts w:ascii="Times New Roman" w:eastAsia="黑体" w:hAnsi="Times New Roman"/>
          <w:b w:val="0"/>
          <w:sz w:val="32"/>
          <w:szCs w:val="32"/>
        </w:rPr>
        <w:t>二、收入决算情况说明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本单位2025年度本年收入合计127.89万元，其中：财政拨款收入127.89万元，占100.0%；上级补助收入0.00万元，占0.0%；事业收入0.00万元，占0.0%；经营收入0.00万元，占0.0%；附属单位上缴收入0.00万元，占0.0%；其他收入0.00万元，占0.0%。</w:t>
      </w:r>
    </w:p>
    <w:p>
      <w:pPr>
        <w:adjustRightInd w:val="0"/>
        <w:snapToGrid w:val="0"/>
        <w:spacing w:line="580" w:lineRule="exact"/>
        <w:jc w:val="both"/>
        <w:rPr>
          <w:rFonts w:ascii="Times New Roman" w:eastAsia="仿宋_GB2312" w:cs="Times New Roman" w:hAnsi="Times New Roman"/>
          <w:kern w:val="2"/>
          <w:sz w:val="32"/>
          <w:szCs w:val="32"/>
          <w:lang w:val="zh-CN"/>
          <w:highlight w:val="yellow"/>
        </w:rPr>
      </w:pPr>
      <w:r>
        <w:rPr>
          <w:rFonts w:ascii="Times New Roman" w:eastAsia="仿宋_GB2312" w:hAnsi="Times New Roman"/>
          <w:kern w:val="2"/>
          <w:sz w:val="32"/>
          <w:szCs w:val="32"/>
          <w:lang w:val="zh-CN"/>
          <w:highlight w:val="yellow"/>
        </w:rPr>
        <w:drawing>
          <wp:anchor distT="0" distB="0" distL="114300" distR="114300" simplePos="0" relativeHeight="30" behindDoc="0" locked="0" layoutInCell="1" hidden="0" allowOverlap="1">
            <wp:simplePos x="0" y="0"/>
            <wp:positionH relativeFrom="column">
              <wp:posOffset>-16510</wp:posOffset>
            </wp:positionH>
            <wp:positionV relativeFrom="paragraph">
              <wp:posOffset>201930</wp:posOffset>
            </wp:positionV>
            <wp:extent cx="5256530" cy="2988310"/>
            <wp:effectExtent l="5080" t="4444" r="8889" b="17145"/>
            <wp:wrapTopAndBottom/>
            <wp:docPr id="9" name="图表 9"/>
            <wp:cNvGraphicFramePr>
              <a:graphicFrameLocks noChangeAspect="0"/>
            </wp:cNvGraphicFramePr>
            <a:graphic>
              <a:graphicData uri="http://schemas.openxmlformats.org/drawingml/2006/chart">
                <c:chart xmlns:c="http://schemas.openxmlformats.org/drawingml/2006/chart" r:id="rId13"/>
              </a:graphicData>
            </a:graphic>
          </wp:anchor>
        </w:drawing>
      </w:r>
    </w:p>
    <w:p>
      <w:pPr>
        <w:widowControl/>
        <w:spacing w:before="0" w:beforeAutospacing="0" w:after="0" w:afterAutospacing="0" w:line="360" w:lineRule="auto"/>
        <w:jc w:val="left"/>
        <w:outlineLvl w:val="1"/>
        <w:rPr>
          <w:rFonts w:ascii="Times New Roman" w:eastAsia="黑体" w:hAnsi="Times New Roman"/>
          <w:sz w:val="32"/>
          <w:szCs w:val="32"/>
        </w:rPr>
      </w:pPr>
      <w:r>
        <w:rPr>
          <w:rFonts w:ascii="Times New Roman" w:eastAsia="黑体" w:hAnsi="Times New Roman"/>
          <w:b w:val="0"/>
          <w:sz w:val="32"/>
          <w:szCs w:val="32"/>
        </w:rPr>
        <w:t>三、支出决算情况说明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本单位2025年度本年支出合计127.89万元，其中：基本支出71.86万元，占56.2%；项目支出56.03万元，占43.8%；经营支出0.00万元，占0.0%；上缴上级支出0.00万元，占0.0%；对附属单位补助支出0.00万元，占0.0%。</w:t>
      </w:r>
    </w:p>
    <w:p>
      <w:pPr>
        <w:autoSpaceDE w:val="0"/>
        <w:autoSpaceDN w:val="0"/>
        <w:adjustRightInd w:val="0"/>
        <w:jc w:val="center"/>
        <w:rPr>
          <w:rFonts w:ascii="Times New Roman" w:eastAsia="仿宋_GB2312" w:cs="Times New Roman" w:hAnsi="Times New Roman"/>
          <w:color w:val="auto"/>
          <w:kern w:val="0"/>
          <w:sz w:val="32"/>
          <w:szCs w:val="32"/>
          <w:lang w:val="en-US" w:eastAsia="zh-CN" w:bidi="ar-SA"/>
          <w:highlight w:val="none"/>
        </w:rPr>
      </w:pPr>
      <w:r>
        <w:rPr>
          <w:rFonts w:ascii="Times New Roman" w:eastAsia="仿宋_GB2312" w:cs="Times New Roman" w:hAnsi="Times New Roman"/>
          <w:sz w:val="32"/>
          <w:szCs w:val="32"/>
          <w:highlight w:val="none"/>
        </w:rPr>
        <w:drawing>
          <wp:inline distT="0" distB="0" distL="114300" distR="114300">
            <wp:extent cx="5256530" cy="2988310"/>
            <wp:effectExtent l="5080" t="4444" r="15240" b="17145"/>
            <wp:docPr id="7" name="图表 7"/>
            <wp:cNvGraphicFramePr>
              <a:graphicFrameLocks noChangeAspect="0"/>
            </wp:cNvGraphicFramePr>
            <a:graphic>
              <a:graphicData uri="http://schemas.openxmlformats.org/drawingml/2006/chart">
                <c:chart xmlns:c="http://schemas.openxmlformats.org/drawingml/2006/chart" r:id="rId14"/>
              </a:graphicData>
            </a:graphic>
          </wp:inline>
        </w:drawing>
      </w:r>
    </w:p>
    <w:p>
      <w:pPr>
        <w:widowControl/>
        <w:spacing w:before="0" w:beforeAutospacing="0" w:after="0" w:afterAutospacing="0" w:line="360" w:lineRule="auto"/>
        <w:ind w:firstLineChars="200" w:firstLine="640"/>
        <w:jc w:val="left"/>
        <w:outlineLvl w:val="1"/>
        <w:rPr>
          <w:rFonts w:ascii="Times New Roman" w:eastAsia="黑体" w:hAnsi="Times New Roman"/>
          <w:sz w:val="32"/>
          <w:szCs w:val="32"/>
        </w:rPr>
      </w:pPr>
      <w:r>
        <w:rPr>
          <w:rFonts w:ascii="Times New Roman" w:eastAsia="黑体" w:hAnsi="Times New Roman"/>
          <w:b w:val="0"/>
          <w:sz w:val="32"/>
          <w:szCs w:val="32"/>
        </w:rPr>
        <w:t>四、财政拨款收入支出决算总体情况说明</w:t>
      </w:r>
    </w:p>
    <w:p>
      <w:pPr>
        <w:widowControl/>
        <w:spacing w:before="0" w:beforeAutospacing="0" w:after="0" w:afterAutospacing="0" w:line="360" w:lineRule="auto"/>
        <w:ind w:firstLineChars="200" w:firstLine="640"/>
        <w:jc w:val="left"/>
        <w:rPr>
          <w:rFonts w:ascii="Times New Roman" w:eastAsia="楷体_GB2312" w:hAnsi="Times New Roman"/>
          <w:sz w:val="32"/>
          <w:szCs w:val="32"/>
        </w:rPr>
      </w:pPr>
      <w:r>
        <w:rPr>
          <w:rFonts w:ascii="Times New Roman" w:eastAsia="楷体_GB2312" w:hAnsi="Times New Roman"/>
          <w:b/>
          <w:sz w:val="32"/>
          <w:szCs w:val="32"/>
        </w:rPr>
        <w:t>（一）财政拨款收支与</w:t>
      </w:r>
      <w:r>
        <w:rPr>
          <w:rFonts w:ascii="Times New Roman" w:eastAsia="仿宋_GB2312" w:hAnsi="Times New Roman"/>
          <w:b/>
          <w:sz w:val="32"/>
          <w:szCs w:val="32"/>
        </w:rPr>
        <w:t>2024</w:t>
      </w:r>
      <w:r>
        <w:rPr>
          <w:rFonts w:ascii="Times New Roman" w:eastAsia="楷体_GB2312" w:hAnsi="Times New Roman"/>
          <w:b/>
          <w:sz w:val="32"/>
          <w:szCs w:val="32"/>
        </w:rPr>
        <w:t>年度决算对比情况</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本单位2025年度财政拨款收、支总计（含结转和结余）均为127.89万元。与2024年度相比，财政拨款收支各减少2.04万元，降低1.6%，主要原因是</w:t>
      </w:r>
      <w:r>
        <w:rPr>
          <w:rFonts w:ascii="Times New Roman" w:eastAsia="仿宋_GB2312" w:hAnsi="Times New Roman"/>
          <w:b w:val="0"/>
          <w:sz w:val="32"/>
          <w:szCs w:val="32"/>
          <w:lang w:eastAsia="zh-CN"/>
        </w:rPr>
        <w:t>人员</w:t>
      </w:r>
      <w:r>
        <w:rPr>
          <w:rFonts w:ascii="Times New Roman" w:eastAsia="仿宋_GB2312" w:hAnsi="Times New Roman" w:hint="eastAsia"/>
          <w:b w:val="0"/>
          <w:sz w:val="32"/>
          <w:szCs w:val="32"/>
          <w:lang w:eastAsia="zh-CN"/>
        </w:rPr>
        <w:t>减少</w:t>
      </w:r>
      <w:r>
        <w:rPr>
          <w:rFonts w:ascii="Times New Roman" w:eastAsia="仿宋_GB2312" w:hAnsi="Times New Roman"/>
          <w:b w:val="0"/>
          <w:sz w:val="32"/>
          <w:szCs w:val="32"/>
        </w:rPr>
        <w:t>。</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本单位2025年度财政拨款本年收入127.89万元,比上年减少2.04万元，降低1.6%，主要原因是</w:t>
      </w:r>
      <w:r>
        <w:rPr>
          <w:rFonts w:ascii="Times New Roman" w:eastAsia="仿宋_GB2312" w:hAnsi="Times New Roman"/>
          <w:b w:val="0"/>
          <w:sz w:val="32"/>
          <w:szCs w:val="32"/>
          <w:lang w:eastAsia="zh-CN"/>
        </w:rPr>
        <w:t>人员</w:t>
      </w:r>
      <w:r>
        <w:rPr>
          <w:rFonts w:ascii="Times New Roman" w:eastAsia="仿宋_GB2312" w:hAnsi="Times New Roman" w:hint="eastAsia"/>
          <w:b w:val="0"/>
          <w:sz w:val="32"/>
          <w:szCs w:val="32"/>
          <w:lang w:eastAsia="zh-CN"/>
        </w:rPr>
        <w:t>支出减少</w:t>
      </w:r>
      <w:r>
        <w:rPr>
          <w:rFonts w:ascii="Times New Roman" w:eastAsia="仿宋_GB2312" w:hAnsi="Times New Roman"/>
          <w:b w:val="0"/>
          <w:sz w:val="32"/>
          <w:szCs w:val="32"/>
        </w:rPr>
        <w:t>；本年支出127.89万元，比上年减少2.04万元，降低1.6%，主要原因是</w:t>
      </w:r>
      <w:r>
        <w:rPr>
          <w:rFonts w:ascii="Times New Roman" w:eastAsia="仿宋_GB2312" w:hAnsi="Times New Roman"/>
          <w:b w:val="0"/>
          <w:sz w:val="32"/>
          <w:szCs w:val="32"/>
          <w:lang w:eastAsia="zh-CN"/>
        </w:rPr>
        <w:t>人员</w:t>
      </w:r>
      <w:r>
        <w:rPr>
          <w:rFonts w:ascii="Times New Roman" w:eastAsia="仿宋_GB2312" w:hAnsi="Times New Roman" w:hint="eastAsia"/>
          <w:b w:val="0"/>
          <w:sz w:val="32"/>
          <w:szCs w:val="32"/>
          <w:lang w:eastAsia="zh-CN"/>
        </w:rPr>
        <w:t>支出减少</w:t>
      </w:r>
      <w:r>
        <w:rPr>
          <w:rFonts w:ascii="Times New Roman" w:eastAsia="仿宋_GB2312" w:hAnsi="Times New Roman"/>
          <w:b w:val="0"/>
          <w:sz w:val="32"/>
          <w:szCs w:val="32"/>
        </w:rPr>
        <w:t>。具体情况如下：</w:t>
      </w:r>
    </w:p>
    <w:p>
      <w:pPr>
        <w:widowControl/>
        <w:spacing w:before="0" w:beforeAutospacing="0" w:after="0" w:afterAutospacing="0" w:line="360" w:lineRule="auto"/>
        <w:ind w:firstLineChars="200" w:firstLine="640"/>
        <w:jc w:val="left"/>
        <w:outlineLvl w:val="1"/>
        <w:rPr>
          <w:rFonts w:ascii="Times New Roman" w:eastAsia="仿宋_GB2312" w:hAnsi="Times New Roman"/>
          <w:sz w:val="32"/>
          <w:szCs w:val="32"/>
        </w:rPr>
      </w:pPr>
      <w:r>
        <w:rPr>
          <w:rFonts w:ascii="Times New Roman" w:eastAsia="仿宋_GB2312" w:hAnsi="Times New Roman"/>
          <w:b w:val="0"/>
          <w:sz w:val="32"/>
          <w:szCs w:val="32"/>
        </w:rPr>
        <w:t>1. 一般公共预算财政拨款本年收入127.89万元,比上年减少2.04万元，降低1.6%，主要原因是人员</w:t>
      </w:r>
      <w:r>
        <w:rPr>
          <w:rFonts w:ascii="Times New Roman" w:eastAsia="仿宋_GB2312" w:hAnsi="Times New Roman" w:hint="eastAsia"/>
          <w:b w:val="0"/>
          <w:sz w:val="32"/>
          <w:szCs w:val="32"/>
          <w:lang w:eastAsia="zh-CN"/>
        </w:rPr>
        <w:t>支出减少</w:t>
      </w:r>
      <w:r>
        <w:rPr>
          <w:rFonts w:ascii="Times New Roman" w:eastAsia="仿宋_GB2312" w:hAnsi="Times New Roman"/>
          <w:b w:val="0"/>
          <w:sz w:val="32"/>
          <w:szCs w:val="32"/>
        </w:rPr>
        <w:t>；本年支出127.89万元，比上年减少2.04万元，降低1.6%，主要原因是人员</w:t>
      </w:r>
      <w:r>
        <w:rPr>
          <w:rFonts w:ascii="Times New Roman" w:eastAsia="仿宋_GB2312" w:hAnsi="Times New Roman" w:hint="eastAsia"/>
          <w:b w:val="0"/>
          <w:sz w:val="32"/>
          <w:szCs w:val="32"/>
          <w:lang w:eastAsia="zh-CN"/>
        </w:rPr>
        <w:t>支出减少</w:t>
      </w:r>
      <w:r>
        <w:rPr>
          <w:rFonts w:ascii="Times New Roman" w:eastAsia="仿宋_GB2312" w:hAnsi="Times New Roman"/>
          <w:b w:val="0"/>
          <w:sz w:val="32"/>
          <w:szCs w:val="32"/>
        </w:rPr>
        <w:t>。</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2. 政府性基金预算财政拨款本年收入0.00万元，比上年增加0.00万元，增长0.00%，主要原因是；本年支出0.00万元，比上年增加0.00万元，增长0.00%，主要原因是。</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3. 国有资本经营预算财政拨款本年收入0.00万元，比上年增加0.00万元，增长0.00%，主要原因是；本年支出0.00万元，比上年增加0.00万元，增长0.00%，主要原因是。</w:t>
      </w: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center"/>
        <w:rPr>
          <w:rFonts w:ascii="Times New Roman" w:eastAsia="仿宋_GB2312" w:cs="Times New Roman" w:hAnsi="Times New Roman"/>
          <w:sz w:val="32"/>
          <w:szCs w:val="32"/>
          <w:lang w:val="en-US" w:eastAsia="zh-CN"/>
          <w:highlight w:val="none"/>
        </w:rPr>
      </w:pPr>
      <w:r>
        <w:rPr>
          <w:rFonts w:ascii="Times New Roman" w:eastAsia="仿宋_GB2312" w:hAnsi="Times New Roman"/>
          <w:sz w:val="32"/>
          <w:szCs w:val="32"/>
        </w:rPr>
        <w:drawing>
          <wp:inline distT="0" distB="0" distL="114300" distR="114300">
            <wp:extent cx="5256530" cy="3189604"/>
            <wp:effectExtent l="4444" t="4444" r="6350" b="6350"/>
            <wp:docPr id="19" name="图表 19"/>
            <wp:cNvGraphicFramePr>
              <a:graphicFrameLocks noChangeAspect="0"/>
            </wp:cNvGraphicFramePr>
            <a:graphic>
              <a:graphicData uri="http://schemas.openxmlformats.org/drawingml/2006/chart">
                <c:chart xmlns:c="http://schemas.openxmlformats.org/drawingml/2006/chart" r:id="rId15"/>
              </a:graphicData>
            </a:graphic>
          </wp:inline>
        </w:drawing>
      </w:r>
    </w:p>
    <w:p>
      <w:pPr>
        <w:widowControl/>
        <w:spacing w:before="0" w:beforeAutospacing="0" w:after="0" w:afterAutospacing="0" w:line="360" w:lineRule="auto"/>
        <w:ind w:firstLineChars="200" w:firstLine="640"/>
        <w:jc w:val="left"/>
        <w:rPr>
          <w:rFonts w:ascii="Times New Roman" w:eastAsia="楷体_GB2312" w:hAnsi="Times New Roman"/>
          <w:sz w:val="32"/>
          <w:szCs w:val="32"/>
        </w:rPr>
      </w:pPr>
      <w:r>
        <w:rPr>
          <w:rFonts w:ascii="Times New Roman" w:eastAsia="楷体_GB2312" w:hAnsi="Times New Roman"/>
          <w:b/>
          <w:sz w:val="32"/>
          <w:szCs w:val="32"/>
        </w:rPr>
        <w:t>（二）财政拨款收支与年初预算数对比情况</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本单位2025年度财政拨款本年收入127.89万元，完成年初预算的60.8%，比年初预算减少82.48万元，决算数小于预算数主要原因是项目</w:t>
      </w:r>
      <w:r>
        <w:rPr>
          <w:rFonts w:ascii="Times New Roman" w:eastAsia="仿宋_GB2312" w:hAnsi="Times New Roman" w:hint="eastAsia"/>
          <w:b w:val="0"/>
          <w:sz w:val="32"/>
          <w:szCs w:val="32"/>
          <w:lang w:eastAsia="zh-CN"/>
        </w:rPr>
        <w:t>支出减少</w:t>
      </w:r>
      <w:r>
        <w:rPr>
          <w:rFonts w:ascii="Times New Roman" w:eastAsia="仿宋_GB2312" w:hAnsi="Times New Roman"/>
          <w:b w:val="0"/>
          <w:sz w:val="32"/>
          <w:szCs w:val="32"/>
        </w:rPr>
        <w:t>；本年支出127.89万元，完成年初预算的60.8%，比年初预算减少82.48万元，决算数小于预算数主要原因是项目</w:t>
      </w:r>
      <w:r>
        <w:rPr>
          <w:rFonts w:ascii="Times New Roman" w:eastAsia="仿宋_GB2312" w:hAnsi="Times New Roman" w:hint="eastAsia"/>
          <w:b w:val="0"/>
          <w:sz w:val="32"/>
          <w:szCs w:val="32"/>
          <w:lang w:eastAsia="zh-CN"/>
        </w:rPr>
        <w:t>支出减少</w:t>
      </w:r>
      <w:r>
        <w:rPr>
          <w:rFonts w:ascii="Times New Roman" w:eastAsia="仿宋_GB2312" w:hAnsi="Times New Roman"/>
          <w:b w:val="0"/>
          <w:sz w:val="32"/>
          <w:szCs w:val="32"/>
        </w:rPr>
        <w:t>。具体情况如下：</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1. 一般公共预算财政拨款本年收入完成年初预算的60.8%，比年初预算减少82.48万元，主要原因是项目</w:t>
      </w:r>
      <w:r>
        <w:rPr>
          <w:rFonts w:ascii="Times New Roman" w:eastAsia="仿宋_GB2312" w:hAnsi="Times New Roman" w:hint="eastAsia"/>
          <w:b w:val="0"/>
          <w:sz w:val="32"/>
          <w:szCs w:val="32"/>
          <w:lang w:eastAsia="zh-CN"/>
        </w:rPr>
        <w:t>支出减少</w:t>
      </w:r>
      <w:r>
        <w:rPr>
          <w:rFonts w:ascii="Times New Roman" w:eastAsia="仿宋_GB2312" w:hAnsi="Times New Roman"/>
          <w:b w:val="0"/>
          <w:sz w:val="32"/>
          <w:szCs w:val="32"/>
        </w:rPr>
        <w:t>；支出完成年初预算的60.8%，比年初预算减少82.48万元，主要原因是</w:t>
      </w:r>
      <w:r>
        <w:rPr>
          <w:rFonts w:ascii="Times New Roman" w:eastAsia="仿宋_GB2312" w:hAnsi="Times New Roman" w:hint="eastAsia"/>
          <w:b w:val="0"/>
          <w:sz w:val="32"/>
          <w:szCs w:val="32"/>
          <w:lang w:eastAsia="zh-CN"/>
        </w:rPr>
        <w:t>项目支出减少</w:t>
      </w:r>
      <w:r>
        <w:rPr>
          <w:rFonts w:ascii="Times New Roman" w:eastAsia="仿宋_GB2312" w:hAnsi="Times New Roman"/>
          <w:b w:val="0"/>
          <w:sz w:val="32"/>
          <w:szCs w:val="32"/>
        </w:rPr>
        <w:t>。</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2. 政府性基金预算财政拨款本年收入完成年初预算的0.0%，比年初预算增加0.00万元，主要原因是；支出完成年初预算的0.0%，比年初预算增加0.00万元，主要原因是。</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3. 国有资本经营预算财政拨款本年收入完成年初预算的0.0%，比年初预算增加0.00万元，主要原因是；支出完成年初预算的0.0%，比年初预算增加0.00万元，主要原因是。</w:t>
      </w: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center"/>
        <w:rPr>
          <w:rFonts w:ascii="Times New Roman" w:eastAsia="仿宋_GB2312" w:cs="Times New Roman" w:hAnsi="Times New Roman"/>
          <w:color w:val="auto"/>
          <w:kern w:val="0"/>
          <w:sz w:val="32"/>
          <w:szCs w:val="32"/>
          <w:lang w:val="en-US" w:eastAsia="zh-CN" w:bidi="ar-SA"/>
          <w:highlight w:val="none"/>
        </w:rPr>
      </w:pPr>
      <w:r>
        <w:rPr>
          <w:rFonts w:ascii="Times New Roman" w:eastAsia="仿宋_GB2312" w:hAnsi="Times New Roman"/>
          <w:sz w:val="32"/>
          <w:szCs w:val="32"/>
          <w:highlight w:val="none"/>
        </w:rPr>
        <w:drawing>
          <wp:inline distT="0" distB="0" distL="114300" distR="114300">
            <wp:extent cx="5256530" cy="2988310"/>
            <wp:effectExtent l="5080" t="4444" r="8889" b="17145"/>
            <wp:docPr id="11" name="图表 11"/>
            <wp:cNvGraphicFramePr>
              <a:graphicFrameLocks noChangeAspect="0"/>
            </wp:cNvGraphicFramePr>
            <a:graphic>
              <a:graphicData uri="http://schemas.openxmlformats.org/drawingml/2006/chart">
                <c:chart xmlns:c="http://schemas.openxmlformats.org/drawingml/2006/chart" r:id="rId16"/>
              </a:graphicData>
            </a:graphic>
          </wp:inline>
        </w:drawing>
      </w:r>
    </w:p>
    <w:p>
      <w:pPr>
        <w:widowControl/>
        <w:spacing w:before="0" w:beforeAutospacing="0" w:after="0" w:afterAutospacing="0" w:line="360" w:lineRule="auto"/>
        <w:ind w:firstLineChars="200" w:firstLine="640"/>
        <w:jc w:val="left"/>
        <w:rPr>
          <w:rFonts w:ascii="Times New Roman" w:eastAsia="楷体_GB2312" w:hAnsi="Times New Roman"/>
          <w:sz w:val="32"/>
          <w:szCs w:val="32"/>
        </w:rPr>
      </w:pPr>
      <w:r>
        <w:rPr>
          <w:rFonts w:ascii="Times New Roman" w:eastAsia="楷体_GB2312" w:hAnsi="Times New Roman"/>
          <w:b/>
          <w:sz w:val="32"/>
          <w:szCs w:val="32"/>
        </w:rPr>
        <w:t>（三）财政拨款支出决算结构情况</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2025年度财政拨款支出127.89万元，主要用于以下方面：</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一般公共预算财政拨款支出：</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社会保障和就业 （类）支出5.09万元，占4.0%，主要用于事业单位保险等支出；卫生健康（类）支出2.79万元，占2.2%，主要用于事业单位保险等支出；城乡社区（类）支出115.80万元，占90.5%，主要用于工资保险等支出；住房保障（类）支出4.21万元，占3.3%，主要用于住房公积金等支出；。</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政府性基金预算财政拨款支出：</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一般公共服务（类）支出0.00万元，占0.0%，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0.00%，主要用于等支出。</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国有资本经营预算财政拨款支出：</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一般公共服务（类）支出0.00万元，占0.0%，主要用于等支出；外交（类）支出0.00万元，占0.0%，主要用于等支出；国防（类）支出0.00万元，占0.0%，主要用于等支出；公共安全（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pPr>
        <w:widowControl/>
        <w:spacing w:before="0" w:beforeAutospacing="0" w:after="0" w:afterAutospacing="0" w:line="360" w:lineRule="auto"/>
        <w:ind w:firstLineChars="200" w:firstLine="640"/>
        <w:jc w:val="left"/>
        <w:rPr>
          <w:rFonts w:ascii="Times New Roman" w:eastAsia="楷体_GB2312" w:hAnsi="Times New Roman"/>
          <w:sz w:val="32"/>
          <w:szCs w:val="32"/>
        </w:rPr>
      </w:pPr>
      <w:r>
        <w:rPr>
          <w:rFonts w:ascii="Times New Roman" w:eastAsia="楷体_GB2312" w:hAnsi="Times New Roman"/>
          <w:b/>
          <w:sz w:val="32"/>
          <w:szCs w:val="32"/>
        </w:rPr>
        <w:t>（四）一般公共预算财政拨款基本支出决算情况说明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2025年度财政拨款基本支出71.86万元，其中：</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人员经费68.04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公用经费3.82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pPr>
        <w:widowControl/>
        <w:spacing w:before="0" w:beforeAutospacing="0" w:after="0" w:afterAutospacing="0" w:line="360" w:lineRule="auto"/>
        <w:ind w:firstLineChars="200" w:firstLine="640"/>
        <w:jc w:val="left"/>
        <w:outlineLvl w:val="1"/>
        <w:rPr>
          <w:rFonts w:ascii="Times New Roman" w:eastAsia="黑体" w:hAnsi="Times New Roman"/>
          <w:sz w:val="32"/>
          <w:szCs w:val="32"/>
        </w:rPr>
      </w:pPr>
      <w:r>
        <w:rPr>
          <w:rFonts w:ascii="Times New Roman" w:eastAsia="黑体" w:hAnsi="Times New Roman"/>
          <w:b w:val="0"/>
          <w:sz w:val="32"/>
          <w:szCs w:val="32"/>
        </w:rPr>
        <w:t>五、财政拨款“三公” 经费支出决算情况说明</w:t>
      </w:r>
    </w:p>
    <w:p>
      <w:pPr>
        <w:widowControl/>
        <w:spacing w:before="0" w:beforeAutospacing="0" w:after="0" w:afterAutospacing="0" w:line="360" w:lineRule="auto"/>
        <w:ind w:firstLineChars="200" w:firstLine="640"/>
        <w:jc w:val="left"/>
        <w:rPr>
          <w:rFonts w:ascii="Times New Roman" w:eastAsia="楷体_GB2312" w:hAnsi="Times New Roman"/>
          <w:sz w:val="32"/>
          <w:szCs w:val="32"/>
        </w:rPr>
      </w:pPr>
      <w:r>
        <w:rPr>
          <w:rFonts w:ascii="Times New Roman" w:eastAsia="楷体_GB2312" w:hAnsi="Times New Roman"/>
          <w:b/>
          <w:sz w:val="32"/>
          <w:szCs w:val="32"/>
        </w:rPr>
        <w:t>（一）“三公”经费财政拨款支出决算总体情况说明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本单位2025年度“三公”经费财政拨款支出预算为0.05万元，支出决算为0.00万元，完成预算的0.0%，较预算减少0.05万元，降低100.0%，主要原因是</w:t>
      </w:r>
      <w:r>
        <w:rPr>
          <w:rFonts w:ascii="Times New Roman" w:eastAsia="仿宋_GB2312" w:hAnsi="Times New Roman" w:hint="eastAsia"/>
          <w:b w:val="0"/>
          <w:sz w:val="32"/>
          <w:szCs w:val="32"/>
          <w:lang w:eastAsia="zh-CN"/>
        </w:rPr>
        <w:t>暂时无接待</w:t>
      </w:r>
      <w:r>
        <w:rPr>
          <w:rFonts w:ascii="Times New Roman" w:eastAsia="仿宋_GB2312" w:hAnsi="Times New Roman"/>
          <w:b w:val="0"/>
          <w:sz w:val="32"/>
          <w:szCs w:val="32"/>
        </w:rPr>
        <w:t>；较2024年度决算增加0.00万元，增长0.00%，主要原因是。</w:t>
      </w:r>
    </w:p>
    <w:p>
      <w:pPr>
        <w:widowControl/>
        <w:spacing w:before="0" w:beforeAutospacing="0" w:after="0" w:afterAutospacing="0" w:line="360" w:lineRule="auto"/>
        <w:ind w:firstLineChars="200" w:firstLine="640"/>
        <w:jc w:val="left"/>
        <w:rPr>
          <w:rFonts w:ascii="Times New Roman" w:eastAsia="楷体_GB2312" w:hAnsi="Times New Roman"/>
          <w:sz w:val="32"/>
          <w:szCs w:val="32"/>
        </w:rPr>
      </w:pPr>
      <w:r>
        <w:rPr>
          <w:rFonts w:ascii="Times New Roman" w:eastAsia="楷体_GB2312" w:hAnsi="Times New Roman"/>
          <w:b/>
          <w:sz w:val="32"/>
          <w:szCs w:val="32"/>
        </w:rPr>
        <w:t>（二）“三公”经费财政拨款支出决算具体情况说明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楷体_GB2312" w:hAnsi="Times New Roman"/>
          <w:b/>
          <w:sz w:val="32"/>
          <w:szCs w:val="32"/>
        </w:rPr>
        <w:t>1.因公出国（境）费支出情况。</w:t>
      </w:r>
      <w:r>
        <w:rPr>
          <w:rFonts w:ascii="Times New Roman" w:eastAsia="仿宋_GB2312" w:hAnsi="Times New Roman"/>
          <w:b w:val="0"/>
          <w:sz w:val="32"/>
          <w:szCs w:val="32"/>
        </w:rPr>
        <w:t>本单位2025年度因公出国（境）费支出预算为0.00万元,支出决算0.00万元。完成预算的0.0%。因公出国（境）费支出较预算增加0.00万元，增长0.0%,主要原因是；较上年增加0.00万元，增长0.00%,主要原因是。因公出国（境）团组0个、共0人、参加其他单位组织的因公出国（境）团组个、共人/无本部门组织的出国（境）团组。</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楷体_GB2312" w:hAnsi="Times New Roman"/>
          <w:b/>
          <w:sz w:val="32"/>
          <w:szCs w:val="32"/>
        </w:rPr>
        <w:t>2.公务用车购置及运行维护费支出情况。</w:t>
      </w:r>
      <w:r>
        <w:rPr>
          <w:rFonts w:ascii="Times New Roman" w:eastAsia="仿宋_GB2312" w:hAnsi="Times New Roman"/>
          <w:b w:val="0"/>
          <w:sz w:val="32"/>
          <w:szCs w:val="32"/>
        </w:rPr>
        <w:t>本单位2025年度公务用车购置及运行维护费预算为0.00万元，支出决算0.00万元，完成预算的0.0%,较预算增加0.00万元，增长0.0%,主要原因是；较上年增加0.00万元，增长0.00%,主要原因是。其中：</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公务用车购置费支出0.00万元：</w:t>
      </w:r>
      <w:r>
        <w:rPr>
          <w:rFonts w:ascii="Times New Roman" w:eastAsia="仿宋_GB2312" w:hAnsi="Times New Roman"/>
          <w:b w:val="0"/>
          <w:sz w:val="32"/>
          <w:szCs w:val="32"/>
        </w:rPr>
        <w:t>本单位2025年度公务用车购置量0辆，发生“公务用车购置”经费支出0.00万元。公务用车购置费支出较预算增加0.00万元，增长0.0%,主要原因是；较上年增加0.00万元，增长0.00%,主要原因是。</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公务用车运行维护费支出0.00万元：</w:t>
      </w:r>
      <w:r>
        <w:rPr>
          <w:rFonts w:ascii="Times New Roman" w:eastAsia="仿宋_GB2312" w:hAnsi="Times New Roman"/>
          <w:b w:val="0"/>
          <w:sz w:val="32"/>
          <w:szCs w:val="32"/>
        </w:rPr>
        <w:t>本单位2025年度单位公务用车保有量0辆，发生运行维护费支出0.00万元。公车运行维护费支出较预算增加0.00万元，增长0.0%,主要原因是；较上年增加0.00万元，增长0.00%，主要原因是。</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楷体_GB2312" w:hAnsi="Times New Roman"/>
          <w:b/>
          <w:sz w:val="32"/>
          <w:szCs w:val="32"/>
        </w:rPr>
        <w:t>3.公务接待费支出情况。</w:t>
      </w:r>
      <w:r>
        <w:rPr>
          <w:rFonts w:ascii="Times New Roman" w:eastAsia="仿宋_GB2312" w:hAnsi="Times New Roman"/>
          <w:b w:val="0"/>
          <w:sz w:val="32"/>
          <w:szCs w:val="32"/>
        </w:rPr>
        <w:t>本单位2025年度公务接待费支出预算为0.05万元，支出决算0.00万元，完成预算的0.0%。公务接待费支出较预算减少0.05万元，降低100.0%,主要原因是</w:t>
      </w:r>
      <w:r>
        <w:rPr>
          <w:rFonts w:ascii="Times New Roman" w:eastAsia="仿宋_GB2312" w:hAnsi="Times New Roman" w:hint="eastAsia"/>
          <w:b w:val="0"/>
          <w:sz w:val="32"/>
          <w:szCs w:val="32"/>
          <w:lang w:eastAsia="zh-CN"/>
        </w:rPr>
        <w:t>暂时无接待</w:t>
      </w:r>
      <w:r>
        <w:rPr>
          <w:rFonts w:ascii="Times New Roman" w:eastAsia="仿宋_GB2312" w:hAnsi="Times New Roman"/>
          <w:b w:val="0"/>
          <w:sz w:val="32"/>
          <w:szCs w:val="32"/>
        </w:rPr>
        <w:t>；较上年度增加0.00万元，增长0.00%,主要原因是。本年度共发生公务接待0批次、0人次。</w:t>
      </w:r>
    </w:p>
    <w:p>
      <w:pPr>
        <w:widowControl/>
        <w:spacing w:before="0" w:beforeAutospacing="0" w:after="0" w:afterAutospacing="0" w:line="360" w:lineRule="auto"/>
        <w:ind w:firstLineChars="200" w:firstLine="640"/>
        <w:jc w:val="left"/>
        <w:outlineLvl w:val="1"/>
        <w:rPr>
          <w:rFonts w:ascii="Times New Roman" w:eastAsia="黑体" w:hAnsi="Times New Roman"/>
          <w:sz w:val="32"/>
          <w:szCs w:val="32"/>
        </w:rPr>
      </w:pPr>
      <w:r>
        <w:rPr>
          <w:rFonts w:ascii="Times New Roman" w:eastAsia="黑体" w:hAnsi="Times New Roman"/>
          <w:b w:val="0"/>
          <w:sz w:val="32"/>
          <w:szCs w:val="32"/>
        </w:rPr>
        <w:t>六、机关运行经费支出说明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本单位2025年度机关运行经费支出0.00万元，较2024年度增加0.00万元，增长0.00%。主要原因是。</w:t>
      </w:r>
    </w:p>
    <w:p>
      <w:pPr>
        <w:widowControl/>
        <w:spacing w:before="0" w:beforeAutospacing="0" w:after="0" w:afterAutospacing="0" w:line="360" w:lineRule="auto"/>
        <w:ind w:firstLineChars="200" w:firstLine="640"/>
        <w:jc w:val="left"/>
        <w:outlineLvl w:val="1"/>
        <w:rPr>
          <w:rFonts w:ascii="Times New Roman" w:eastAsia="黑体" w:hAnsi="Times New Roman"/>
          <w:sz w:val="32"/>
          <w:szCs w:val="32"/>
        </w:rPr>
      </w:pPr>
      <w:r>
        <w:rPr>
          <w:rFonts w:ascii="Times New Roman" w:eastAsia="黑体" w:hAnsi="Times New Roman"/>
          <w:b w:val="0"/>
          <w:sz w:val="32"/>
          <w:szCs w:val="32"/>
        </w:rPr>
        <w:t>七、政府采购支出说明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本单位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pPr>
        <w:widowControl/>
        <w:spacing w:before="0" w:beforeAutospacing="0" w:after="0" w:afterAutospacing="0" w:line="360" w:lineRule="auto"/>
        <w:ind w:firstLineChars="200" w:firstLine="640"/>
        <w:jc w:val="left"/>
        <w:outlineLvl w:val="1"/>
        <w:rPr>
          <w:rFonts w:ascii="Times New Roman" w:eastAsia="黑体" w:hAnsi="Times New Roman"/>
          <w:sz w:val="32"/>
          <w:szCs w:val="32"/>
        </w:rPr>
      </w:pPr>
      <w:r>
        <w:rPr>
          <w:rFonts w:ascii="Times New Roman" w:eastAsia="黑体" w:hAnsi="Times New Roman"/>
          <w:b w:val="0"/>
          <w:sz w:val="32"/>
          <w:szCs w:val="32"/>
        </w:rPr>
        <w:t>八、国有资产占用情况说明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截至2025年12月31日，本单位共有车辆0辆，比上年增加0辆，主要是。其中，副部（省）级及以上领导用车0辆，主要负责人用车0辆，机要通信用车0辆，应急保障用车0辆，执法执勤用车0辆，特种专业技术用车0辆，离退休干部用车0辆，其他用车0辆，其他用车主要是。单位价值100万元（含）以上设备（不含车辆）0台（套）。</w:t>
      </w:r>
    </w:p>
    <w:p>
      <w:pPr>
        <w:widowControl/>
        <w:spacing w:before="0" w:beforeAutospacing="0" w:after="0" w:afterAutospacing="0" w:line="360" w:lineRule="auto"/>
        <w:ind w:firstLineChars="200" w:firstLine="640"/>
        <w:jc w:val="left"/>
        <w:outlineLvl w:val="1"/>
        <w:rPr>
          <w:rFonts w:ascii="Times New Roman" w:eastAsia="黑体" w:hAnsi="Times New Roman"/>
          <w:sz w:val="32"/>
          <w:szCs w:val="32"/>
        </w:rPr>
      </w:pPr>
      <w:r>
        <w:rPr>
          <w:rFonts w:ascii="Times New Roman" w:eastAsia="黑体" w:hAnsi="Times New Roman"/>
          <w:b w:val="0"/>
          <w:sz w:val="32"/>
          <w:szCs w:val="32"/>
        </w:rPr>
        <w:t>九、关于2025年度绩效评价情况的说明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（一）绩效评价工作开展情况</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根据预算绩效管理要求，本单位组织对2025年度本级预算项目支出全面开展绩效自评，共涉及资金万元（决算金额）。其中，一般公共预算项目0个，涉及资金0万元，占一般公共预算项目支出总额的0%；政府性基金预算项目0个，涉及资金0万元，占政府性基金预算项目支出总额的0%；国有资本经营预算项目0个，涉及资金0万元，占国有资本经营预算项目支出总额的0%。</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组织对等个项目开展了部门重点评价，涉及一般公共预算支出0万元，政府性基金预算支出0万元，国有资本经营预算支出0万元，从评价情况来看。</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（二）部门决算中项目绩效自评结果</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本单位在今年部门决算公开中反映等0</w:t>
      </w:r>
      <w:bookmarkStart w:id="0" w:name="_GoBack"/>
      <w:bookmarkEnd w:id="0"/>
      <w:r>
        <w:rPr>
          <w:rFonts w:ascii="Times New Roman" w:eastAsia="仿宋_GB2312" w:hAnsi="Times New Roman"/>
          <w:b w:val="0"/>
          <w:sz w:val="32"/>
          <w:szCs w:val="32"/>
        </w:rPr>
        <w:t>个项目绩效自评结果。</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项目绩效自评情况：根据年初设定的绩效目标，项目绩效自评得分为分（绩效自评表附后）。全年预算数为0万元，执行数为0万元，完成预算的0%。项目绩效目标完成情况：一是无；二是无。发现的主要问题及原因是：一是无；二是无。下一步改进措施：一是无；二是无。</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（三）部门评价项目绩效评价结果（如有）</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sz w:val="32"/>
          <w:szCs w:val="32"/>
        </w:rPr>
        <w:t>我单位无</w:t>
      </w:r>
      <w:r>
        <w:rPr>
          <w:rFonts w:ascii="Times New Roman" w:eastAsia="仿宋_GB2312" w:hAnsi="Times New Roman"/>
          <w:b/>
          <w:sz w:val="32"/>
          <w:szCs w:val="32"/>
        </w:rPr>
        <w:t>绩效评价。</w:t>
      </w:r>
    </w:p>
    <w:p>
      <w:pPr>
        <w:widowControl/>
        <w:spacing w:before="0" w:beforeAutospacing="0" w:after="0" w:afterAutospacing="0" w:line="360" w:lineRule="auto"/>
        <w:ind w:firstLineChars="200" w:firstLine="640"/>
        <w:jc w:val="left"/>
        <w:rPr>
          <w:rFonts w:ascii="Times New Roman" w:eastAsia="黑体" w:hAnsi="Times New Roman"/>
          <w:sz w:val="32"/>
          <w:szCs w:val="32"/>
        </w:rPr>
      </w:pPr>
      <w:r>
        <w:rPr>
          <w:rFonts w:ascii="Times New Roman" w:eastAsia="黑体" w:hAnsi="Times New Roman"/>
          <w:b w:val="0"/>
          <w:sz w:val="32"/>
          <w:szCs w:val="32"/>
        </w:rPr>
        <w:t>十、其他需要说明的情况</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1.本单位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2. 由于决算公开表格中金额数值应当保留两位小数，公开数据为四舍五入计算结果，个别数据合计项与分项之和存在小数点后差额，特此说明。</w:t>
      </w:r>
    </w:p>
    <w:p>
      <w:pPr>
        <w:rPr>
          <w:rFonts w:ascii="Times New Roman" w:eastAsia="黑体" w:cs="Times New Roman" w:hAnsi="Times New Roman" w:hint="eastAsia"/>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r>
        <w:rPr>
          <w:rFonts w:ascii="Times New Roman" w:eastAsia="仿宋_GB2312" w:cs="Times New Roman" w:hAnsi="Times New Roman"/>
          <w:sz w:val="32"/>
          <w:szCs w:val="32"/>
        </w:rPr>
        <w:br w:type="page"/>
      </w:r>
    </w:p>
    <w:p>
      <w:pPr>
        <w:widowControl/>
        <w:jc w:val="both"/>
        <w:rPr>
          <w:rFonts w:ascii="Times New Roman" w:eastAsia="黑体" w:cs="Times New Roman" w:hAnsi="Times New Roman" w:hint="eastAsia"/>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spacing w:before="0" w:beforeAutospacing="0" w:after="0" w:afterAutospacing="0" w:line="360" w:lineRule="auto"/>
        <w:jc w:val="center"/>
        <w:outlineLvl w:val="0"/>
        <w:rPr>
          <w:rFonts w:ascii="Times New Roman" w:eastAsia="黑体" w:hAnsi="Times New Roman"/>
          <w:sz w:val="44"/>
          <w:szCs w:val="44"/>
        </w:rPr>
      </w:pPr>
      <w:r>
        <w:rPr>
          <w:rFonts w:ascii="Times New Roman" w:eastAsia="黑体" w:hAnsi="Times New Roman"/>
          <w:b w:val="0"/>
          <w:sz w:val="44"/>
          <w:szCs w:val="44"/>
        </w:rPr>
        <w:t>第四部分 名词解释</w:t>
      </w:r>
    </w:p>
    <w:p>
      <w:pPr>
        <w:widowControl/>
        <w:jc w:val="both"/>
        <w:rPr>
          <w:rFonts w:ascii="Times New Roman" w:eastAsia="黑体" w:cs="Times New Roman" w:hAnsi="Times New Roman"/>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一、财政拨款收入：</w:t>
      </w:r>
      <w:r>
        <w:rPr>
          <w:rFonts w:ascii="Times New Roman" w:eastAsia="仿宋_GB2312" w:hAnsi="Times New Roman"/>
          <w:b w:val="0"/>
          <w:sz w:val="32"/>
          <w:szCs w:val="32"/>
        </w:rPr>
        <w:t>指单位从同级财政部门取得的财政预算资金。</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二、事业收入：</w:t>
      </w:r>
      <w:r>
        <w:rPr>
          <w:rFonts w:ascii="Times New Roman" w:eastAsia="仿宋_GB2312" w:hAnsi="Times New Roman"/>
          <w:b w:val="0"/>
          <w:sz w:val="32"/>
          <w:szCs w:val="32"/>
        </w:rPr>
        <w:t>指事业单位开展专业业务活动及辅助活动取得的收入。</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三、经营收入：</w:t>
      </w:r>
      <w:r>
        <w:rPr>
          <w:rFonts w:ascii="Times New Roman" w:eastAsia="仿宋_GB2312" w:hAnsi="Times New Roman"/>
          <w:b w:val="0"/>
          <w:sz w:val="32"/>
          <w:szCs w:val="32"/>
        </w:rPr>
        <w:t>指事业单位在专业业务活动及其辅助活动之外开展非独立核算经营活动取得的收入。</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四、其他收入：</w:t>
      </w:r>
      <w:r>
        <w:rPr>
          <w:rFonts w:ascii="Times New Roman" w:eastAsia="仿宋_GB2312" w:hAnsi="Times New Roman"/>
          <w:b w:val="0"/>
          <w:sz w:val="32"/>
          <w:szCs w:val="32"/>
        </w:rPr>
        <w:t>指单位取得的除上述收入以外的各项收入。主要是事业单位固定资产出租收入、存款利息收入等。</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五、使用非财政拨款结余（含专用结余）：</w:t>
      </w:r>
      <w:r>
        <w:rPr>
          <w:rFonts w:ascii="Times New Roman" w:eastAsia="仿宋_GB2312" w:hAnsi="Times New Roman"/>
          <w:b w:val="0"/>
          <w:sz w:val="32"/>
          <w:szCs w:val="32"/>
        </w:rPr>
        <w:t>指事业单位按照预算管理要求使用非财政拨款结余弥补收支差额的金额，以及使用专用结余安排支出的金额。</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六、年初结转和结余：</w:t>
      </w:r>
      <w:r>
        <w:rPr>
          <w:rFonts w:ascii="Times New Roman" w:eastAsia="仿宋_GB2312" w:hAnsi="Times New Roman"/>
          <w:b w:val="0"/>
          <w:sz w:val="32"/>
          <w:szCs w:val="32"/>
        </w:rPr>
        <w:t>指单位以前年度尚未完成、结转到本年仍按原规定用途继续使用的资金，或项目已完成等产生的结余资金。</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七、结余分配：</w:t>
      </w:r>
      <w:r>
        <w:rPr>
          <w:rFonts w:ascii="Times New Roman" w:eastAsia="仿宋_GB2312" w:hAnsi="Times New Roman"/>
          <w:b w:val="0"/>
          <w:sz w:val="32"/>
          <w:szCs w:val="32"/>
        </w:rPr>
        <w:t>指事业单位按照会计制度规定缴纳的所得税、提取的专用结余以及转入非财政拨款结余的金额等。</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八、年末结转和结余：</w:t>
      </w:r>
      <w:r>
        <w:rPr>
          <w:rFonts w:ascii="Times New Roman" w:eastAsia="仿宋_GB2312" w:hAnsi="Times New Roman"/>
          <w:b w:val="0"/>
          <w:sz w:val="32"/>
          <w:szCs w:val="32"/>
        </w:rPr>
        <w:t>指单位按有关规定结转到下年或以后年度继续使用的资金，或项目已完成等产生的结余资金。</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九、基本支出：</w:t>
      </w:r>
      <w:r>
        <w:rPr>
          <w:rFonts w:ascii="Times New Roman" w:eastAsia="仿宋_GB2312" w:hAnsi="Times New Roman"/>
          <w:b w:val="0"/>
          <w:sz w:val="32"/>
          <w:szCs w:val="32"/>
        </w:rPr>
        <w:t>指为保障机构正常运转、完成日常工作任务而发生的人员支出和公用支出。</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十、项目支出：</w:t>
      </w:r>
      <w:r>
        <w:rPr>
          <w:rFonts w:ascii="Times New Roman" w:eastAsia="仿宋_GB2312" w:hAnsi="Times New Roman"/>
          <w:b w:val="0"/>
          <w:sz w:val="32"/>
          <w:szCs w:val="32"/>
        </w:rPr>
        <w:t>指在基本支出之外为完成特定行政任务和事业发展目标所发生的支出。</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十一、经营支出 ：</w:t>
      </w:r>
      <w:r>
        <w:rPr>
          <w:rFonts w:ascii="Times New Roman" w:eastAsia="仿宋_GB2312" w:hAnsi="Times New Roman"/>
          <w:b w:val="0"/>
          <w:sz w:val="32"/>
          <w:szCs w:val="32"/>
        </w:rPr>
        <w:t>指事业单位在专业业务活动及其辅助活动之外开展非独立核算经营活动发生的支出。</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十二、基本建设支出：</w:t>
      </w:r>
      <w:r>
        <w:rPr>
          <w:rFonts w:ascii="Times New Roman" w:eastAsia="仿宋_GB2312" w:hAnsi="Times New Roman"/>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十三、其他资本性支出：</w:t>
      </w:r>
      <w:r>
        <w:rPr>
          <w:rFonts w:ascii="Times New Roman" w:eastAsia="仿宋_GB2312" w:hAnsi="Times New Roman"/>
          <w:b w:val="0"/>
          <w:sz w:val="32"/>
          <w:szCs w:val="32"/>
        </w:rPr>
        <w:t>填列由各级非发展与改革部门集中安排的用于购置固定资产、战备性和应急性储备、土地和无形资产，以及购建基础设施、大型修缮和财政支持企业更新改造所发生的支出。</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十四、“三公”经费：</w:t>
      </w:r>
      <w:r>
        <w:rPr>
          <w:rFonts w:ascii="Times New Roman" w:eastAsia="仿宋_GB2312" w:hAnsi="Times New Roman"/>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十五、其他交通费用：</w:t>
      </w:r>
      <w:r>
        <w:rPr>
          <w:rFonts w:ascii="Times New Roman" w:eastAsia="仿宋_GB2312" w:hAnsi="Times New Roman"/>
          <w:b w:val="0"/>
          <w:sz w:val="32"/>
          <w:szCs w:val="32"/>
        </w:rPr>
        <w:t>填列单位除公务用车运行维护费以外的其他交通费用。如公务交通补贴、租车费用、出租车费用，飞机、船舶等燃料费、维修费、保险费等。</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十六、公务用车购置：</w:t>
      </w:r>
      <w:r>
        <w:rPr>
          <w:rFonts w:ascii="Times New Roman" w:eastAsia="仿宋_GB2312" w:hAnsi="Times New Roman"/>
          <w:b w:val="0"/>
          <w:sz w:val="32"/>
          <w:szCs w:val="32"/>
        </w:rPr>
        <w:t>填列单位公务用车车辆购置支出（含车辆购置税、牌照费）。</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十七、其他交通工具购置：</w:t>
      </w:r>
      <w:r>
        <w:rPr>
          <w:rFonts w:ascii="Times New Roman" w:eastAsia="仿宋_GB2312" w:hAnsi="Times New Roman"/>
          <w:b w:val="0"/>
          <w:sz w:val="32"/>
          <w:szCs w:val="32"/>
        </w:rPr>
        <w:t>填列单位除公务用车外的其他各类交通工具（如船舶、飞机等）购置支出（含车辆购置税、牌照费）。</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十八、机关运行经费：</w:t>
      </w:r>
      <w:r>
        <w:rPr>
          <w:rFonts w:ascii="Times New Roman" w:eastAsia="仿宋_GB2312" w:hAnsi="Times New Roman"/>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color="auto"/>
        <w:left w:val="none" w:sz="0" w:space="0" w:color="auto"/>
        <w:bottom w:val="none" w:sz="0" w:space="0" w:color="auto"/>
        <w:right w:val="none" w:sz="0" w:space="0" w:color="auto"/>
      </w:pgBorders>
      <w:cols w:num="1" w:space="0"/>
      <w:rtlGutter/>
      <w:docGrid w:type="lines" w:linePitch="329" w:charSpace="0"/>
    </w:sectPr>
  </w:body>
</w:document>
</file>

<file path=word/fontTable.xml><?xml version="1.0" encoding="utf-8"?>
<w:fonts xmlns:w="http://schemas.openxmlformats.org/wordprocessingml/2006/main" xmlns:r="http://schemas.openxmlformats.org/officeDocument/2006/relationships">
  <w:font w:name="微软雅黑">
    <w:panose1 w:val="020B0503020204020204"/>
    <w:charset w:val="86"/>
    <w:family w:val="auto"/>
    <w:pitch w:val="variable"/>
    <w:sig w:usb0="80000287" w:usb1="280F3C52" w:usb2="00000016" w:usb3="00000000" w:csb0="0004001F" w:csb1="00000000"/>
  </w:font>
  <w:font w:name="楷体_GB2312">
    <w:altName w:val="楷体"/>
    <w:panose1 w:val="02010609030101010101"/>
    <w:charset w:val="86"/>
    <w:family w:val="auto"/>
    <w:pitch w:val="variable"/>
    <w:sig w:usb0="00000000" w:usb1="00000000" w:usb2="00000000" w:usb3="00000000" w:csb0="00000000" w:csb1="00000000"/>
  </w:font>
  <w:font w:name="黑体">
    <w:panose1 w:val="02010609060101010101"/>
    <w:charset w:val="86"/>
    <w:family w:val="auto"/>
    <w:pitch w:val="variable"/>
    <w:sig w:usb0="800002BF" w:usb1="38CF7CFA" w:usb2="00000016" w:usb3="00000000" w:csb0="00040001" w:csb1="00000000"/>
  </w:font>
  <w:font w:name="Times New Roman">
    <w:panose1 w:val="02020603050405020304"/>
    <w:charset w:val="86"/>
    <w:family w:val="roman"/>
    <w:pitch w:val="variable"/>
    <w:sig w:usb0="E0002AFF" w:usb1="C0007841" w:usb2="00000009" w:usb3="00000000" w:csb0="400001FF" w:csb1="FFFF0000"/>
  </w:font>
  <w:font w:name="方正小标宋_GBK">
    <w:panose1 w:val="02000000000000000000"/>
    <w:charset w:val="86"/>
    <w:family w:val="script"/>
    <w:pitch w:val="variable"/>
    <w:sig w:usb0="00000000" w:usb1="00000000" w:usb2="00000000" w:usb3="00000000" w:csb0="00000000" w:csb1="00000000"/>
  </w:font>
  <w:font w:name="仿宋_GB2312">
    <w:altName w:val="仿宋"/>
    <w:panose1 w:val="02010609030101010101"/>
    <w:charset w:val="86"/>
    <w:family w:val="auto"/>
    <w:pitch w:val="variable"/>
    <w:sig w:usb0="00000000" w:usb1="00000000" w:usb2="00000000" w:usb3="00000000" w:csb0="00000000" w:csb1="00000000"/>
  </w:font>
  <w:font w:name="宋体">
    <w:panose1 w:val="02010600030101010101"/>
    <w:charset w:val="50"/>
    <w:family w:val="auto"/>
    <w:pitch w:val="variable"/>
    <w:sig w:usb0="00000003" w:usb1="288F0000" w:usb2="00000006" w:usb3="00000000" w:csb0="00040001" w:csb1="00000000"/>
  </w:font>
  <w:font w:name="仿宋">
    <w:panose1 w:val="02010609060101010101"/>
    <w:charset w:val="86"/>
    <w:family w:val="modern"/>
    <w:pitch w:val="variable"/>
    <w:sig w:usb0="800002BF" w:usb1="38CF7CFA" w:usb2="00000016" w:usb3="00000000" w:csb0="00040001" w:csb1="00000000"/>
  </w:font>
  <w:font w:name="ArialUnicodeMS">
    <w:altName w:val="Malgun Gothic"/>
    <w:panose1 w:val="00000000000000000000"/>
    <w:charset w:val="81"/>
    <w:family w:val="auto"/>
    <w:pitch w:val="variable"/>
    <w:sig w:usb0="00000000" w:usb1="00000000" w:usb2="00000010" w:usb3="00000000" w:csb0="00080001" w:csb1="00000000"/>
  </w:font>
  <w:font w:name="Calibri">
    <w:panose1 w:val="020F0502020204030204"/>
    <w:charset w:val="00"/>
    <w:family w:val="swiss"/>
    <w:pitch w:val="variable"/>
    <w:sig w:usb0="E00002FF" w:usb1="4000ACFF" w:usb2="00000001" w:usb3="00000000" w:csb0="2000019F" w:csb1="00000000"/>
  </w:font>
  <w:font w:name="方正仿宋_GB2312">
    <w:altName w:val="仿宋"/>
    <w:panose1 w:val="02000000000000000000"/>
    <w:charset w:val="86"/>
    <w:family w:val="auto"/>
    <w:pitch w:val="variable"/>
    <w:sig w:usb0="00000000" w:usb1="00000000" w:usb2="00000000" w:usb3="00000000" w:csb0="00000000" w:csb1="00000000"/>
  </w:font>
  <w:font w:name="Arial">
    <w:panose1 w:val="020B0604020202020204"/>
    <w:charset w:val="01"/>
    <w:family w:val="swiss"/>
    <w:pitch w:val="variable"/>
    <w:sig w:usb0="E0002AFF" w:usb1="C0007843" w:usb2="00000009" w:usb3="00000000" w:csb0="400001FF" w:csb1="FFFF0000"/>
  </w:font>
  <w:font w:name="Calibri Light">
    <w:panose1 w:val="020F0302020204030204"/>
    <w:charset w:val="00"/>
    <w:family w:val="auto"/>
    <w:pitch w:val="variable"/>
    <w:sig w:usb0="A00002EF" w:usb1="4000207B" w:usb2="00000000" w:usb3="00000000" w:csb0="2000019F" w:csb1="00000000"/>
  </w:font>
  <w:font w:name="华文中宋">
    <w:altName w:val="宋体"/>
    <w:panose1 w:val="02010600040101010101"/>
    <w:charset w:val="86"/>
    <w:family w:val="auto"/>
    <w:pitch w:val="variable"/>
    <w:sig w:usb0="00000000" w:usb1="00000000" w:usb2="00000000" w:usb3="00000000" w:csb0="0004009F" w:csb1="DFD7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7"/>
      <w:tabs>
        <w:tab w:val="center" w:pos="4153"/>
        <w:tab w:val="right" w:pos="8306"/>
      </w:tabs>
      <w:jc w:val="center"/>
    </w:pPr>
  </w:p>
  <w:p>
    <w:pPr>
      <w:pStyle w:val="17"/>
      <w:tabs>
        <w:tab w:val="center" w:pos="4153"/>
        <w:tab w:val="right" w:pos="8306"/>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ftr>
</file>

<file path=word/footer4.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7"/>
      <w:tabs>
        <w:tab w:val="center" w:pos="4153"/>
        <w:tab w:val="right" w:pos="8306"/>
      </w:tabs>
    </w:pPr>
  </w:p>
</w:ftr>
</file>

<file path=word/footer5.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ftr>
</file>

<file path=word/footer6.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8"/>
      <w:tabs>
        <w:tab w:val="center" w:pos="4153"/>
        <w:tab w:val="right" w:pos="8306"/>
      </w:tabs>
    </w:pPr>
  </w:p>
</w:hdr>
</file>

<file path=word/header2.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8"/>
      <w:tabs>
        <w:tab w:val="center" w:pos="4153"/>
        <w:tab w:val="right" w:pos="8306"/>
      </w:tabs>
    </w:pPr>
  </w:p>
</w:hdr>
</file>

<file path=word/header3.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8"/>
      <w:tabs>
        <w:tab w:val="center" w:pos="4153"/>
        <w:tab w:val="right" w:pos="8306"/>
      </w:tabs>
    </w:pPr>
  </w:p>
</w:hd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41D41719"/>
    <w:multiLevelType w:val="singleLevel"/>
    <w:tmpl w:val="41D41719"/>
    <w:lvl w:ilvl="0">
      <w:start w:val="1"/>
      <w:numFmt w:val="chineseCounting"/>
      <w:lvlRestart w:val="0"/>
      <w:suff w:val="nothing"/>
      <w:lvlText w:val="%1、"/>
      <w:lvlJc w:val="left"/>
      <w:pPr/>
      <w:rPr>
        <w:rFonts w:hint="eastAsia"/>
      </w:rPr>
    </w:lvl>
  </w:abstractNum>
  <w:abstractNum w:abstractNumId="1">
    <w:nsid w:val="54D2F410"/>
    <w:multiLevelType w:val="multilevel"/>
    <w:tmpl w:val="5F16A424"/>
    <w:lvl w:ilvl="0">
      <w:start w:val="1"/>
      <w:numFmt w:val="decimal"/>
      <w:lvlRestart w:val="0"/>
      <w:pStyle w:val="1"/>
      <w:lvlText w:val="%1."/>
      <w:lvlJc w:val="left"/>
      <w:pPr>
        <w:ind w:left="425" w:hanging="425"/>
      </w:pPr>
      <w:rPr>
        <w:rFonts w:hint="default"/>
      </w:rPr>
    </w:lvl>
    <w:lvl w:ilvl="1">
      <w:start w:val="1"/>
      <w:numFmt w:val="decimal"/>
      <w:pStyle w:val="2"/>
      <w:lvlText w:val="%1.%2."/>
      <w:lvlJc w:val="left"/>
      <w:pPr>
        <w:ind w:left="567" w:hanging="567"/>
      </w:pPr>
      <w:rPr>
        <w:rFonts w:hint="default"/>
      </w:rPr>
    </w:lvl>
    <w:lvl w:ilvl="2">
      <w:start w:val="1"/>
      <w:numFmt w:val="decimal"/>
      <w:pStyle w:val="3"/>
      <w:lvlText w:val="%1.%2.%3."/>
      <w:lvlJc w:val="left"/>
      <w:pPr>
        <w:ind w:left="709" w:hanging="709"/>
      </w:pPr>
      <w:rPr>
        <w:rFonts w:hint="default"/>
      </w:rPr>
    </w:lvl>
    <w:lvl w:ilvl="3">
      <w:start w:val="1"/>
      <w:numFmt w:val="decimal"/>
      <w:pStyle w:val="4"/>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num w:numId="1">
    <w:abstractNumId w:val="0"/>
  </w:num>
  <w:num w:numId="2">
    <w:abstractNumId w:val="1"/>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40"/>
  <w:displayBackgroundShape/>
  <w:bordersDoNotSurroundHeader w:val="0"/>
  <w:bordersDoNotSurroundFooter w:val="0"/>
  <w:defaultTabStop w:val="420"/>
  <w:drawingGridHorizontalSpacing w:val="120"/>
  <w:drawingGridVerticalSpacing w:val="165"/>
  <w:displayHorizontalDrawingGridEvery w:val="1"/>
  <w:displayVerticalDrawingGridEvery w:val="1"/>
  <w:noPunctuationKerning/>
  <w:characterSpacingControl w:val="compressPunctuation"/>
  <w:compat>
    <w:spaceForUL/>
    <w:balanceSingleByteDoubleByteWidth/>
    <w:ulTrailSpace/>
    <w:doNotExpandShiftReturn/>
    <w:adjustLineHeightInTable/>
    <w:doNotUseIndentAsNumberingTabStop/>
    <w:useAltKinsokuLineBreakRules/>
    <w:compatSetting w:name="compatibilityMode" w:uri="http://schemas.microsoft.com/office/word" w:val="14"/>
  </w:compat>
  <w:docVars>
    <w:docVar w:name="commondata" w:val="eyJjb3VudCI6NjksImhkaWQiOiJiMzk2N2EzZjUyYWViODRjZjJhMDZjM2YyYjk4MTExMiIsInVzZXJDb3VudCI6MX0="/>
  </w:docVars>
  <m:mathPr>
    <m:mathFont m:val="Cambria Math"/>
    <m:brkBin m:val="before"/>
    <m:brkBinSub m:val="--"/>
    <m:smallFrac m:val="0"/>
    <m:dispDef/>
    <m:lMargin m:val="0"/>
    <m:rMargin m:val="0"/>
    <m:defJc m:val="centerGroup"/>
    <m:wrapIndent m:val="1440"/>
    <m:intLim m:val="subSup"/>
    <m:naryLim m:val="undOvr"/>
  </m:mathPr>
  <w:doNotIncludeSubdocsInStat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Arial"/>
        <w:lang w:val="en-US" w:eastAsia="zh-CN" w:bidi="ar-SA"/>
      </w:rPr>
    </w:rPrDefault>
    <w:pPrDefault/>
  </w:docDefaults>
  <w:style w:type="paragraph" w:default="1" w:styleId="0">
    <w:name w:val="Normal"/>
    <w:qFormat/>
    <w:pPr>
      <w:widowControl w:val="0"/>
      <w:jc w:val="both"/>
    </w:pPr>
    <w:rPr>
      <w:rFonts w:ascii="Calibri" w:eastAsia="宋体" w:cs="宋体" w:hAnsi="Calibri"/>
      <w:color w:val="auto"/>
      <w:kern w:val="0"/>
      <w:sz w:val="24"/>
      <w:szCs w:val="24"/>
      <w:lang w:val="en-US" w:eastAsia="zh-CN" w:bidi="ar-SA"/>
    </w:rPr>
  </w:style>
  <w:style w:type="paragraph" w:styleId="1">
    <w:name w:val="heading 1"/>
    <w:qFormat/>
    <w:basedOn w:val="0"/>
    <w:next w:val="0"/>
    <w:link w:val="1Char"/>
    <w:pPr>
      <w:keepNext/>
      <w:keepLines/>
      <w:numPr>
        <w:ilvl w:val="0"/>
        <w:numId w:val="2"/>
      </w:numPr>
      <w:adjustRightInd w:val="0"/>
      <w:snapToGrid w:val="0"/>
      <w:spacing w:before="340" w:afterLines="50" w:after="50" w:line="578" w:lineRule="auto"/>
      <w:ind w:left="425" w:hanging="425"/>
      <w:jc w:val="left"/>
      <w:outlineLvl w:val="0"/>
    </w:pPr>
    <w:rPr>
      <w:rFonts w:ascii="Times New Roman" w:eastAsia="仿宋" w:cs="Times New Roman" w:hAnsi="Times New Roman"/>
      <w:b/>
      <w:bCs/>
      <w:kern w:val="44"/>
      <w:sz w:val="36"/>
      <w:szCs w:val="44"/>
    </w:rPr>
  </w:style>
  <w:style w:type="character" w:customStyle="1" w:styleId="1Char">
    <w:name w:val="heading 1 Char"/>
    <w:basedOn w:val="10"/>
    <w:link w:val="1"/>
    <w:rPr>
      <w:rFonts w:ascii="Times New Roman" w:eastAsia="仿宋" w:cs="Times New Roman" w:hAnsi="Times New Roman"/>
      <w:b/>
      <w:bCs/>
      <w:color w:val="auto"/>
      <w:kern w:val="44"/>
      <w:sz w:val="36"/>
      <w:szCs w:val="44"/>
      <w:lang w:val="en-US" w:eastAsia="zh-CN" w:bidi="ar-SA"/>
    </w:rPr>
  </w:style>
  <w:style w:type="paragraph" w:styleId="2">
    <w:name w:val="heading 2"/>
    <w:qFormat/>
    <w:basedOn w:val="0"/>
    <w:next w:val="0"/>
    <w:link w:val="2Char"/>
    <w:pPr>
      <w:widowControl w:val="0"/>
      <w:numPr>
        <w:ilvl w:val="1"/>
        <w:numId w:val="2"/>
      </w:numPr>
      <w:spacing w:line="415" w:lineRule="auto"/>
      <w:ind w:left="567" w:hanging="567"/>
      <w:outlineLvl w:val="1"/>
    </w:pPr>
    <w:rPr>
      <w:rFonts w:ascii="Calibri Light" w:eastAsia="宋体" w:cs="Times New Roman" w:hAnsi="Calibri Light"/>
      <w:b/>
      <w:bCs/>
      <w:sz w:val="28"/>
      <w:szCs w:val="32"/>
    </w:rPr>
  </w:style>
  <w:style w:type="character" w:customStyle="1" w:styleId="2Char">
    <w:name w:val="heading 2 Char"/>
    <w:basedOn w:val="10"/>
    <w:link w:val="2"/>
    <w:rPr>
      <w:rFonts w:ascii="Calibri Light" w:eastAsia="宋体" w:cs="Times New Roman" w:hAnsi="Calibri Light"/>
      <w:b/>
      <w:bCs/>
      <w:color w:val="auto"/>
      <w:kern w:val="0"/>
      <w:sz w:val="28"/>
      <w:szCs w:val="32"/>
      <w:lang w:val="en-US" w:eastAsia="zh-CN" w:bidi="ar-SA"/>
    </w:rPr>
  </w:style>
  <w:style w:type="paragraph" w:styleId="3">
    <w:name w:val="heading 3"/>
    <w:qFormat/>
    <w:basedOn w:val="0"/>
    <w:next w:val="0"/>
    <w:link w:val="3Char"/>
    <w:pPr>
      <w:keepNext/>
      <w:keepLines/>
      <w:numPr>
        <w:ilvl w:val="2"/>
        <w:numId w:val="2"/>
      </w:numPr>
      <w:spacing w:beforeLines="50" w:before="50" w:afterLines="50" w:after="50" w:line="415" w:lineRule="auto"/>
      <w:outlineLvl w:val="2"/>
    </w:pPr>
    <w:rPr>
      <w:rFonts w:ascii="宋体" w:eastAsia="宋体" w:cs="宋体" w:hAnsi="宋体"/>
      <w:b/>
      <w:bCs/>
      <w:sz w:val="32"/>
    </w:rPr>
  </w:style>
  <w:style w:type="character" w:customStyle="1" w:styleId="3Char">
    <w:name w:val="heading 3 Char"/>
    <w:basedOn w:val="10"/>
    <w:link w:val="3"/>
    <w:rPr>
      <w:rFonts w:ascii="宋体" w:eastAsia="宋体" w:cs="宋体" w:hAnsi="宋体"/>
      <w:b/>
      <w:bCs/>
      <w:color w:val="auto"/>
      <w:kern w:val="0"/>
      <w:sz w:val="32"/>
      <w:szCs w:val="24"/>
      <w:lang w:val="en-US" w:eastAsia="zh-CN" w:bidi="ar-SA"/>
    </w:rPr>
  </w:style>
  <w:style w:type="paragraph" w:styleId="4">
    <w:name w:val="heading 4"/>
    <w:qFormat/>
    <w:basedOn w:val="0"/>
    <w:next w:val="0"/>
    <w:link w:val="4Char"/>
    <w:pPr>
      <w:keepNext/>
      <w:keepLines/>
      <w:numPr>
        <w:ilvl w:val="3"/>
        <w:numId w:val="2"/>
      </w:numPr>
      <w:spacing w:before="120" w:after="120"/>
      <w:outlineLvl w:val="3"/>
    </w:pPr>
    <w:rPr>
      <w:rFonts w:ascii="Calibri Light" w:eastAsia="宋体" w:cs="Times New Roman" w:hAnsi="Calibri Light"/>
      <w:b/>
      <w:bCs/>
      <w:sz w:val="28"/>
      <w:szCs w:val="28"/>
    </w:rPr>
  </w:style>
  <w:style w:type="character" w:customStyle="1" w:styleId="4Char">
    <w:name w:val="heading 4 Char"/>
    <w:basedOn w:val="10"/>
    <w:link w:val="4"/>
    <w:rPr>
      <w:rFonts w:ascii="Calibri Light" w:eastAsia="宋体" w:cs="Times New Roman" w:hAnsi="Calibri Light"/>
      <w:b/>
      <w:bCs/>
      <w:color w:val="auto"/>
      <w:kern w:val="0"/>
      <w:sz w:val="28"/>
      <w:szCs w:val="28"/>
      <w:lang w:val="en-US" w:eastAsia="zh-CN" w:bidi="ar-SA"/>
    </w:rPr>
  </w:style>
  <w:style w:type="character" w:default="1" w:styleId="10">
    <w:name w:val="Default Paragraph Font"/>
    <w:qFormat/>
  </w:style>
  <w:style w:type="paragraph" w:styleId="15">
    <w:name w:val="annotation text"/>
    <w:qFormat/>
    <w:basedOn w:val="0"/>
    <w:pPr>
      <w:jc w:val="left"/>
    </w:pPr>
  </w:style>
  <w:style w:type="paragraph" w:styleId="16">
    <w:name w:val="Balloon Text"/>
    <w:qFormat/>
    <w:basedOn w:val="0"/>
    <w:rPr>
      <w:rFonts w:cs="Arial"/>
      <w:kern w:val="2"/>
      <w:sz w:val="18"/>
      <w:szCs w:val="18"/>
    </w:rPr>
  </w:style>
  <w:style w:type="paragraph" w:styleId="17">
    <w:name w:val="footer"/>
    <w:qFormat/>
    <w:basedOn w:val="0"/>
    <w:pPr>
      <w:tabs>
        <w:tab w:val="center" w:pos="4153"/>
        <w:tab w:val="right" w:pos="8306"/>
      </w:tabs>
      <w:snapToGrid w:val="0"/>
      <w:jc w:val="left"/>
    </w:pPr>
    <w:rPr>
      <w:rFonts w:cs="Arial"/>
      <w:kern w:val="2"/>
      <w:sz w:val="18"/>
      <w:szCs w:val="18"/>
    </w:rPr>
  </w:style>
  <w:style w:type="paragraph" w:styleId="18">
    <w:name w:val="header"/>
    <w:qFormat/>
    <w:basedOn w:val="0"/>
    <w:pPr>
      <w:pBdr>
        <w:top w:val="none" w:sz="0" w:space="1" w:color="auto"/>
        <w:left w:val="none" w:sz="0" w:space="4" w:color="auto"/>
        <w:bottom w:val="none" w:sz="0" w:space="1" w:color="auto"/>
        <w:right w:val="none" w:sz="0" w:space="4" w:color="auto"/>
      </w:pBdr>
      <w:tabs>
        <w:tab w:val="center" w:pos="4153"/>
        <w:tab w:val="right" w:pos="8306"/>
      </w:tabs>
      <w:snapToGrid w:val="0"/>
      <w:jc w:val="center"/>
    </w:pPr>
    <w:rPr>
      <w:rFonts w:cs="Arial"/>
      <w:kern w:val="2"/>
      <w:sz w:val="18"/>
      <w:szCs w:val="18"/>
    </w:rPr>
  </w:style>
  <w:style w:type="paragraph" w:styleId="19">
    <w:name w:val="Normal (Web)"/>
    <w:qFormat/>
    <w:basedOn w:val="0"/>
    <w:pPr>
      <w:spacing w:before="0" w:beforeAutospacing="1" w:after="0" w:afterAutospacing="1"/>
      <w:ind w:left="0" w:right="0"/>
      <w:jc w:val="left"/>
    </w:pPr>
    <w:rPr>
      <w:kern w:val="0"/>
      <w:sz w:val="24"/>
      <w:lang w:val="en-US" w:eastAsia="zh-CN"/>
    </w:rPr>
  </w:style>
  <w:style w:type="character" w:styleId="20">
    <w:name w:val="Strong"/>
    <w:qFormat/>
    <w:basedOn w:val="10"/>
    <w:rPr>
      <w:b/>
    </w:rPr>
  </w:style>
  <w:style w:type="character" w:customStyle="1" w:yozoId="4094" w:styleId="21">
    <w:name w:val="font11"/>
    <w:qFormat/>
    <w:basedOn w:val="10"/>
    <w:rPr>
      <w:rFonts w:ascii="宋体" w:eastAsia="宋体" w:cs="宋体" w:hAnsi="宋体"/>
      <w:color w:val="000000"/>
      <w:sz w:val="20"/>
      <w:szCs w:val="20"/>
      <w:u w:val="none"/>
      <w:lang w:val="en-US" w:eastAsia="zh-CN" w:bidi="ar-SA"/>
    </w:rPr>
  </w:style>
  <w:style w:type="character" w:customStyle="1" w:yozoId="4094" w:styleId="22">
    <w:name w:val="font01"/>
    <w:qFormat/>
    <w:basedOn w:val="10"/>
    <w:rPr>
      <w:rFonts w:ascii="宋体" w:eastAsia="宋体" w:cs="宋体" w:hAnsi="宋体"/>
      <w:color w:val="000000"/>
      <w:sz w:val="22"/>
      <w:szCs w:val="22"/>
      <w:u w:val="none"/>
      <w:lang w:val="en-US" w:eastAsia="zh-CN" w:bidi="ar-SA"/>
    </w:rPr>
  </w:style>
  <w:style w:type="character" w:customStyle="1" w:yozoId="4094" w:styleId="23">
    <w:name w:val="font41"/>
    <w:qFormat/>
    <w:basedOn w:val="10"/>
    <w:rPr>
      <w:rFonts w:ascii="宋体" w:eastAsia="宋体" w:cs="宋体" w:hAnsi="宋体"/>
      <w:color w:val="000000"/>
      <w:sz w:val="24"/>
      <w:szCs w:val="24"/>
      <w:u w:val="none"/>
      <w:lang w:val="en-US" w:eastAsia="zh-CN" w:bidi="ar-SA"/>
    </w:rPr>
  </w:style>
  <w:style w:type="character" w:customStyle="1" w:yozoId="4094" w:styleId="24">
    <w:name w:val="font31"/>
    <w:qFormat/>
    <w:basedOn w:val="10"/>
    <w:rPr>
      <w:rFonts w:ascii="华文中宋" w:eastAsia="华文中宋" w:cs="华文中宋" w:hAnsi="华文中宋"/>
      <w:color w:val="000000"/>
      <w:sz w:val="32"/>
      <w:szCs w:val="32"/>
      <w:u w:val="none"/>
      <w:lang w:val="en-US" w:eastAsia="zh-CN" w:bidi="ar-SA"/>
    </w:rPr>
  </w:style>
  <w:style w:type="character" w:customStyle="1" w:yozoId="4094" w:styleId="25">
    <w:name w:val="font91"/>
    <w:qFormat/>
    <w:basedOn w:val="10"/>
    <w:rPr>
      <w:rFonts w:ascii="华文中宋" w:eastAsia="华文中宋" w:cs="华文中宋" w:hAnsi="华文中宋"/>
      <w:color w:val="000000"/>
      <w:sz w:val="32"/>
      <w:szCs w:val="32"/>
      <w:u w:val="none"/>
      <w:lang w:val="en-US" w:eastAsia="zh-CN" w:bidi="ar-SA"/>
    </w:rPr>
  </w:style>
  <w:style w:type="character" w:customStyle="1" w:yozoId="4094" w:styleId="26">
    <w:name w:val="font51"/>
    <w:qFormat/>
    <w:basedOn w:val="10"/>
    <w:rPr>
      <w:rFonts w:ascii="宋体" w:eastAsia="宋体" w:cs="宋体" w:hAnsi="宋体"/>
      <w:color w:val="000000"/>
      <w:sz w:val="24"/>
      <w:szCs w:val="24"/>
      <w:u w:val="none"/>
      <w:lang w:val="en-US" w:eastAsia="zh-CN" w:bidi="ar-SA"/>
    </w:rPr>
  </w:style>
  <w:style w:type="character" w:customStyle="1" w:yozoId="4094" w:styleId="27">
    <w:name w:val="font21"/>
    <w:qFormat/>
    <w:basedOn w:val="10"/>
    <w:rPr>
      <w:rFonts w:ascii="方正仿宋_GB2312" w:eastAsia="方正仿宋_GB2312" w:cs="方正仿宋_GB2312" w:hAnsi="方正仿宋_GB2312"/>
      <w:color w:val="000000"/>
      <w:sz w:val="18"/>
      <w:szCs w:val="18"/>
      <w:u w:val="none"/>
    </w:rPr>
  </w:style>
  <w:style w:type="character" w:customStyle="1" w:yozoId="4094" w:styleId="28">
    <w:name w:val="font61"/>
    <w:qFormat/>
    <w:basedOn w:val="10"/>
    <w:rPr>
      <w:rFonts w:ascii="方正仿宋_GB2312" w:eastAsia="方正仿宋_GB2312" w:cs="方正仿宋_GB2312" w:hAnsi="方正仿宋_GB2312"/>
      <w:color w:val="000000"/>
      <w:sz w:val="20"/>
      <w:szCs w:val="20"/>
      <w:u w:val="non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image" Target="media/1.jpeg"/><Relationship Id="rId4" Type="http://schemas.openxmlformats.org/officeDocument/2006/relationships/footer" Target="footer2.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3.xml"/><Relationship Id="rId8" Type="http://schemas.openxmlformats.org/officeDocument/2006/relationships/footer" Target="footer4.xml"/><Relationship Id="rId9" Type="http://schemas.openxmlformats.org/officeDocument/2006/relationships/header" Target="header3.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chart" Target="charts/chart1.xml"/><Relationship Id="rId13" Type="http://schemas.openxmlformats.org/officeDocument/2006/relationships/chart" Target="charts/chart2.xml"/><Relationship Id="rId14" Type="http://schemas.openxmlformats.org/officeDocument/2006/relationships/chart" Target="charts/chart3.xml"/><Relationship Id="rId15" Type="http://schemas.openxmlformats.org/officeDocument/2006/relationships/chart" Target="charts/chart4.xml"/><Relationship Id="rId16" Type="http://schemas.openxmlformats.org/officeDocument/2006/relationships/chart" Target="charts/chart5.xml"/><Relationship Id="rId17" Type="http://schemas.openxmlformats.org/officeDocument/2006/relationships/styles" Target="styles.xml"/><Relationship Id="rId18" Type="http://schemas.openxmlformats.org/officeDocument/2006/relationships/numbering" Target="numbering.xml"/><Relationship Id="rId19" Type="http://schemas.openxmlformats.org/officeDocument/2006/relationships/fontTable" Target="fontTable.xml"/><Relationship Id="rId20" Type="http://schemas.openxmlformats.org/officeDocument/2006/relationships/customXml" Target="../customXml/item1.xml"/><Relationship Id="rId21"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char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char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char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char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chart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lgn="ctr">
              <a:defRPr sz="1800" b="1" i="0" u="none" strike="noStrike" baseline="0">
                <a:solidFill>
                  <a:srgbClr val="000000"/>
                </a:solidFill>
                <a:latin typeface="Times New Roman"/>
                <a:ea typeface="宋体"/>
                <a:cs typeface="Arial"/>
              </a:defRPr>
            </a:pPr>
            <a:r>
              <a:rPr lang="zh-CN" sz="1400" b="1" i="0" u="none" strike="noStrike" baseline="0">
                <a:solidFill>
                  <a:srgbClr val="404040"/>
                </a:solidFill>
                <a:latin typeface="Calibri"/>
                <a:ea typeface="宋体"/>
                <a:cs typeface="Arial"/>
              </a:rPr>
              <a:t>图 </a:t>
            </a:r>
            <a:r>
              <a:rPr lang="zh-CN" sz="1400" b="1" i="0" u="none" strike="noStrike" baseline="0">
                <a:solidFill>
                  <a:srgbClr val="404040"/>
                </a:solidFill>
                <a:latin typeface="Calibri"/>
                <a:ea typeface="宋体"/>
                <a:cs typeface="Arial"/>
              </a:rPr>
              <a:t>1 </a:t>
            </a:r>
            <a:r>
              <a:rPr lang="zh-CN" sz="1400" b="1" i="0" u="none" strike="noStrike" baseline="0">
                <a:solidFill>
                  <a:srgbClr val="404040"/>
                </a:solidFill>
                <a:latin typeface="Calibri"/>
                <a:ea typeface="宋体"/>
                <a:cs typeface="Arial"/>
              </a:rPr>
              <a:t>： </a:t>
            </a:r>
            <a:r>
              <a:rPr lang="zh-CN" sz="1400" b="1" i="0" u="none" strike="noStrike" baseline="0">
                <a:solidFill>
                  <a:srgbClr val="404040"/>
                </a:solidFill>
                <a:latin typeface="Calibri"/>
                <a:ea typeface="宋体"/>
                <a:cs typeface="Arial"/>
              </a:rPr>
              <a:t>2024-2025</a:t>
            </a:r>
            <a:r>
              <a:rPr lang="zh-CN" sz="1400" b="1" i="0" u="none" strike="noStrike" baseline="0">
                <a:solidFill>
                  <a:srgbClr val="404040"/>
                </a:solidFill>
                <a:latin typeface="Calibri"/>
                <a:ea typeface="宋体"/>
                <a:cs typeface="Arial"/>
              </a:rPr>
              <a:t>年收支总计对比图（万元）</a:t>
            </a:r>
          </a:p>
        </c:rich>
      </c:tx>
      <c:layout/>
      <c:overlay val="0"/>
      <c:spPr>
        <a:noFill/>
        <a:ln>
          <a:noFill/>
        </a:ln>
      </c:spPr>
    </c:title>
    <c:autoTitleDeleted val="1"/>
    <c:plotArea>
      <c:layout/>
      <c:barChart>
        <c:barDir val="col"/>
        <c:grouping val="clustered"/>
        <c:varyColors val="0"/>
        <c:ser>
          <c:idx val="0"/>
          <c:order val="0"/>
          <c:tx>
            <c:strRef>
              <c:f>'Sheet1'!$B$1</c:f>
              <c:strCache>
                <c:ptCount val="1"/>
                <c:pt idx="0">
                  <c:v>收支总计</c:v>
                </c:pt>
              </c:strCache>
            </c:strRef>
          </c:tx>
          <c:spPr>
            <a:solidFill>
              <a:srgbClr val="4874CB"/>
            </a:solidFill>
            <a:ln>
              <a:noFill/>
            </a:ln>
          </c:spPr>
          <c:invertIfNegative val="0"/>
          <c:dLbls>
            <c:spPr>
              <a:noFill/>
              <a:ln>
                <a:noFill/>
              </a:ln>
            </c:spPr>
            <c:txPr>
              <a:bodyPr vert="horz" anchor="ctr"/>
              <a:lstStyle/>
              <a:p>
                <a:pPr algn="ctr">
                  <a:defRPr sz="1000" b="0" i="0" u="none" strike="noStrike" baseline="0">
                    <a:solidFill>
                      <a:srgbClr val="404040"/>
                    </a:solidFill>
                    <a:latin typeface="Calibri"/>
                    <a:ea typeface="宋体"/>
                    <a:cs typeface="Arial"/>
                  </a:defRPr>
                </a:pPr>
                <a:endParaRPr lang="zh-CN"/>
              </a:p>
            </c:txPr>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Ref>
              <c:f>'Sheet1'!$A$2:$A$3</c:f>
              <c:strCache>
                <c:ptCount val="2"/>
                <c:pt idx="0">
                  <c:v>2025年</c:v>
                </c:pt>
                <c:pt idx="1">
                  <c:v>2024年</c:v>
                </c:pt>
              </c:strCache>
            </c:strRef>
          </c:cat>
          <c:val>
            <c:numRef>
              <c:f>'Sheet1'!$B$2:$B$3</c:f>
              <c:numCache>
                <c:formatCode>General</c:formatCode>
                <c:ptCount val="2"/>
                <c:pt idx="0">
                  <c:v>127.89</c:v>
                </c:pt>
                <c:pt idx="1">
                  <c:v>129.93</c:v>
                </c:pt>
              </c:numCache>
            </c:numRef>
          </c:val>
        </c:ser>
        <c:overlap val="-28"/>
        <c:gapWidth val="246"/>
        <c:axId val="0"/>
        <c:axId val="1"/>
      </c:barChart>
      <c:catAx>
        <c:axId val="0"/>
        <c:scaling>
          <c:orientation val="minMax"/>
        </c:scaling>
        <c:delete val="0"/>
        <c:axPos val="b"/>
        <c:numFmt formatCode="General" sourceLinked="0"/>
        <c:majorTickMark val="none"/>
        <c:minorTickMark val="none"/>
        <c:tickLblPos val="nextTo"/>
        <c:spPr>
          <a:ln w="12700">
            <a:solidFill>
              <a:srgbClr val="D9D9D9"/>
            </a:solidFill>
            <a:prstDash val="solid"/>
          </a:ln>
        </c:spPr>
        <c:txPr>
          <a:bodyPr/>
          <a:lstStyle/>
          <a:p>
            <a:pPr>
              <a:defRPr sz="900" b="0" i="0" u="none" strike="noStrike" baseline="0">
                <a:solidFill>
                  <a:srgbClr val="595959"/>
                </a:solidFill>
                <a:latin typeface="Calibri"/>
                <a:ea typeface="宋体"/>
                <a:cs typeface="Arial"/>
              </a:defRPr>
            </a:pPr>
            <a:endParaRPr lang="zh-CN"/>
          </a:p>
        </c:txPr>
        <c:crosses val="autoZero"/>
        <c:auto val="1"/>
        <c:lblOffset val="100"/>
        <c:lblAlgn val="ctr"/>
        <c:noMultiLvlLbl val="0"/>
        <c:crossAx val="1"/>
      </c:catAx>
      <c:valAx>
        <c:axId val="1"/>
        <c:scaling>
          <c:orientation val="minMax"/>
        </c:scaling>
        <c:delete val="0"/>
        <c:axPos val="l"/>
        <c:majorGridlines>
          <c:spPr>
            <a:ln w="12700">
              <a:solidFill>
                <a:srgbClr val="E6E6E6"/>
              </a:solidFill>
              <a:prstDash val="solid"/>
            </a:ln>
          </c:spPr>
        </c:majorGridlines>
        <c:numFmt formatCode="General" sourceLinked="1"/>
        <c:majorTickMark val="none"/>
        <c:minorTickMark val="none"/>
        <c:tickLblPos val="nextTo"/>
        <c:spPr>
          <a:ln>
            <a:noFill/>
          </a:ln>
        </c:spPr>
        <c:txPr>
          <a:bodyPr/>
          <a:lstStyle/>
          <a:p>
            <a:pPr>
              <a:defRPr sz="900" b="0" i="0" u="none" strike="noStrike" baseline="0">
                <a:solidFill>
                  <a:srgbClr val="595959"/>
                </a:solidFill>
                <a:latin typeface="Calibri"/>
                <a:ea typeface="宋体"/>
                <a:cs typeface="Arial"/>
              </a:defRPr>
            </a:pPr>
            <a:endParaRPr lang="zh-CN"/>
          </a:p>
        </c:txPr>
        <c:crosses val="autoZero"/>
        <c:crossBetween val="between"/>
        <c:crossAx val="0"/>
      </c:valAx>
      <c:spPr>
        <a:noFill/>
        <a:ln>
          <a:noFill/>
        </a:ln>
      </c:spPr>
    </c:plotArea>
    <c:plotVisOnly val="1"/>
    <c:dispBlanksAs val="gap"/>
    <c:showDLblsOverMax val="0"/>
  </c:chart>
  <c:spPr>
    <a:solidFill>
      <a:srgbClr val="FFFFFF"/>
    </a:solidFill>
    <a:ln w="12700">
      <a:solidFill>
        <a:srgbClr val="D9D9D9"/>
      </a:solidFill>
      <a:prstDash val="solid"/>
    </a:ln>
  </c:spPr>
  <c:txPr>
    <a:bodyPr/>
    <a:lstStyle/>
    <a:p>
      <a:pPr>
        <a:defRPr sz="10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lgn="ctr">
              <a:defRPr sz="1800" b="1" i="0" u="none" strike="noStrike" baseline="0">
                <a:solidFill>
                  <a:srgbClr val="000000"/>
                </a:solidFill>
                <a:latin typeface="Times New Roman"/>
                <a:ea typeface="宋体"/>
                <a:cs typeface="Arial"/>
              </a:defRPr>
            </a:pPr>
            <a:r>
              <a:rPr lang="zh-CN" sz="1400" b="1" i="0" u="none" strike="noStrike" baseline="0">
                <a:solidFill>
                  <a:srgbClr val="404040"/>
                </a:solidFill>
                <a:latin typeface="Calibri"/>
                <a:ea typeface="宋体"/>
                <a:cs typeface="Arial"/>
              </a:rPr>
              <a:t>图 </a:t>
            </a:r>
            <a:r>
              <a:rPr lang="zh-CN" sz="1400" b="1" i="0" u="none" strike="noStrike" baseline="0">
                <a:solidFill>
                  <a:srgbClr val="404040"/>
                </a:solidFill>
                <a:latin typeface="Calibri"/>
                <a:ea typeface="宋体"/>
                <a:cs typeface="Arial"/>
              </a:rPr>
              <a:t>2 </a:t>
            </a:r>
            <a:r>
              <a:rPr lang="zh-CN" sz="1400" b="1" i="0" u="none" strike="noStrike" baseline="0">
                <a:solidFill>
                  <a:srgbClr val="404040"/>
                </a:solidFill>
                <a:latin typeface="Calibri"/>
                <a:ea typeface="宋体"/>
                <a:cs typeface="Arial"/>
              </a:rPr>
              <a:t>：收入决算构成情况图</a:t>
            </a:r>
          </a:p>
        </c:rich>
      </c:tx>
      <c:layout/>
      <c:overlay val="0"/>
      <c:spPr>
        <a:noFill/>
        <a:ln>
          <a:noFill/>
        </a:ln>
      </c:spPr>
    </c:title>
    <c:autoTitleDeleted val="1"/>
    <c:plotArea>
      <c:layout/>
      <c:pieChart>
        <c:varyColors val="1"/>
        <c:ser>
          <c:idx val="0"/>
          <c:order val="0"/>
          <c:tx>
            <c:strRef>
              <c:f>'Sheet1'!$B$1</c:f>
              <c:strCache>
                <c:ptCount val="1"/>
                <c:pt idx="0">
                  <c:v>金额</c:v>
                </c:pt>
              </c:strCache>
            </c:strRef>
          </c:tx>
          <c:spPr>
            <a:ln>
              <a:noFill/>
            </a:ln>
          </c:spPr>
          <c:dPt>
            <c:idx val="0"/>
            <c:bubble3D val="0"/>
            <c:spPr>
              <a:solidFill>
                <a:srgbClr val="4874CB"/>
              </a:solidFill>
              <a:ln w="3175">
                <a:solidFill>
                  <a:srgbClr val="FFFFFF"/>
                </a:solidFill>
                <a:prstDash val="solid"/>
              </a:ln>
            </c:spPr>
          </c:dPt>
          <c:dPt>
            <c:idx val="1"/>
            <c:bubble3D val="0"/>
            <c:spPr>
              <a:solidFill>
                <a:srgbClr val="EE822F"/>
              </a:solidFill>
              <a:ln w="3175">
                <a:solidFill>
                  <a:srgbClr val="FFFFFF"/>
                </a:solidFill>
                <a:prstDash val="solid"/>
              </a:ln>
            </c:spPr>
          </c:dPt>
          <c:dPt>
            <c:idx val="2"/>
            <c:bubble3D val="0"/>
            <c:spPr>
              <a:solidFill>
                <a:srgbClr val="F2BA02"/>
              </a:solidFill>
              <a:ln w="3175">
                <a:solidFill>
                  <a:srgbClr val="FFFFFF"/>
                </a:solidFill>
                <a:prstDash val="solid"/>
              </a:ln>
            </c:spPr>
          </c:dPt>
          <c:dPt>
            <c:idx val="3"/>
            <c:bubble3D val="0"/>
            <c:spPr>
              <a:solidFill>
                <a:srgbClr val="75BD42"/>
              </a:solidFill>
              <a:ln w="3175">
                <a:solidFill>
                  <a:srgbClr val="FFFFFF"/>
                </a:solidFill>
                <a:prstDash val="solid"/>
              </a:ln>
            </c:spPr>
          </c:dPt>
          <c:dPt>
            <c:idx val="4"/>
            <c:bubble3D val="0"/>
            <c:spPr>
              <a:solidFill>
                <a:srgbClr val="30C0B4"/>
              </a:solidFill>
              <a:ln w="3175">
                <a:solidFill>
                  <a:srgbClr val="FFFFFF"/>
                </a:solidFill>
                <a:prstDash val="solid"/>
              </a:ln>
            </c:spPr>
          </c:dPt>
          <c:dPt>
            <c:idx val="5"/>
            <c:bubble3D val="0"/>
            <c:spPr>
              <a:solidFill>
                <a:srgbClr val="E54C5E"/>
              </a:solidFill>
              <a:ln w="3175">
                <a:solidFill>
                  <a:srgbClr val="FFFFFF"/>
                </a:solidFill>
                <a:prstDash val="solid"/>
              </a:ln>
            </c:spPr>
          </c:dPt>
          <c:dLbls>
            <c:spPr>
              <a:noFill/>
              <a:ln>
                <a:noFill/>
              </a:ln>
            </c:spPr>
            <c:txPr>
              <a:bodyPr vert="horz" anchor="ctr"/>
              <a:lstStyle/>
              <a:p>
                <a:pPr algn="ctr">
                  <a:defRPr sz="1000" b="0" i="0" u="none" strike="noStrike" baseline="0">
                    <a:solidFill>
                      <a:srgbClr val="404040"/>
                    </a:solidFill>
                    <a:latin typeface="Calibri"/>
                    <a:ea typeface="宋体"/>
                    <a:cs typeface="Arial"/>
                  </a:defRPr>
                </a:pPr>
                <a:endParaRPr lang="zh-CN"/>
              </a:p>
            </c:txPr>
            <c:numFmt formatCode="0.0%" sourceLinked="0"/>
            <c:dLbl>
              <c:idx val="0"/>
              <c:layout>
                <c:manualLayout>
                  <c:x val="0.32012555"/>
                  <c:y val="0.72690713"/>
                </c:manualLayout>
              </c:layout>
              <c:numFmt formatCode="0.0%" sourceLinked="0"/>
              <c:spPr>
                <a:noFill/>
                <a:ln>
                  <a:noFill/>
                </a:ln>
              </c:spPr>
              <c:txPr>
                <a:bodyPr vert="horz" anchor="ctr"/>
                <a:lstStyle/>
                <a:p>
                  <a:pPr algn="ctr">
                    <a:defRPr sz="1000" b="0" i="0" u="none" strike="noStrike" baseline="0">
                      <a:solidFill>
                        <a:srgbClr val="404040"/>
                      </a:solidFill>
                      <a:latin typeface="Calibri"/>
                      <a:ea typeface="宋体"/>
                      <a:cs typeface="Arial"/>
                    </a:defRPr>
                  </a:pPr>
                  <a:endParaRPr lang="zh-CN"/>
                </a:p>
              </c:txPr>
              <c:dLblPos val="bestFit"/>
              <c:showLegendKey val="1"/>
              <c:showVal val="0"/>
              <c:showCatName val="1"/>
              <c:showSerName val="0"/>
              <c:showPercent val="1"/>
              <c:showBubbleSize val="0"/>
              <c:separator> </c:separator>
            </c:dLbl>
            <c:dLbl>
              <c:idx val="1"/>
              <c:layout>
                <c:manualLayout>
                  <c:x val="-0.3080455"/>
                  <c:y val="0.6391468"/>
                </c:manualLayout>
              </c:layout>
              <c:numFmt formatCode="0.0%" sourceLinked="0"/>
              <c:spPr>
                <a:noFill/>
                <a:ln>
                  <a:noFill/>
                </a:ln>
              </c:spPr>
              <c:txPr>
                <a:bodyPr vert="horz" anchor="ctr"/>
                <a:lstStyle/>
                <a:p>
                  <a:pPr algn="ctr">
                    <a:defRPr sz="1000" b="0" i="0" u="none" strike="noStrike" baseline="0">
                      <a:solidFill>
                        <a:srgbClr val="404040"/>
                      </a:solidFill>
                      <a:latin typeface="Calibri"/>
                      <a:ea typeface="宋体"/>
                      <a:cs typeface="Arial"/>
                    </a:defRPr>
                  </a:pPr>
                  <a:endParaRPr lang="zh-CN"/>
                </a:p>
              </c:txPr>
              <c:dLblPos val="bestFit"/>
              <c:showLegendKey val="1"/>
              <c:showVal val="0"/>
              <c:showCatName val="1"/>
              <c:showSerName val="0"/>
              <c:showPercent val="1"/>
              <c:showBubbleSize val="0"/>
              <c:separator> </c:separator>
            </c:dLbl>
            <c:dLbl>
              <c:idx val="2"/>
              <c:layout>
                <c:manualLayout>
                  <c:x val="0.40541184"/>
                  <c:y val="0.17185508"/>
                </c:manualLayout>
              </c:layout>
              <c:numFmt formatCode="0.0%" sourceLinked="0"/>
              <c:spPr>
                <a:noFill/>
                <a:ln>
                  <a:noFill/>
                </a:ln>
              </c:spPr>
              <c:txPr>
                <a:bodyPr vert="horz" anchor="ctr"/>
                <a:lstStyle/>
                <a:p>
                  <a:pPr algn="ctr">
                    <a:defRPr sz="1000" b="0" i="0" u="none" strike="noStrike" baseline="0">
                      <a:solidFill>
                        <a:srgbClr val="404040"/>
                      </a:solidFill>
                      <a:latin typeface="Calibri"/>
                      <a:ea typeface="宋体"/>
                      <a:cs typeface="Arial"/>
                    </a:defRPr>
                  </a:pPr>
                  <a:endParaRPr lang="zh-CN"/>
                </a:p>
              </c:txPr>
              <c:dLblPos val="bestFit"/>
              <c:showLegendKey val="1"/>
              <c:showVal val="0"/>
              <c:showCatName val="1"/>
              <c:showSerName val="0"/>
              <c:showPercent val="1"/>
              <c:showBubbleSize val="0"/>
              <c:separator> </c:separator>
            </c:dLbl>
            <c:dLbl>
              <c:idx val="3"/>
              <c:layout>
                <c:manualLayout>
                  <c:x val="-0.28690514"/>
                  <c:y val="0.27025074"/>
                </c:manualLayout>
              </c:layout>
              <c:numFmt formatCode="0.0%" sourceLinked="0"/>
              <c:spPr>
                <a:noFill/>
                <a:ln>
                  <a:noFill/>
                </a:ln>
              </c:spPr>
              <c:txPr>
                <a:bodyPr vert="horz" anchor="ctr"/>
                <a:lstStyle/>
                <a:p>
                  <a:pPr algn="ctr">
                    <a:defRPr sz="1000" b="0" i="0" u="none" strike="noStrike" baseline="0">
                      <a:solidFill>
                        <a:srgbClr val="404040"/>
                      </a:solidFill>
                      <a:latin typeface="Calibri"/>
                      <a:ea typeface="宋体"/>
                      <a:cs typeface="Arial"/>
                    </a:defRPr>
                  </a:pPr>
                  <a:endParaRPr lang="zh-CN"/>
                </a:p>
              </c:txPr>
              <c:dLblPos val="bestFit"/>
              <c:showLegendKey val="1"/>
              <c:showVal val="0"/>
              <c:showCatName val="1"/>
              <c:showSerName val="0"/>
              <c:showPercent val="1"/>
              <c:showBubbleSize val="0"/>
              <c:separator> </c:separator>
            </c:dLbl>
            <c:dLbl>
              <c:idx val="4"/>
              <c:layout>
                <c:manualLayout>
                  <c:x val="-0.29898536"/>
                  <c:y val="0.44916064"/>
                </c:manualLayout>
              </c:layout>
              <c:numFmt formatCode="0.0%" sourceLinked="0"/>
              <c:spPr>
                <a:noFill/>
                <a:ln>
                  <a:noFill/>
                </a:ln>
              </c:spPr>
              <c:txPr>
                <a:bodyPr vert="horz" anchor="ctr"/>
                <a:lstStyle/>
                <a:p>
                  <a:pPr algn="ctr">
                    <a:defRPr sz="1000" b="0" i="0" u="none" strike="noStrike" baseline="0">
                      <a:solidFill>
                        <a:srgbClr val="404040"/>
                      </a:solidFill>
                      <a:latin typeface="Calibri"/>
                      <a:ea typeface="宋体"/>
                      <a:cs typeface="Arial"/>
                    </a:defRPr>
                  </a:pPr>
                  <a:endParaRPr lang="zh-CN"/>
                </a:p>
              </c:txPr>
              <c:dLblPos val="bestFit"/>
              <c:showLegendKey val="1"/>
              <c:showVal val="0"/>
              <c:showCatName val="1"/>
              <c:showSerName val="0"/>
              <c:showPercent val="1"/>
              <c:showBubbleSize val="0"/>
              <c:separator> </c:separator>
            </c:dLbl>
            <c:dLbl>
              <c:idx val="5"/>
              <c:layout>
                <c:manualLayout>
                  <c:x val="-0.28847557"/>
                  <c:y val="0.12416596"/>
                </c:manualLayout>
              </c:layout>
              <c:numFmt formatCode="0.0%" sourceLinked="0"/>
              <c:spPr>
                <a:noFill/>
                <a:ln>
                  <a:noFill/>
                </a:ln>
              </c:spPr>
              <c:txPr>
                <a:bodyPr vert="horz" anchor="ctr"/>
                <a:lstStyle/>
                <a:p>
                  <a:pPr algn="ctr">
                    <a:defRPr sz="1000" b="0" i="0" u="none" strike="noStrike" baseline="0">
                      <a:solidFill>
                        <a:srgbClr val="404040"/>
                      </a:solidFill>
                      <a:latin typeface="Calibri"/>
                      <a:ea typeface="宋体"/>
                      <a:cs typeface="Arial"/>
                    </a:defRPr>
                  </a:pPr>
                  <a:endParaRPr lang="zh-CN"/>
                </a:p>
              </c:txPr>
              <c:dLblPos val="bestFit"/>
              <c:showLegendKey val="1"/>
              <c:showVal val="0"/>
              <c:showCatName val="1"/>
              <c:showSerName val="0"/>
              <c:showPercent val="1"/>
              <c:showBubbleSize val="0"/>
              <c:separator> </c:separator>
            </c:dLbl>
            <c:dLblPos val="ctr"/>
            <c:showLegendKey val="1"/>
            <c:showVal val="0"/>
            <c:showCatName val="1"/>
            <c:showSerName val="0"/>
            <c:showPercent val="1"/>
            <c:showBubbleSize val="0"/>
            <c:separator> </c:separator>
            <c:showLeaderLines val="1"/>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1278884.7</c:v>
                </c:pt>
                <c:pt idx="1">
                  <c:v>0.0</c:v>
                </c:pt>
                <c:pt idx="2">
                  <c:v>0.0</c:v>
                </c:pt>
                <c:pt idx="3">
                  <c:v>0.0</c:v>
                </c:pt>
                <c:pt idx="4">
                  <c:v>0.0</c:v>
                </c:pt>
                <c:pt idx="5">
                  <c:v>0.0</c:v>
                </c:pt>
              </c:numCache>
            </c:numRef>
          </c:val>
        </c:ser>
        <c:firstSliceAng val="0"/>
      </c:pieChart>
      <c:spPr>
        <a:noFill/>
        <a:ln>
          <a:noFill/>
        </a:ln>
      </c:spPr>
    </c:plotArea>
    <c:legend>
      <c:legendPos val="r"/>
      <c:layout/>
      <c:overlay val="0"/>
      <c:spPr>
        <a:noFill/>
        <a:ln>
          <a:noFill/>
        </a:ln>
      </c:spPr>
      <c:txPr>
        <a:bodyPr/>
        <a:lstStyle/>
        <a:p>
          <a:pPr>
            <a:defRPr sz="900" b="0" i="0" u="none" strike="noStrike" baseline="0">
              <a:solidFill>
                <a:srgbClr val="595959"/>
              </a:solidFill>
              <a:latin typeface="Calibri"/>
              <a:ea typeface="宋体"/>
              <a:cs typeface="Arial"/>
            </a:defRPr>
          </a:pPr>
          <a:endParaRPr lang="zh-CN"/>
        </a:p>
      </c:txPr>
    </c:legend>
    <c:plotVisOnly val="1"/>
    <c:dispBlanksAs val="gap"/>
    <c:showDLblsOverMax val="0"/>
  </c:chart>
  <c:spPr>
    <a:solidFill>
      <a:srgbClr val="FFFFFF"/>
    </a:solidFill>
    <a:ln w="12700">
      <a:solidFill>
        <a:srgbClr val="D9D9D9"/>
      </a:solidFill>
      <a:prstDash val="solid"/>
    </a:ln>
  </c:spPr>
  <c:txPr>
    <a:bodyPr/>
    <a:lstStyle/>
    <a:p>
      <a:pPr>
        <a:defRPr sz="10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lgn="ctr">
              <a:defRPr sz="950" b="1" i="0" u="none" strike="noStrike" baseline="0">
                <a:solidFill>
                  <a:srgbClr val="000000"/>
                </a:solidFill>
                <a:latin typeface="Times New Roman"/>
                <a:ea typeface="宋体"/>
                <a:cs typeface="Arial"/>
              </a:defRPr>
            </a:pPr>
            <a:r>
              <a:rPr lang="zh-CN" sz="950" b="1" i="0" u="none" strike="noStrike" baseline="0">
                <a:solidFill>
                  <a:srgbClr val="404040"/>
                </a:solidFill>
                <a:latin typeface="Calibri"/>
                <a:ea typeface="宋体"/>
                <a:cs typeface="Arial"/>
              </a:rPr>
              <a:t>图 </a:t>
            </a:r>
            <a:r>
              <a:rPr lang="zh-CN" sz="950" b="1" i="0" u="none" strike="noStrike" baseline="0">
                <a:solidFill>
                  <a:srgbClr val="404040"/>
                </a:solidFill>
                <a:latin typeface="Calibri"/>
                <a:ea typeface="宋体"/>
                <a:cs typeface="Arial"/>
              </a:rPr>
              <a:t>3 </a:t>
            </a:r>
            <a:r>
              <a:rPr lang="zh-CN" sz="950" b="1" i="0" u="none" strike="noStrike" baseline="0">
                <a:solidFill>
                  <a:srgbClr val="404040"/>
                </a:solidFill>
                <a:latin typeface="Calibri"/>
                <a:ea typeface="宋体"/>
                <a:cs typeface="Arial"/>
              </a:rPr>
              <a:t>：支出决算构成情况图</a:t>
            </a:r>
          </a:p>
        </c:rich>
      </c:tx>
      <c:layout/>
      <c:overlay val="0"/>
      <c:spPr>
        <a:noFill/>
        <a:ln>
          <a:noFill/>
        </a:ln>
      </c:spPr>
    </c:title>
    <c:autoTitleDeleted val="1"/>
    <c:plotArea>
      <c:layout>
        <c:manualLayout>
          <c:layoutTarget val="inner"/>
          <c:xMode val="edge"/>
          <c:yMode val="edge"/>
          <c:x val="0.29844165"/>
          <c:y val="0.22524437"/>
          <c:w val="0.41229767"/>
          <c:h val="0.72524434"/>
        </c:manualLayout>
      </c:layout>
      <c:pieChart>
        <c:varyColors val="1"/>
        <c:ser>
          <c:idx val="0"/>
          <c:order val="0"/>
          <c:tx>
            <c:strRef>
              <c:f>'Sheet1'!$B$1</c:f>
              <c:strCache>
                <c:ptCount val="1"/>
                <c:pt idx="0">
                  <c:v>金额</c:v>
                </c:pt>
              </c:strCache>
            </c:strRef>
          </c:tx>
          <c:spPr>
            <a:ln>
              <a:noFill/>
            </a:ln>
          </c:spPr>
          <c:dPt>
            <c:idx val="0"/>
            <c:bubble3D val="0"/>
            <c:spPr>
              <a:solidFill>
                <a:srgbClr val="4874CB"/>
              </a:solidFill>
              <a:ln w="3175">
                <a:solidFill>
                  <a:srgbClr val="FFFFFF"/>
                </a:solidFill>
                <a:prstDash val="solid"/>
              </a:ln>
            </c:spPr>
          </c:dPt>
          <c:dPt>
            <c:idx val="1"/>
            <c:bubble3D val="0"/>
            <c:spPr>
              <a:solidFill>
                <a:srgbClr val="EE822F"/>
              </a:solidFill>
              <a:ln w="3175">
                <a:solidFill>
                  <a:srgbClr val="FFFFFF"/>
                </a:solidFill>
                <a:prstDash val="solid"/>
              </a:ln>
            </c:spPr>
          </c:dPt>
          <c:dPt>
            <c:idx val="2"/>
            <c:bubble3D val="0"/>
            <c:spPr>
              <a:solidFill>
                <a:srgbClr val="F2BA02"/>
              </a:solidFill>
              <a:ln w="3175">
                <a:solidFill>
                  <a:srgbClr val="FFFFFF"/>
                </a:solidFill>
                <a:prstDash val="solid"/>
              </a:ln>
            </c:spPr>
          </c:dPt>
          <c:dPt>
            <c:idx val="3"/>
            <c:bubble3D val="0"/>
            <c:spPr>
              <a:solidFill>
                <a:srgbClr val="75BD42"/>
              </a:solidFill>
              <a:ln w="3175">
                <a:solidFill>
                  <a:srgbClr val="FFFFFF"/>
                </a:solidFill>
                <a:prstDash val="solid"/>
              </a:ln>
            </c:spPr>
          </c:dPt>
          <c:dPt>
            <c:idx val="4"/>
            <c:bubble3D val="0"/>
            <c:spPr>
              <a:solidFill>
                <a:srgbClr val="30C0B4"/>
              </a:solidFill>
              <a:ln w="3175">
                <a:solidFill>
                  <a:srgbClr val="FFFFFF"/>
                </a:solidFill>
                <a:prstDash val="solid"/>
              </a:ln>
            </c:spPr>
          </c:dPt>
          <c:dLbls>
            <c:spPr>
              <a:noFill/>
              <a:ln>
                <a:noFill/>
              </a:ln>
            </c:spPr>
            <c:txPr>
              <a:bodyPr vert="horz" anchor="ctr"/>
              <a:lstStyle/>
              <a:p>
                <a:pPr algn="ctr">
                  <a:defRPr sz="800" b="0" i="0" u="none" strike="noStrike" baseline="0">
                    <a:solidFill>
                      <a:srgbClr val="404040"/>
                    </a:solidFill>
                    <a:latin typeface="Calibri"/>
                    <a:ea typeface="宋体"/>
                    <a:cs typeface="Arial"/>
                  </a:defRPr>
                </a:pPr>
                <a:endParaRPr lang="zh-CN"/>
              </a:p>
            </c:txPr>
            <c:numFmt formatCode="0.0%" sourceLinked="0"/>
            <c:dLbl>
              <c:idx val="0"/>
              <c:layout>
                <c:manualLayout>
                  <c:x val="-0.28690514"/>
                  <c:y val="0.19983532"/>
                </c:manualLayout>
              </c:layout>
              <c:numFmt formatCode="0.0%" sourceLinked="0"/>
              <c:spPr>
                <a:noFill/>
                <a:ln>
                  <a:noFill/>
                </a:ln>
              </c:spPr>
              <c:txPr>
                <a:bodyPr vert="horz" anchor="ctr"/>
                <a:lstStyle/>
                <a:p>
                  <a:pPr algn="ctr">
                    <a:defRPr sz="800" b="0" i="0" u="none" strike="noStrike" baseline="0">
                      <a:solidFill>
                        <a:srgbClr val="404040"/>
                      </a:solidFill>
                      <a:latin typeface="Calibri"/>
                      <a:ea typeface="宋体"/>
                      <a:cs typeface="Arial"/>
                    </a:defRPr>
                  </a:pPr>
                  <a:endParaRPr lang="zh-CN"/>
                </a:p>
              </c:txPr>
              <c:dLblPos val="bestFit"/>
              <c:showLegendKey val="1"/>
              <c:showVal val="0"/>
              <c:showCatName val="1"/>
              <c:showSerName val="0"/>
              <c:showPercent val="1"/>
              <c:showBubbleSize val="0"/>
              <c:separator> </c:separator>
            </c:dLbl>
            <c:dLbl>
              <c:idx val="1"/>
              <c:layout>
                <c:manualLayout>
                  <c:x val="-0.29910615"/>
                  <c:y val="0.09103803"/>
                </c:manualLayout>
              </c:layout>
              <c:numFmt formatCode="0.0%" sourceLinked="0"/>
              <c:spPr>
                <a:noFill/>
                <a:ln>
                  <a:noFill/>
                </a:ln>
              </c:spPr>
              <c:txPr>
                <a:bodyPr vert="horz" anchor="ctr"/>
                <a:lstStyle/>
                <a:p>
                  <a:pPr algn="ctr">
                    <a:defRPr sz="800" b="0" i="0" u="none" strike="noStrike" baseline="0">
                      <a:solidFill>
                        <a:srgbClr val="404040"/>
                      </a:solidFill>
                      <a:latin typeface="Calibri"/>
                      <a:ea typeface="宋体"/>
                      <a:cs typeface="Arial"/>
                    </a:defRPr>
                  </a:pPr>
                  <a:endParaRPr lang="zh-CN"/>
                </a:p>
              </c:txPr>
              <c:dLblPos val="bestFit"/>
              <c:showLegendKey val="1"/>
              <c:showVal val="0"/>
              <c:showCatName val="1"/>
              <c:showSerName val="0"/>
              <c:showPercent val="1"/>
              <c:showBubbleSize val="0"/>
              <c:separator> </c:separator>
            </c:dLbl>
            <c:dLbl>
              <c:idx val="2"/>
              <c:layout>
                <c:manualLayout>
                  <c:x val="0.30949497"/>
                  <c:y val="0.18921058"/>
                </c:manualLayout>
              </c:layout>
              <c:numFmt formatCode="0.0%" sourceLinked="0"/>
              <c:spPr>
                <a:noFill/>
                <a:ln>
                  <a:noFill/>
                </a:ln>
              </c:spPr>
              <c:txPr>
                <a:bodyPr vert="horz" anchor="ctr"/>
                <a:lstStyle/>
                <a:p>
                  <a:pPr algn="ctr">
                    <a:defRPr sz="800" b="0" i="0" u="none" strike="noStrike" baseline="0">
                      <a:solidFill>
                        <a:srgbClr val="404040"/>
                      </a:solidFill>
                      <a:latin typeface="Calibri"/>
                      <a:ea typeface="宋体"/>
                      <a:cs typeface="Arial"/>
                    </a:defRPr>
                  </a:pPr>
                  <a:endParaRPr lang="zh-CN"/>
                </a:p>
              </c:txPr>
              <c:dLblPos val="bestFit"/>
              <c:showLegendKey val="1"/>
              <c:showVal val="0"/>
              <c:showCatName val="1"/>
              <c:showSerName val="0"/>
              <c:showPercent val="1"/>
              <c:showBubbleSize val="0"/>
              <c:separator> </c:separator>
            </c:dLbl>
            <c:dLbl>
              <c:idx val="3"/>
              <c:layout>
                <c:manualLayout>
                  <c:x val="0.33522582"/>
                  <c:y val="0.058951337"/>
                </c:manualLayout>
              </c:layout>
              <c:numFmt formatCode="0.0%" sourceLinked="0"/>
              <c:spPr>
                <a:noFill/>
                <a:ln>
                  <a:noFill/>
                </a:ln>
              </c:spPr>
              <c:txPr>
                <a:bodyPr vert="horz" anchor="ctr"/>
                <a:lstStyle/>
                <a:p>
                  <a:pPr algn="ctr">
                    <a:defRPr sz="800" b="0" i="0" u="none" strike="noStrike" baseline="0">
                      <a:solidFill>
                        <a:srgbClr val="404040"/>
                      </a:solidFill>
                      <a:latin typeface="Calibri"/>
                      <a:ea typeface="宋体"/>
                      <a:cs typeface="Arial"/>
                    </a:defRPr>
                  </a:pPr>
                  <a:endParaRPr lang="zh-CN"/>
                </a:p>
              </c:txPr>
              <c:dLblPos val="bestFit"/>
              <c:showLegendKey val="1"/>
              <c:showVal val="0"/>
              <c:showCatName val="1"/>
              <c:showSerName val="0"/>
              <c:showPercent val="1"/>
              <c:showBubbleSize val="0"/>
              <c:separator> </c:separator>
            </c:dLbl>
            <c:dLbl>
              <c:idx val="4"/>
              <c:layout>
                <c:manualLayout>
                  <c:x val="0.32302478"/>
                  <c:y val="0.28504568"/>
                </c:manualLayout>
              </c:layout>
              <c:numFmt formatCode="0.0%" sourceLinked="0"/>
              <c:spPr>
                <a:noFill/>
                <a:ln>
                  <a:noFill/>
                </a:ln>
              </c:spPr>
              <c:txPr>
                <a:bodyPr vert="horz" anchor="ctr"/>
                <a:lstStyle/>
                <a:p>
                  <a:pPr algn="ctr">
                    <a:defRPr sz="800" b="0" i="0" u="none" strike="noStrike" baseline="0">
                      <a:solidFill>
                        <a:srgbClr val="404040"/>
                      </a:solidFill>
                      <a:latin typeface="Calibri"/>
                      <a:ea typeface="宋体"/>
                      <a:cs typeface="Arial"/>
                    </a:defRPr>
                  </a:pPr>
                  <a:endParaRPr lang="zh-CN"/>
                </a:p>
              </c:txPr>
              <c:dLblPos val="bestFit"/>
              <c:showLegendKey val="1"/>
              <c:showVal val="0"/>
              <c:showCatName val="1"/>
              <c:showSerName val="0"/>
              <c:showPercent val="1"/>
              <c:showBubbleSize val="0"/>
              <c:separator> </c:separator>
            </c:dLbl>
            <c:dLblPos val="ctr"/>
            <c:showLegendKey val="1"/>
            <c:showVal val="0"/>
            <c:showCatName val="1"/>
            <c:showSerName val="0"/>
            <c:showPercent val="1"/>
            <c:showBubbleSize val="0"/>
            <c:separator> </c:separator>
            <c:showLeaderLines val="1"/>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718629.7</c:v>
                </c:pt>
                <c:pt idx="1">
                  <c:v>560255.0</c:v>
                </c:pt>
                <c:pt idx="2">
                  <c:v>0.0</c:v>
                </c:pt>
                <c:pt idx="3">
                  <c:v>0.0</c:v>
                </c:pt>
                <c:pt idx="4">
                  <c:v>0.0</c:v>
                </c:pt>
              </c:numCache>
            </c:numRef>
          </c:val>
        </c:ser>
        <c:firstSliceAng val="0"/>
      </c:pieChart>
      <c:spPr>
        <a:noFill/>
        <a:ln>
          <a:noFill/>
        </a:ln>
      </c:spPr>
    </c:plotArea>
    <c:legend>
      <c:legendPos val="t"/>
      <c:layout/>
      <c:overlay val="0"/>
      <c:spPr>
        <a:noFill/>
        <a:ln>
          <a:noFill/>
        </a:ln>
      </c:spPr>
      <c:txPr>
        <a:bodyPr/>
        <a:lstStyle/>
        <a:p>
          <a:pPr>
            <a:defRPr sz="800" b="0" i="0" u="none" strike="noStrike" baseline="0">
              <a:solidFill>
                <a:srgbClr val="595959"/>
              </a:solidFill>
              <a:latin typeface="Calibri"/>
              <a:ea typeface="宋体"/>
              <a:cs typeface="Arial"/>
            </a:defRPr>
          </a:pPr>
          <a:endParaRPr lang="zh-CN"/>
        </a:p>
      </c:txPr>
      <c:legendEntry>
        <c:idx val="0"/>
        <c:txPr>
          <a:bodyPr/>
          <a:lstStyle/>
          <a:p>
            <a:pPr>
              <a:defRPr sz="800" b="0" i="0" u="none" strike="noStrike" baseline="0">
                <a:solidFill>
                  <a:srgbClr val="595959"/>
                </a:solidFill>
                <a:latin typeface="Calibri"/>
                <a:ea typeface="宋体"/>
                <a:cs typeface="Arial"/>
              </a:defRPr>
            </a:pPr>
            <a:endParaRPr lang="zh-CN"/>
          </a:p>
        </c:txPr>
      </c:legendEntry>
      <c:legendEntry>
        <c:idx val="1"/>
        <c:txPr>
          <a:bodyPr/>
          <a:lstStyle/>
          <a:p>
            <a:pPr>
              <a:defRPr sz="800" b="0" i="0" u="none" strike="noStrike" baseline="0">
                <a:solidFill>
                  <a:srgbClr val="595959"/>
                </a:solidFill>
                <a:latin typeface="Calibri"/>
                <a:ea typeface="宋体"/>
                <a:cs typeface="Arial"/>
              </a:defRPr>
            </a:pPr>
            <a:endParaRPr lang="zh-CN"/>
          </a:p>
        </c:txPr>
      </c:legendEntry>
      <c:legendEntry>
        <c:idx val="2"/>
        <c:txPr>
          <a:bodyPr/>
          <a:lstStyle/>
          <a:p>
            <a:pPr>
              <a:defRPr sz="800" b="0" i="0" u="none" strike="noStrike" baseline="0">
                <a:solidFill>
                  <a:srgbClr val="595959"/>
                </a:solidFill>
                <a:latin typeface="Calibri"/>
                <a:ea typeface="宋体"/>
                <a:cs typeface="Arial"/>
              </a:defRPr>
            </a:pPr>
            <a:endParaRPr lang="zh-CN"/>
          </a:p>
        </c:txPr>
      </c:legendEntry>
      <c:legendEntry>
        <c:idx val="3"/>
        <c:txPr>
          <a:bodyPr/>
          <a:lstStyle/>
          <a:p>
            <a:pPr>
              <a:defRPr sz="800" b="0" i="0" u="none" strike="noStrike" baseline="0">
                <a:solidFill>
                  <a:srgbClr val="595959"/>
                </a:solidFill>
                <a:latin typeface="Calibri"/>
                <a:ea typeface="宋体"/>
                <a:cs typeface="Arial"/>
              </a:defRPr>
            </a:pPr>
            <a:endParaRPr lang="zh-CN"/>
          </a:p>
        </c:txPr>
      </c:legendEntry>
      <c:legendEntry>
        <c:idx val="4"/>
        <c:txPr>
          <a:bodyPr/>
          <a:lstStyle/>
          <a:p>
            <a:pPr>
              <a:defRPr sz="800" b="0" i="0" u="none" strike="noStrike" baseline="0">
                <a:solidFill>
                  <a:srgbClr val="595959"/>
                </a:solidFill>
                <a:latin typeface="Calibri"/>
                <a:ea typeface="宋体"/>
                <a:cs typeface="Arial"/>
              </a:defRPr>
            </a:pPr>
            <a:endParaRPr lang="zh-CN"/>
          </a:p>
        </c:txPr>
      </c:legendEntry>
    </c:legend>
    <c:plotVisOnly val="1"/>
    <c:dispBlanksAs val="gap"/>
    <c:showDLblsOverMax val="0"/>
  </c:chart>
  <c:spPr>
    <a:solidFill>
      <a:srgbClr val="FFFFFF"/>
    </a:solidFill>
    <a:ln w="12700">
      <a:solidFill>
        <a:srgbClr val="D9D9D9"/>
      </a:solidFill>
      <a:prstDash val="solid"/>
    </a:ln>
  </c:spPr>
  <c:txPr>
    <a:bodyPr/>
    <a:lstStyle/>
    <a:p>
      <a:pPr>
        <a:defRPr sz="8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lgn="ctr">
              <a:defRPr sz="1800" b="1" i="0" u="none" strike="noStrike" baseline="0">
                <a:solidFill>
                  <a:srgbClr val="000000"/>
                </a:solidFill>
                <a:latin typeface="Times New Roman"/>
                <a:ea typeface="宋体"/>
                <a:cs typeface="Arial"/>
              </a:defRPr>
            </a:pPr>
            <a:r>
              <a:rPr lang="zh-CN" sz="1400" b="1" i="0" u="none" strike="noStrike" baseline="0">
                <a:solidFill>
                  <a:srgbClr val="404040"/>
                </a:solidFill>
                <a:latin typeface="Calibri"/>
                <a:ea typeface="宋体"/>
                <a:cs typeface="Arial"/>
              </a:rPr>
              <a:t>图 </a:t>
            </a:r>
            <a:r>
              <a:rPr lang="zh-CN" sz="1400" b="1" i="0" u="none" strike="noStrike" baseline="0">
                <a:solidFill>
                  <a:srgbClr val="404040"/>
                </a:solidFill>
                <a:latin typeface="Calibri"/>
                <a:ea typeface="宋体"/>
                <a:cs typeface="Arial"/>
              </a:rPr>
              <a:t>4 </a:t>
            </a:r>
            <a:r>
              <a:rPr lang="zh-CN" sz="1400" b="1" i="0" u="none" strike="noStrike" baseline="0">
                <a:solidFill>
                  <a:srgbClr val="404040"/>
                </a:solidFill>
                <a:latin typeface="Calibri"/>
                <a:ea typeface="宋体"/>
                <a:cs typeface="Arial"/>
              </a:rPr>
              <a:t>：</a:t>
            </a:r>
            <a:r>
              <a:rPr lang="zh-CN" sz="1400" b="1" i="0" u="none" strike="noStrike" baseline="0">
                <a:solidFill>
                  <a:srgbClr val="404040"/>
                </a:solidFill>
                <a:latin typeface="Calibri"/>
                <a:ea typeface="宋体"/>
                <a:cs typeface="Arial"/>
              </a:rPr>
              <a:t>2024-2025</a:t>
            </a:r>
            <a:r>
              <a:rPr lang="zh-CN" sz="1400" b="1" i="0" u="none" strike="noStrike" baseline="0">
                <a:solidFill>
                  <a:srgbClr val="404040"/>
                </a:solidFill>
                <a:latin typeface="Calibri"/>
                <a:ea typeface="宋体"/>
                <a:cs typeface="Arial"/>
              </a:rPr>
              <a:t>年财政拨款收支对比图（万元）</a:t>
            </a:r>
          </a:p>
        </c:rich>
      </c:tx>
      <c:layout>
        <c:manualLayout>
          <c:xMode val="edge"/>
          <c:yMode val="edge"/>
          <c:x val="0.13324474"/>
          <c:y val="0.025499362"/>
        </c:manualLayout>
      </c:layout>
      <c:overlay val="0"/>
      <c:spPr>
        <a:noFill/>
        <a:ln>
          <a:noFill/>
        </a:ln>
      </c:spPr>
    </c:title>
    <c:autoTitleDeleted val="1"/>
    <c:plotArea>
      <c:layout/>
      <c:barChart>
        <c:barDir val="col"/>
        <c:grouping val="clustered"/>
        <c:varyColors val="0"/>
        <c:ser>
          <c:idx val="0"/>
          <c:order val="0"/>
          <c:tx>
            <c:strRef>
              <c:f>'Sheet1'!$B$1</c:f>
              <c:strCache>
                <c:ptCount val="1"/>
                <c:pt idx="0">
                  <c:v>2024年</c:v>
                </c:pt>
              </c:strCache>
            </c:strRef>
          </c:tx>
          <c:spPr>
            <a:solidFill>
              <a:srgbClr val="4874CB"/>
            </a:solidFill>
            <a:ln>
              <a:noFill/>
            </a:ln>
          </c:spPr>
          <c:invertIfNegative val="0"/>
          <c:dLbls>
            <c:spPr>
              <a:noFill/>
              <a:ln>
                <a:noFill/>
              </a:ln>
            </c:spPr>
            <c:txPr>
              <a:bodyPr vert="horz" anchor="ctr"/>
              <a:lstStyle/>
              <a:p>
                <a:pPr algn="ctr">
                  <a:defRPr sz="1000" b="0" i="0" u="none" strike="noStrike" baseline="0">
                    <a:solidFill>
                      <a:srgbClr val="404040"/>
                    </a:solidFill>
                    <a:latin typeface="Calibri"/>
                    <a:ea typeface="宋体"/>
                    <a:cs typeface="Arial"/>
                  </a:defRPr>
                </a:pPr>
                <a:endParaRPr lang="zh-CN"/>
              </a:p>
            </c:txPr>
            <c:dLblPos val="ctr"/>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129.93</c:v>
                </c:pt>
                <c:pt idx="1">
                  <c:v>129.93</c:v>
                </c:pt>
                <c:pt idx="2">
                  <c:v>129.93</c:v>
                </c:pt>
                <c:pt idx="3">
                  <c:v>129.93</c:v>
                </c:pt>
                <c:pt idx="4">
                  <c:v>0.0</c:v>
                </c:pt>
                <c:pt idx="5">
                  <c:v>0.0</c:v>
                </c:pt>
                <c:pt idx="6">
                  <c:v>0.0</c:v>
                </c:pt>
                <c:pt idx="7">
                  <c:v>0.0</c:v>
                </c:pt>
              </c:numCache>
            </c:numRef>
          </c:val>
        </c:ser>
        <c:ser>
          <c:idx val="1"/>
          <c:order val="1"/>
          <c:tx>
            <c:strRef>
              <c:f>'Sheet1'!$C$1</c:f>
              <c:strCache>
                <c:ptCount val="1"/>
                <c:pt idx="0">
                  <c:v>2025年</c:v>
                </c:pt>
              </c:strCache>
            </c:strRef>
          </c:tx>
          <c:spPr>
            <a:solidFill>
              <a:srgbClr val="EE822F"/>
            </a:solidFill>
            <a:ln>
              <a:noFill/>
            </a:ln>
          </c:spPr>
          <c:invertIfNegative val="0"/>
          <c:dLbls>
            <c:spPr>
              <a:noFill/>
              <a:ln>
                <a:noFill/>
              </a:ln>
            </c:spPr>
            <c:txPr>
              <a:bodyPr vert="horz" anchor="ctr"/>
              <a:lstStyle/>
              <a:p>
                <a:pPr algn="ctr">
                  <a:defRPr sz="1000" b="0" i="0" u="none" strike="noStrike" baseline="0">
                    <a:solidFill>
                      <a:srgbClr val="404040"/>
                    </a:solidFill>
                    <a:latin typeface="Calibri"/>
                    <a:ea typeface="宋体"/>
                    <a:cs typeface="Arial"/>
                  </a:defRPr>
                </a:pPr>
                <a:endParaRPr lang="zh-CN"/>
              </a:p>
            </c:txPr>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127.89</c:v>
                </c:pt>
                <c:pt idx="1">
                  <c:v>127.89</c:v>
                </c:pt>
                <c:pt idx="2">
                  <c:v>127.89</c:v>
                </c:pt>
                <c:pt idx="3">
                  <c:v>127.89</c:v>
                </c:pt>
                <c:pt idx="4">
                  <c:v>0.0</c:v>
                </c:pt>
                <c:pt idx="5">
                  <c:v>0.0</c:v>
                </c:pt>
                <c:pt idx="6">
                  <c:v>0.0</c:v>
                </c:pt>
                <c:pt idx="7">
                  <c:v>0.0</c:v>
                </c:pt>
              </c:numCache>
            </c:numRef>
          </c:val>
        </c:ser>
        <c:overlap val="-28"/>
        <c:gapWidth val="246"/>
        <c:axId val="0"/>
        <c:axId val="1"/>
      </c:barChart>
      <c:catAx>
        <c:axId val="0"/>
        <c:scaling>
          <c:orientation val="minMax"/>
        </c:scaling>
        <c:delete val="0"/>
        <c:axPos val="b"/>
        <c:numFmt formatCode="General" sourceLinked="0"/>
        <c:majorTickMark val="out"/>
        <c:minorTickMark val="none"/>
        <c:tickLblPos val="nextTo"/>
        <c:spPr>
          <a:ln w="12700">
            <a:solidFill>
              <a:srgbClr val="D9D9D9"/>
            </a:solidFill>
            <a:prstDash val="solid"/>
          </a:ln>
        </c:spPr>
        <c:txPr>
          <a:bodyPr/>
          <a:lstStyle/>
          <a:p>
            <a:pPr>
              <a:defRPr sz="900" b="0" i="0" u="none" strike="noStrike" baseline="0">
                <a:solidFill>
                  <a:srgbClr val="595959"/>
                </a:solidFill>
                <a:latin typeface="Calibri"/>
                <a:ea typeface="宋体"/>
                <a:cs typeface="Arial"/>
              </a:defRPr>
            </a:pPr>
            <a:endParaRPr lang="zh-CN"/>
          </a:p>
        </c:txPr>
        <c:crosses val="autoZero"/>
        <c:auto val="1"/>
        <c:lblOffset val="100"/>
        <c:lblAlgn val="ctr"/>
        <c:noMultiLvlLbl val="0"/>
        <c:crossAx val="1"/>
      </c:catAx>
      <c:valAx>
        <c:axId val="1"/>
        <c:scaling>
          <c:orientation val="minMax"/>
        </c:scaling>
        <c:delete val="0"/>
        <c:axPos val="l"/>
        <c:majorGridlines>
          <c:spPr>
            <a:ln w="12700">
              <a:solidFill>
                <a:srgbClr val="E6E6E6"/>
              </a:solidFill>
              <a:prstDash val="solid"/>
            </a:ln>
          </c:spPr>
        </c:majorGridlines>
        <c:numFmt formatCode="General" sourceLinked="1"/>
        <c:majorTickMark val="out"/>
        <c:minorTickMark val="none"/>
        <c:tickLblPos val="nextTo"/>
        <c:spPr>
          <a:ln>
            <a:noFill/>
          </a:ln>
        </c:spPr>
        <c:txPr>
          <a:bodyPr/>
          <a:lstStyle/>
          <a:p>
            <a:pPr>
              <a:defRPr sz="900" b="0" i="0" u="none" strike="noStrike" baseline="0">
                <a:solidFill>
                  <a:srgbClr val="595959"/>
                </a:solidFill>
                <a:latin typeface="Calibri"/>
                <a:ea typeface="宋体"/>
                <a:cs typeface="Arial"/>
              </a:defRPr>
            </a:pPr>
            <a:endParaRPr lang="zh-CN"/>
          </a:p>
        </c:txPr>
        <c:crosses val="autoZero"/>
        <c:crossBetween val="between"/>
        <c:crossAx val="0"/>
      </c:valAx>
      <c:spPr>
        <a:noFill/>
        <a:ln>
          <a:noFill/>
        </a:ln>
      </c:spPr>
    </c:plotArea>
    <c:legend>
      <c:legendPos val="b"/>
      <c:layout/>
      <c:overlay val="0"/>
      <c:spPr>
        <a:noFill/>
        <a:ln>
          <a:noFill/>
        </a:ln>
      </c:spPr>
      <c:txPr>
        <a:bodyPr/>
        <a:lstStyle/>
        <a:p>
          <a:pPr>
            <a:defRPr sz="900" b="0" i="0" u="none" strike="noStrike" baseline="0">
              <a:solidFill>
                <a:srgbClr val="595959"/>
              </a:solidFill>
              <a:latin typeface="Calibri"/>
              <a:ea typeface="宋体"/>
              <a:cs typeface="Arial"/>
            </a:defRPr>
          </a:pPr>
          <a:endParaRPr lang="zh-CN"/>
        </a:p>
      </c:txPr>
    </c:legend>
    <c:plotVisOnly val="1"/>
    <c:dispBlanksAs val="gap"/>
    <c:showDLblsOverMax val="0"/>
  </c:chart>
  <c:spPr>
    <a:solidFill>
      <a:srgbClr val="FFFFFF"/>
    </a:solidFill>
    <a:ln w="12700">
      <a:solidFill>
        <a:srgbClr val="D9D9D9"/>
      </a:solidFill>
      <a:prstDash val="solid"/>
    </a:ln>
  </c:spPr>
  <c:txPr>
    <a:bodyPr/>
    <a:lstStyle/>
    <a:p>
      <a:pPr>
        <a:defRPr sz="10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lgn="ctr">
              <a:defRPr sz="950" b="1" i="0" u="none" strike="noStrike" baseline="0">
                <a:solidFill>
                  <a:srgbClr val="000000"/>
                </a:solidFill>
                <a:latin typeface="Times New Roman"/>
                <a:ea typeface="宋体"/>
                <a:cs typeface="Arial"/>
              </a:defRPr>
            </a:pPr>
            <a:r>
              <a:rPr lang="zh-CN" sz="950" b="1" i="0" u="none" strike="noStrike" baseline="0">
                <a:solidFill>
                  <a:srgbClr val="404040"/>
                </a:solidFill>
                <a:latin typeface="Calibri"/>
                <a:ea typeface="宋体"/>
                <a:cs typeface="Arial"/>
              </a:rPr>
              <a:t>图 </a:t>
            </a:r>
            <a:r>
              <a:rPr lang="zh-CN" sz="950" b="1" i="0" u="none" strike="noStrike" baseline="0">
                <a:solidFill>
                  <a:srgbClr val="404040"/>
                </a:solidFill>
                <a:latin typeface="Calibri"/>
                <a:ea typeface="宋体"/>
                <a:cs typeface="Arial"/>
              </a:rPr>
              <a:t>5 :</a:t>
            </a:r>
            <a:r>
              <a:rPr lang="zh-CN" sz="950" b="1" i="0" u="none" strike="noStrike" baseline="0">
                <a:solidFill>
                  <a:srgbClr val="404040"/>
                </a:solidFill>
                <a:latin typeface="Calibri"/>
                <a:ea typeface="宋体"/>
                <a:cs typeface="Arial"/>
              </a:rPr>
              <a:t>财政拨款收支预算对比图（万元）</a:t>
            </a:r>
          </a:p>
        </c:rich>
      </c:tx>
      <c:layout/>
      <c:overlay val="0"/>
      <c:spPr>
        <a:noFill/>
        <a:ln>
          <a:noFill/>
        </a:ln>
      </c:spPr>
    </c:title>
    <c:autoTitleDeleted val="1"/>
    <c:plotArea>
      <c:layout>
        <c:manualLayout>
          <c:layoutTarget val="inner"/>
          <c:xMode val="edge"/>
          <c:yMode val="edge"/>
          <c:x val="0.17641942"/>
          <c:y val="0.16043349"/>
          <c:w val="0.7957961"/>
          <c:h val="0.47433063"/>
        </c:manualLayout>
      </c:layout>
      <c:barChart>
        <c:barDir val="col"/>
        <c:grouping val="clustered"/>
        <c:varyColors val="0"/>
        <c:ser>
          <c:idx val="0"/>
          <c:order val="0"/>
          <c:tx>
            <c:strRef>
              <c:f>'Sheet1'!$B$1</c:f>
              <c:strCache>
                <c:ptCount val="1"/>
                <c:pt idx="0">
                  <c:v>年初预算数</c:v>
                </c:pt>
              </c:strCache>
            </c:strRef>
          </c:tx>
          <c:spPr>
            <a:solidFill>
              <a:srgbClr val="4874CB"/>
            </a:solidFill>
            <a:ln>
              <a:noFill/>
            </a:ln>
          </c:spPr>
          <c:invertIfNegative val="0"/>
          <c:dLbls>
            <c:spPr>
              <a:noFill/>
              <a:ln>
                <a:noFill/>
              </a:ln>
            </c:spPr>
            <c:txPr>
              <a:bodyPr vert="horz" anchor="ctr"/>
              <a:lstStyle/>
              <a:p>
                <a:pPr algn="ctr">
                  <a:defRPr sz="800" b="0" i="0" u="none" strike="noStrike" baseline="0">
                    <a:solidFill>
                      <a:srgbClr val="404040"/>
                    </a:solidFill>
                    <a:latin typeface="Calibri"/>
                    <a:ea typeface="宋体"/>
                    <a:cs typeface="Arial"/>
                  </a:defRPr>
                </a:pPr>
                <a:endParaRPr lang="zh-CN"/>
              </a:p>
            </c:txPr>
            <c:dLblPos val="ctr"/>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210.37</c:v>
                </c:pt>
                <c:pt idx="1">
                  <c:v>210.37</c:v>
                </c:pt>
                <c:pt idx="2">
                  <c:v>210.37</c:v>
                </c:pt>
                <c:pt idx="3">
                  <c:v>210.37</c:v>
                </c:pt>
                <c:pt idx="4">
                  <c:v>0.0</c:v>
                </c:pt>
                <c:pt idx="5">
                  <c:v>0.0</c:v>
                </c:pt>
                <c:pt idx="6">
                  <c:v>0.0</c:v>
                </c:pt>
                <c:pt idx="7">
                  <c:v>0.0</c:v>
                </c:pt>
              </c:numCache>
            </c:numRef>
          </c:val>
        </c:ser>
        <c:ser>
          <c:idx val="1"/>
          <c:order val="1"/>
          <c:tx>
            <c:strRef>
              <c:f>'Sheet1'!$C$1</c:f>
              <c:strCache>
                <c:ptCount val="1"/>
                <c:pt idx="0">
                  <c:v>决算数</c:v>
                </c:pt>
              </c:strCache>
            </c:strRef>
          </c:tx>
          <c:spPr>
            <a:solidFill>
              <a:srgbClr val="EE822F"/>
            </a:solidFill>
            <a:ln>
              <a:noFill/>
            </a:ln>
          </c:spPr>
          <c:invertIfNegative val="0"/>
          <c:dLbls>
            <c:spPr>
              <a:noFill/>
              <a:ln>
                <a:noFill/>
              </a:ln>
            </c:spPr>
            <c:txPr>
              <a:bodyPr vert="horz" anchor="ctr"/>
              <a:lstStyle/>
              <a:p>
                <a:pPr algn="ctr">
                  <a:defRPr sz="650" b="0" i="0" u="none" strike="noStrike" baseline="0">
                    <a:solidFill>
                      <a:srgbClr val="404040"/>
                    </a:solidFill>
                    <a:latin typeface="Calibri"/>
                    <a:ea typeface="宋体"/>
                    <a:cs typeface="Arial"/>
                  </a:defRPr>
                </a:pPr>
                <a:endParaRPr lang="zh-CN"/>
              </a:p>
            </c:txPr>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127.89</c:v>
                </c:pt>
                <c:pt idx="1">
                  <c:v>127.89</c:v>
                </c:pt>
                <c:pt idx="2">
                  <c:v>127.89</c:v>
                </c:pt>
                <c:pt idx="3">
                  <c:v>127.89</c:v>
                </c:pt>
                <c:pt idx="4">
                  <c:v>0.0</c:v>
                </c:pt>
                <c:pt idx="5">
                  <c:v>0.0</c:v>
                </c:pt>
                <c:pt idx="6">
                  <c:v>0.0</c:v>
                </c:pt>
                <c:pt idx="7">
                  <c:v>0.0</c:v>
                </c:pt>
              </c:numCache>
            </c:numRef>
          </c:val>
        </c:ser>
        <c:gapWidth val="150"/>
        <c:axId val="0"/>
        <c:axId val="1"/>
      </c:barChart>
      <c:catAx>
        <c:axId val="0"/>
        <c:scaling>
          <c:orientation val="minMax"/>
        </c:scaling>
        <c:delete val="0"/>
        <c:axPos val="b"/>
        <c:numFmt formatCode="General" sourceLinked="0"/>
        <c:majorTickMark val="none"/>
        <c:minorTickMark val="none"/>
        <c:tickLblPos val="nextTo"/>
        <c:spPr>
          <a:ln w="12700">
            <a:solidFill>
              <a:srgbClr val="D9D9D9"/>
            </a:solidFill>
            <a:prstDash val="solid"/>
          </a:ln>
        </c:spPr>
        <c:txPr>
          <a:bodyPr/>
          <a:lstStyle/>
          <a:p>
            <a:pPr>
              <a:defRPr sz="800" b="0" i="0" u="none" strike="noStrike" baseline="0">
                <a:solidFill>
                  <a:srgbClr val="595959"/>
                </a:solidFill>
                <a:latin typeface="Calibri"/>
                <a:ea typeface="宋体"/>
                <a:cs typeface="Arial"/>
              </a:defRPr>
            </a:pPr>
            <a:endParaRPr lang="zh-CN"/>
          </a:p>
        </c:txPr>
        <c:crosses val="autoZero"/>
        <c:auto val="1"/>
        <c:lblOffset val="100"/>
        <c:lblAlgn val="ctr"/>
        <c:noMultiLvlLbl val="0"/>
        <c:crossAx val="1"/>
      </c:catAx>
      <c:valAx>
        <c:axId val="1"/>
        <c:scaling>
          <c:orientation val="minMax"/>
        </c:scaling>
        <c:delete val="0"/>
        <c:axPos val="l"/>
        <c:majorGridlines>
          <c:spPr>
            <a:ln w="12700">
              <a:solidFill>
                <a:srgbClr val="E6E6E6"/>
              </a:solidFill>
              <a:prstDash val="solid"/>
            </a:ln>
          </c:spPr>
        </c:majorGridlines>
        <c:numFmt formatCode="General" sourceLinked="1"/>
        <c:majorTickMark val="none"/>
        <c:minorTickMark val="none"/>
        <c:tickLblPos val="nextTo"/>
        <c:spPr>
          <a:ln>
            <a:noFill/>
          </a:ln>
        </c:spPr>
        <c:txPr>
          <a:bodyPr/>
          <a:lstStyle/>
          <a:p>
            <a:pPr>
              <a:defRPr sz="800" b="0" i="0" u="none" strike="noStrike" baseline="0">
                <a:solidFill>
                  <a:srgbClr val="595959"/>
                </a:solidFill>
                <a:latin typeface="Calibri"/>
                <a:ea typeface="宋体"/>
                <a:cs typeface="Arial"/>
              </a:defRPr>
            </a:pPr>
            <a:endParaRPr lang="zh-CN"/>
          </a:p>
        </c:txPr>
        <c:crosses val="autoZero"/>
        <c:crossBetween val="between"/>
        <c:crossAx val="0"/>
      </c:valAx>
      <c:spPr>
        <a:noFill/>
        <a:ln>
          <a:noFill/>
        </a:ln>
      </c:spPr>
    </c:plotArea>
    <c:plotVisOnly val="1"/>
    <c:dispBlanksAs val="gap"/>
    <c:showDLblsOverMax val="0"/>
  </c:chart>
  <c:spPr>
    <a:solidFill>
      <a:srgbClr val="FFFFFF"/>
    </a:solidFill>
    <a:ln w="12700">
      <a:solidFill>
        <a:srgbClr val="D9D9D9"/>
      </a:solidFill>
      <a:prstDash val="solid"/>
    </a:ln>
  </c:spPr>
  <c:txPr>
    <a:bodyPr/>
    <a:lstStyle/>
    <a:p>
      <a:pPr>
        <a:defRPr sz="8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theme/theme1.xml><?xml version="1.0" encoding="utf-8"?>
<a:theme xmlns:a="http://schemas.openxmlformats.org/drawingml/2006/main" name="WPS">
  <a:themeElements>
    <a:clrScheme name="WPS">
      <a:dk1>
        <a:srgbClr val="000000"/>
      </a:dk1>
      <a:lt1>
        <a:srgbClr val="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
        <a:ea typeface=""/>
        <a:cs typeface=""/>
      </a:majorFont>
      <a:minorFont>
        <a:latin typeface=""/>
        <a:ea typeface=""/>
        <a:cs typeface=""/>
      </a:minorFont>
    </a:fontScheme>
    <a:fmtScheme name="WPS">
      <a:fillStyleLst>
        <a:solidFill>
          <a:schemeClr val="phClr"/>
        </a:solidFill>
        <a:gradFill rotWithShape="1">
          <a:gsLst>
            <a:gs pos="0">
              <a:schemeClr val="phClr">
                <a:lumOff val="17500"/>
              </a:schemeClr>
            </a:gs>
            <a:gs pos="100000">
              <a:schemeClr val="phClr"/>
            </a:gs>
          </a:gsLst>
          <a:lin ang="2700000" scaled="1"/>
        </a:gradFill>
        <a:gradFill rotWithShape="1">
          <a:gsLst>
            <a:gs pos="0">
              <a:schemeClr val="phClr">
                <a:hueOff val="-2520000"/>
              </a:schemeClr>
            </a:gs>
            <a:gs pos="100000">
              <a:schemeClr val="phClr"/>
            </a:gs>
          </a:gsLst>
          <a:lin ang="2700000" scaled="1"/>
        </a:gradFill>
      </a:fillStyleLst>
      <a:lnStyleLst>
        <a:ln w="12700" cmpd="sng" cap="flat">
          <a:solidFill>
            <a:schemeClr val="phClr"/>
          </a:solidFill>
          <a:prstDash val="solid"/>
          <a:miter/>
        </a:ln>
        <a:ln w="12700" cmpd="sng" cap="flat">
          <a:solidFill>
            <a:schemeClr val="phClr"/>
          </a:solidFill>
          <a:prstDash val="solid"/>
          <a:miter/>
        </a:ln>
        <a:ln w="12700" cmpd="sng" cap="flat">
          <a:gradFill rotWithShape="1">
            <a:gsLst>
              <a:gs pos="0">
                <a:schemeClr val="phClr">
                  <a:hueOff val="-4200000"/>
                </a:schemeClr>
              </a:gs>
              <a:gs pos="100000">
                <a:schemeClr val="phClr"/>
              </a:gs>
            </a:gsLst>
            <a:lin ang="2700000" scaled="1"/>
          </a:gradFill>
          <a:prstDash val="solid"/>
          <a:miter/>
        </a:ln>
      </a:lnStyleLst>
      <a:effectStyleLst>
        <a:effectStyle>
          <a:effectLst>
            <a:outerShdw sx="100000" sy="100000" algn="ctr" rotWithShape="0" blurRad="101600" dist="50800" dir="5400000">
              <a:schemeClr val="phClr">
                <a:alpha val="60000"/>
              </a:schemeClr>
            </a:outerShdw>
          </a:effectLst>
        </a:effectStyle>
        <a:effectStyle>
          <a:effectLst>
            <a:reflection stA="50000" endA="300" endPos="40000" dist="25400" dir="5400000" sy="-100000" algn="bl" rotWithShape="0"/>
          </a:effectLst>
        </a:effectStyle>
        <a:effectStyle>
          <a:effectLst>
            <a:outerShdw sx="100000" sy="100000" algn="ctr" rotWithShape="0" blurRad="57150" dist="19050" dir="540000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26650 1 1 1 1 1"/>
    <sectPr/>
    <sectPr/>
    <sectPr/>
    <sectPr/>
    <sectPr/>
    <sectPr/>
  </customProps>
</customData>
</file>

<file path=customXml/itemProps1.xml><?xml version="1.0" encoding="utf-8"?>
<ds:datastoreItem xmlns:ds="http://schemas.openxmlformats.org/officeDocument/2006/customXml" ds:itemID="{6D203550-B659-4C13-B68A-BB06C2E758EB}">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16</TotalTime>
  <Application>WPS_Yozo_Office9.0.7173.102ZH.HE97</Application>
  <Pages>33</Pages>
  <Words>0</Words>
  <Characters>10327</Characters>
  <Lines>0</Lines>
  <Paragraphs>192</Paragraphs>
  <CharactersWithSpaces>13770</CharactersWithSpaces>
  <Company>神州网信技术有限公司</Company>
</Properties>
</file>

<file path=docProps/core.xml><?xml version="1.0" encoding="utf-8"?>
<cp:coreProperties xmlns:cp="http://schemas.openxmlformats.org/package/2006/metadata/core-properties" xmlns:dc="http://purl.org/dc/elements/1.1/" xmlns:dcterms="http://purl.org/dc/terms/" xmlns:xsi="http://www.w3.org/2001/XMLSchema-instance">
  <dc:creator>王明新TIAD</dc:creator>
  <cp:lastModifiedBy>CW</cp:lastModifiedBy>
  <cp:revision>17</cp:revision>
  <cp:lastPrinted>2023-08-04T01:00:00Z</cp:lastPrinted>
  <dcterms:created xsi:type="dcterms:W3CDTF">2023-08-04T07:55:00Z</dcterms:created>
  <dcterms:modified xsi:type="dcterms:W3CDTF">2026-09-09T08:50:04Z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2052-11.1.0.9021</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