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行唐县建设工程质量管理服务中心</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333003</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6901604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行唐县建设工程质量管理服务中心</w:t>
      </w:r>
    </w:p>
    <w:p w14:paraId="418E824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776D673C">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行唐县建设工程质量管理服务中心</w:t>
      </w:r>
    </w:p>
    <w:p w14:paraId="195E7DFF">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6A2ECA1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D78058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5FBE93C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A14E0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0F630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5744AAF7">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07C85E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6A958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4ED8C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F9CF6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1F9CC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F3D7C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07B3CC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0395C2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7F85F1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745B64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54493D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224B9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06007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2431A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350C9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A91450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512999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9BE23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0666B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66F65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C6C8AA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E62282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AF5542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6D9DB8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5AE19E1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0E5D6A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行唐县建设工程质量管理服务中心</w:t>
            </w:r>
          </w:p>
        </w:tc>
        <w:tc>
          <w:tcPr>
            <w:tcW w:w="2445" w:type="dxa"/>
          </w:tcPr>
          <w:p w14:paraId="2E443189">
            <w:pPr>
              <w:spacing w:line="560" w:lineRule="exact"/>
              <w:jc w:val="center"/>
              <w:rPr>
                <w:rFonts w:ascii="仿宋_GB2312" w:hAnsi="Calibri" w:eastAsia="仿宋_GB2312" w:cs="ArialUnicodeMS"/>
                <w:kern w:val="0"/>
                <w:sz w:val="28"/>
                <w:szCs w:val="28"/>
              </w:rPr>
            </w:pP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差额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0FF224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部门（单位）：行唐县建设工程质量管理服务中心</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部门（单位）：行唐县建设工程质量管理服务中心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138.02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138.02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FA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CFD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9E2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1C6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530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DDE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ECA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1A3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CCE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7FB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115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5AF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512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F89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286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09E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2CD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097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30D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0BF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623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F30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39F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工程建设管理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160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61A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51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EEE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4B4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E7E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068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部门（单位）：行唐县建设工程质量管理服务中心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20311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108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569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2C3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C8F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382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0D6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DB6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DA5A7">
            <w:pPr>
              <w:jc w:val="right"/>
              <w:rPr>
                <w:rFonts w:hint="default" w:ascii="Times New Roman" w:hAnsi="Times New Roman" w:eastAsia="宋体" w:cs="Times New Roman"/>
                <w:i w:val="0"/>
                <w:iCs w:val="0"/>
                <w:color w:val="000000"/>
                <w:sz w:val="20"/>
                <w:szCs w:val="20"/>
                <w:highlight w:val="none"/>
                <w:u w:val="none"/>
              </w:rPr>
            </w:pPr>
          </w:p>
        </w:tc>
      </w:tr>
      <w:tr w14:paraId="3B03E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E648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148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441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699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3A4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800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0CB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E474E">
            <w:pPr>
              <w:jc w:val="right"/>
              <w:rPr>
                <w:rFonts w:hint="default" w:ascii="Times New Roman" w:hAnsi="Times New Roman" w:eastAsia="宋体" w:cs="Times New Roman"/>
                <w:i w:val="0"/>
                <w:iCs w:val="0"/>
                <w:color w:val="000000"/>
                <w:sz w:val="20"/>
                <w:szCs w:val="20"/>
                <w:highlight w:val="none"/>
                <w:u w:val="none"/>
              </w:rPr>
            </w:pPr>
          </w:p>
        </w:tc>
      </w:tr>
      <w:tr w14:paraId="1A30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7AA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0A8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工程建设管理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860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8CB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556D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9E7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969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B5067">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部门（单位）：行唐县建设工程质量管理服务中心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138.02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0"/>
        <w:gridCol w:w="1871"/>
        <w:gridCol w:w="1005"/>
        <w:gridCol w:w="944"/>
        <w:gridCol w:w="1004"/>
        <w:gridCol w:w="378"/>
        <w:gridCol w:w="1658"/>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部门（单位）：行唐县建设工程质量管理服务中心</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86.36</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86.36</w:t>
            </w:r>
          </w:p>
        </w:tc>
      </w:tr>
      <w:tr w14:paraId="7839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9075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1AD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993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EF9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3E8A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86.36</w:t>
            </w:r>
          </w:p>
        </w:tc>
      </w:tr>
      <w:tr w14:paraId="742E9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E96E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602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580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5346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0CD3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86.36</w:t>
            </w:r>
          </w:p>
        </w:tc>
      </w:tr>
      <w:tr w14:paraId="7C497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8739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914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工程建设管理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6B5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530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29BE3C">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部门（单位）：行唐县建设工程质量管理服务中心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49.80</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30.04</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0.40</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19.76</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部门（单位）：行唐县建设工程质量管理服务中心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部门（单位）：行唐县建设工程质量管理服务中心</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部门（单位）：行唐县建设工程质量管理服务中心</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0.02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0.02</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77E4DE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E4C94D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00510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本单位2025年度收、支总计（含结转和结余）均为138.02万元。与2024年度决算相比，收支各减少17.63万元，下降11.3%，主要原因是。</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F09323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69B9D0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138.02万元，其中：财政拨款收入138.02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297BD7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51255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本单位2025年度本年支出合计138.02万元，其中：基本支出51.66万元，占37.4%；项目支出86.36万元，占62.6%；经营支出0.00万元，占0.0%；上缴上级支出0.00万元，占0.0%；对附属单位补助支出0.00万元，占0.0%。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5E68D2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BA1337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F3940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本单位2025年度财政拨款收、支总计（含结转和结余）均为138.02万元。与2024年度相比，财政拨款收支各减少17.63万元，降低11.3%，主要原因是。</w:t>
      </w:r>
    </w:p>
    <w:p w14:paraId="469683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本单位2025年度财政拨款本年收入138.02万元,比上年减少17.63万元，降低11.3%，主要原因是；本年支出138.02万元，比上年减少17.63万元，降低11.3%，主要原因是。具体情况如下：</w:t>
      </w:r>
    </w:p>
    <w:p w14:paraId="7463BC1B">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一般公共预算财政拨款本年收入138.02万元,比上年减少17.63万元，降低11.3%，主要原因是；本年支出138.02万元，比上年减少17.63万元，降低11.3%，主要原因是。</w:t>
      </w:r>
    </w:p>
    <w:p w14:paraId="6EF820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p>
    <w:p w14:paraId="4F49A1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3785C4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5BBEF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138.02万元，完成年初预算的41.9%，比年初预算减少191.59万元，决算数小于预算数主要原因是；本年支出138.02万元，完成年初预算的41.9%，比年初预算减少191.59万元，决算数小于预算数主要原因是。具体情况如下：</w:t>
      </w:r>
    </w:p>
    <w:p w14:paraId="4B2376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一般公共预算财政拨款本年收入完成年初预算的41.9%，比年初预算减少191.59万元，主要原因是；支出完成年初预算的41.9%，比年初预算减少191.59万元，主要原因是。</w:t>
      </w:r>
    </w:p>
    <w:p w14:paraId="2A3AF4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政府性基金预算财政拨款本年收入完成年初预算的0.0%，比年初预算增加0.00万元，主要原因是；支出完成年初预算的0.0%，比年初预算增加0.00万元，主要原因是。</w:t>
      </w:r>
    </w:p>
    <w:p w14:paraId="04BEF3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DD4BF7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E69FA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2025年度财政拨款支出138.02万元，主要用于以下方面：</w:t>
      </w:r>
    </w:p>
    <w:p w14:paraId="3D58B7D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7ACC6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138.02万元，占100.0%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5997117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B0552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16266F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621985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533D649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55504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2025年度财政拨款基本支出51.66万元，其中：</w:t>
      </w:r>
    </w:p>
    <w:p w14:paraId="0FB87F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49.80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712F2C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1.86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62BD351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2C1A7AA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72351B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本单位2025年度“三公”经费财政拨款支出预算为0.02万元，支出决算为0.00万元，完成预算的0.0%，较预算减少0.02万元，降低100.0%，主要原因是；较2024年度决算增加0.00万元，增长0.00%，主要原因是。</w:t>
      </w:r>
    </w:p>
    <w:p w14:paraId="05CBF19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E4AA9F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5328B0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本单位2025年度公务用车购置及运行维护费预算为0.00万元，支出决算0.00万元，完成预算的0.0%,较预算增加0.00万元，增长0.0%,主要原因是；较上年增加0.00万元，增长0.00%,主要原因是。其中：</w:t>
      </w:r>
    </w:p>
    <w:p w14:paraId="7197FD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14:paraId="3C1312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本单位2025年度单位公务用车保有量0辆，发生运行维护费支出0.00万元。公车运行维护费支出较预算增加0.00万元，增长0.0%,主要原因是；较上年增加0.00万元，增长0.00%，主要原因是。</w:t>
      </w:r>
    </w:p>
    <w:p w14:paraId="5B3053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0.02万元，支出决算0.00万元，完成预算的0.0%。公务接待费支出较预算减少0.02万元，降低100.0%,主要原因是；较上年度增加0.00万元，增长0.00%,主要原因是。本年度共发生公务接待0批次、0人次。</w:t>
      </w:r>
    </w:p>
    <w:p w14:paraId="4DBEDEA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05FE4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w:t>
      </w:r>
    </w:p>
    <w:p w14:paraId="3933444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0A9CCB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F7FB59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BB06A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70D5B8B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0B90B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1EEE8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万元（决算金额）。其中，一般公共预算项目个，涉及资金万元，占一般公共预算项目支出总额的%；政府性基金预算项目个，涉及资金万元，占政府性基金预算项目支出总额的%；国有资本经营预算项目个，涉及资金万元，占国有资本经营预算项目支出总额的%。</w:t>
      </w:r>
    </w:p>
    <w:p w14:paraId="74BB56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组织对等个项目开展了部门重点评价，涉及一般公共预算支出万元，政府性基金预算支出万元，国有资本经营预算支出万元。</w:t>
      </w:r>
    </w:p>
    <w:p w14:paraId="780592F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BBB27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本单位在今年部门决算公开中反映等个项目绩效自</w:t>
      </w:r>
      <w:bookmarkStart w:id="0" w:name="_GoBack"/>
      <w:bookmarkEnd w:id="0"/>
      <w:r>
        <w:rPr>
          <w:rFonts w:ascii="Times New Roman" w:eastAsia="仿宋_GB2312"/>
          <w:b w:val="0"/>
          <w:sz w:val="32"/>
          <w:szCs w:val="32"/>
        </w:rPr>
        <w:t>评结果。</w:t>
      </w:r>
    </w:p>
    <w:p w14:paraId="426DBF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分（绩效自评表附后）。全年预算数为万元，执行数为万元，完成预算的%。项目绩效目标完成情况：一是；二是。发现的主要问题及原因是：一是；二是。下一步改进措施：一是；二是。</w:t>
      </w:r>
    </w:p>
    <w:p w14:paraId="69CC78E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5E260B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78DA0FB6">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14D41D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1C98CB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8CA358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B9849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D97EF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9845E8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5B7834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60952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DCEE0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0CDC0A3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4795F2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08F51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18909F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7428CC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EAB30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41484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89233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CD7FA4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B6B85C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1714B4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4AD3A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A695D55-C2FF-462F-B2C2-ABDF44BE3C56}"/>
  </w:font>
  <w:font w:name="黑体">
    <w:panose1 w:val="02010609060101010101"/>
    <w:charset w:val="86"/>
    <w:family w:val="auto"/>
    <w:pitch w:val="default"/>
    <w:sig w:usb0="800002BF" w:usb1="38CF7CFA" w:usb2="00000016" w:usb3="00000000" w:csb0="00040001" w:csb1="00000000"/>
    <w:embedRegular r:id="rId2" w:fontKey="{032FC301-9432-4107-A8AF-F04526254D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6C58910-6B48-4D8B-BC81-706378A3ECAA}"/>
  </w:font>
  <w:font w:name="仿宋">
    <w:panose1 w:val="02010609060101010101"/>
    <w:charset w:val="86"/>
    <w:family w:val="modern"/>
    <w:pitch w:val="default"/>
    <w:sig w:usb0="800002BF" w:usb1="38CF7CFA" w:usb2="00000016" w:usb3="00000000" w:csb0="00040001" w:csb1="00000000"/>
    <w:embedRegular r:id="rId4" w:fontKey="{A2F82CA1-0BA8-4C9D-BB76-88671B31DFDC}"/>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3F3D7E57-1DB4-43DB-80D3-391EA4FF2331}"/>
  </w:font>
  <w:font w:name="楷体_GB2312">
    <w:panose1 w:val="02010609030101010101"/>
    <w:charset w:val="86"/>
    <w:family w:val="auto"/>
    <w:pitch w:val="default"/>
    <w:sig w:usb0="00000001" w:usb1="080E0000" w:usb2="00000000" w:usb3="00000000" w:csb0="00040000" w:csb1="00000000"/>
    <w:embedRegular r:id="rId6" w:fontKey="{D62C4D00-612F-4438-905C-C040E068E99F}"/>
  </w:font>
  <w:font w:name="微软雅黑">
    <w:panose1 w:val="020B0503020204020204"/>
    <w:charset w:val="86"/>
    <w:family w:val="auto"/>
    <w:pitch w:val="default"/>
    <w:sig w:usb0="80000287" w:usb1="2ACF3C50" w:usb2="00000016" w:usb3="00000000" w:csb0="0004001F" w:csb1="00000000"/>
    <w:embedRegular r:id="rId7" w:fontKey="{4793CDCF-3B35-4330-8348-4A180CB55E93}"/>
  </w:font>
  <w:font w:name="方正小标宋_GBK">
    <w:panose1 w:val="02000000000000000000"/>
    <w:charset w:val="86"/>
    <w:family w:val="script"/>
    <w:pitch w:val="default"/>
    <w:sig w:usb0="A00002BF" w:usb1="38CF7CFA" w:usb2="00082016" w:usb3="00000000" w:csb0="00040001" w:csb1="00000000"/>
    <w:embedRegular r:id="rId8" w:fontKey="{771F4A5C-2B4F-4E89-BEC6-AA361592B0B8}"/>
  </w:font>
  <w:font w:name="仿宋_GB2312">
    <w:panose1 w:val="02010609030101010101"/>
    <w:charset w:val="86"/>
    <w:family w:val="auto"/>
    <w:pitch w:val="default"/>
    <w:sig w:usb0="00000001" w:usb1="080E0000" w:usb2="00000000" w:usb3="00000000" w:csb0="00040000" w:csb1="00000000"/>
    <w:embedRegular r:id="rId9" w:fontKey="{2031974D-A9AD-4EAD-9CFE-1C5BF15E4CBA}"/>
  </w:font>
  <w:font w:name="ArialUnicodeMS">
    <w:altName w:val="Malgun Gothic"/>
    <w:panose1 w:val="00000000000000000000"/>
    <w:charset w:val="81"/>
    <w:family w:val="auto"/>
    <w:pitch w:val="default"/>
    <w:sig w:usb0="00000000" w:usb1="00000000" w:usb2="00000010" w:usb3="00000000" w:csb0="00080001" w:csb1="00000000"/>
    <w:embedRegular r:id="rId10" w:fontKey="{B3146783-C9FE-4F2C-B87B-2C7E05A5086A}"/>
  </w:font>
  <w:font w:name="Malgun Gothic">
    <w:panose1 w:val="020B0503020000020004"/>
    <w:charset w:val="81"/>
    <w:family w:val="auto"/>
    <w:pitch w:val="default"/>
    <w:sig w:usb0="9000002F" w:usb1="29D77CFB" w:usb2="00000012" w:usb3="00000000" w:csb0="00080001"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BF3F">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BF3F">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BF3F">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BF3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CE500C"/>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138.02</c:v>
                </c:pt>
                <c:pt idx="1">
                  <c:v>155.65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1380173.34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516600</c:v>
                </c:pt>
                <c:pt idx="1">
                  <c:v>863573.34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155.65</c:v>
                </c:pt>
                <c:pt idx="1">
                  <c:v>155.65</c:v>
                </c:pt>
                <c:pt idx="2">
                  <c:v>155.65</c:v>
                </c:pt>
                <c:pt idx="3">
                  <c:v>155.65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138.02</c:v>
                </c:pt>
                <c:pt idx="1">
                  <c:v>138.02</c:v>
                </c:pt>
                <c:pt idx="2">
                  <c:v>138.02</c:v>
                </c:pt>
                <c:pt idx="3">
                  <c:v>138.02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329.61</c:v>
                </c:pt>
                <c:pt idx="1">
                  <c:v>329.61</c:v>
                </c:pt>
                <c:pt idx="2">
                  <c:v>329.61</c:v>
                </c:pt>
                <c:pt idx="3">
                  <c:v>329.61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138.02</c:v>
                </c:pt>
                <c:pt idx="1">
                  <c:v>138.02</c:v>
                </c:pt>
                <c:pt idx="2">
                  <c:v>138.02</c:v>
                </c:pt>
                <c:pt idx="3">
                  <c:v>138.02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39</Pages>
  <Words>2880</Words>
  <Characters>3668</Characters>
  <Lines>86</Lines>
  <Paragraphs>24</Paragraphs>
  <TotalTime>14</TotalTime>
  <ScaleCrop>false</ScaleCrop>
  <LinksUpToDate>false</LinksUpToDate>
  <CharactersWithSpaces>4078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2026-09-15T03:38:50Z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