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行唐县城寨乡人民政府(本级)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839001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12D1935">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行唐县城寨乡人民政府(本级)</w:t>
      </w:r>
    </w:p>
    <w:p w14:paraId="46CFC3A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4D51289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行唐县城寨乡人民政府(本级)</w:t>
      </w:r>
    </w:p>
    <w:p w14:paraId="318D8E0D">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0611B8AA">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5F8DB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030B18D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3E3C3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435191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D3BB75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4C30FF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78CEF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43A67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CA1B1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763AA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6A524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28A68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6856C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5568A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9ABABF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190F10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24B77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05DE0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8A98B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19312B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00876B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01D6BA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C357A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B450E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36719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DE7DA1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4816A6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51FAFB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75183B05">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1.</w:t>
      </w:r>
      <w:r>
        <w:rPr>
          <w:rFonts w:hint="eastAsia" w:ascii="Times New Roman" w:hAnsi="Times New Roman" w:eastAsia="仿宋_GB2312" w:cs="Times New Roman"/>
          <w:kern w:val="2"/>
          <w:sz w:val="32"/>
          <w:szCs w:val="32"/>
        </w:rPr>
        <w:t>党政综合办公室</w:t>
      </w:r>
    </w:p>
    <w:p w14:paraId="1A3FF68E">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lang w:eastAsia="zh-CN"/>
        </w:rPr>
      </w:pPr>
      <w:r>
        <w:rPr>
          <w:rFonts w:hint="eastAsia" w:ascii="Times New Roman" w:hAnsi="Times New Roman" w:eastAsia="仿宋_GB2312" w:cs="Times New Roman"/>
          <w:kern w:val="2"/>
          <w:sz w:val="32"/>
          <w:szCs w:val="32"/>
        </w:rPr>
        <w:t>负责机关日常工作的综合协调和督促检查；负责机关文电、值班、会务、机要、保密、档案、党务政务公开、对外联络、后勤保障等日常远转工作；负责机关和所属</w:t>
      </w:r>
      <w:r>
        <w:rPr>
          <w:rFonts w:hint="eastAsia" w:ascii="Times New Roman" w:hAnsi="Times New Roman" w:eastAsia="仿宋_GB2312" w:cs="Times New Roman"/>
          <w:kern w:val="2"/>
          <w:sz w:val="32"/>
          <w:szCs w:val="32"/>
          <w:lang w:eastAsia="zh-CN"/>
        </w:rPr>
        <w:t>单位</w:t>
      </w:r>
      <w:r>
        <w:rPr>
          <w:rFonts w:hint="eastAsia" w:ascii="Times New Roman" w:hAnsi="Times New Roman" w:eastAsia="仿宋_GB2312" w:cs="Times New Roman"/>
          <w:kern w:val="2"/>
          <w:sz w:val="32"/>
          <w:szCs w:val="32"/>
        </w:rPr>
        <w:t>财务及国有资产管理等工作。</w:t>
      </w:r>
      <w:r>
        <w:rPr>
          <w:rFonts w:hint="eastAsia" w:ascii="Times New Roman" w:hAnsi="Times New Roman" w:eastAsia="仿宋_GB2312" w:cs="Times New Roman"/>
          <w:kern w:val="2"/>
          <w:sz w:val="32"/>
          <w:szCs w:val="32"/>
          <w:lang w:eastAsia="zh-CN"/>
        </w:rPr>
        <w:t>负责编制乡财政预决算，负责乡政府预算单位的财务管理和核算。</w:t>
      </w:r>
    </w:p>
    <w:p w14:paraId="11995325">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2.</w:t>
      </w:r>
      <w:r>
        <w:rPr>
          <w:rFonts w:hint="eastAsia" w:ascii="Times New Roman" w:hAnsi="Times New Roman" w:eastAsia="仿宋_GB2312" w:cs="Times New Roman"/>
          <w:kern w:val="2"/>
          <w:sz w:val="32"/>
          <w:szCs w:val="32"/>
        </w:rPr>
        <w:t>党建工作办公室</w:t>
      </w:r>
    </w:p>
    <w:p w14:paraId="015A7123">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lang w:eastAsia="zh-CN"/>
        </w:rPr>
      </w:pPr>
      <w:r>
        <w:rPr>
          <w:rFonts w:hint="eastAsia" w:ascii="Times New Roman" w:hAnsi="Times New Roman" w:eastAsia="仿宋_GB2312" w:cs="Times New Roman"/>
          <w:kern w:val="2"/>
          <w:sz w:val="32"/>
          <w:szCs w:val="32"/>
        </w:rPr>
        <w:t>负责基层党的政治建设、组织建设、思想建设、宣传</w:t>
      </w:r>
      <w:r>
        <w:rPr>
          <w:rFonts w:hint="eastAsia" w:ascii="Times New Roman" w:hAnsi="Times New Roman" w:eastAsia="仿宋_GB2312" w:cs="Times New Roman"/>
          <w:kern w:val="2"/>
          <w:sz w:val="32"/>
          <w:szCs w:val="32"/>
          <w:lang w:eastAsia="zh-CN"/>
        </w:rPr>
        <w:t>文化</w:t>
      </w:r>
      <w:r>
        <w:rPr>
          <w:rFonts w:hint="eastAsia" w:ascii="Times New Roman" w:hAnsi="Times New Roman" w:eastAsia="仿宋_GB2312" w:cs="Times New Roman"/>
          <w:kern w:val="2"/>
          <w:sz w:val="32"/>
          <w:szCs w:val="32"/>
        </w:rPr>
        <w:t>、意识形态、精神文明建设、统战工作、民族宗教事务、党管武装、组织人事等工作，统筹推进区域化</w:t>
      </w:r>
      <w:r>
        <w:rPr>
          <w:rFonts w:hint="eastAsia" w:ascii="Times New Roman" w:hAnsi="Times New Roman" w:eastAsia="仿宋_GB2312" w:cs="Times New Roman"/>
          <w:kern w:val="2"/>
          <w:sz w:val="32"/>
          <w:szCs w:val="32"/>
          <w:lang w:eastAsia="zh-CN"/>
        </w:rPr>
        <w:t>党建</w:t>
      </w:r>
      <w:r>
        <w:rPr>
          <w:rFonts w:hint="eastAsia" w:ascii="Times New Roman" w:hAnsi="Times New Roman" w:eastAsia="仿宋_GB2312" w:cs="Times New Roman"/>
          <w:kern w:val="2"/>
          <w:sz w:val="32"/>
          <w:szCs w:val="32"/>
        </w:rPr>
        <w:t>工作</w:t>
      </w:r>
      <w:r>
        <w:rPr>
          <w:rFonts w:hint="eastAsia" w:ascii="Times New Roman" w:hAnsi="Times New Roman" w:eastAsia="仿宋_GB2312" w:cs="Times New Roman"/>
          <w:kern w:val="2"/>
          <w:sz w:val="32"/>
          <w:szCs w:val="32"/>
          <w:lang w:eastAsia="zh-CN"/>
        </w:rPr>
        <w:t>负责“两企三新”党建工作</w:t>
      </w:r>
      <w:r>
        <w:rPr>
          <w:rFonts w:hint="eastAsia" w:ascii="Times New Roman" w:hAnsi="Times New Roman" w:eastAsia="仿宋_GB2312" w:cs="Times New Roman"/>
          <w:kern w:val="2"/>
          <w:sz w:val="32"/>
          <w:szCs w:val="32"/>
        </w:rPr>
        <w:t>，领导辖区内人大工作，以及工会、共青团、妇联等群团工作。</w:t>
      </w:r>
      <w:r>
        <w:rPr>
          <w:rFonts w:hint="eastAsia" w:ascii="Times New Roman" w:hAnsi="Times New Roman" w:eastAsia="仿宋_GB2312" w:cs="Times New Roman"/>
          <w:kern w:val="2"/>
          <w:sz w:val="32"/>
          <w:szCs w:val="32"/>
          <w:lang w:eastAsia="zh-CN"/>
        </w:rPr>
        <w:t>负责开展群众文化艺术娱乐、体育活动，指导村（社区）文化室建设、文体设施规划建设工作；负责文物普查、保护和开展利用工作。</w:t>
      </w:r>
    </w:p>
    <w:p w14:paraId="2F96E884">
      <w:pPr>
        <w:numPr>
          <w:ilvl w:val="0"/>
          <w:numId w:val="2"/>
        </w:num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eastAsia="zh-CN"/>
        </w:rPr>
        <w:t>经济发展</w:t>
      </w:r>
      <w:r>
        <w:rPr>
          <w:rFonts w:hint="eastAsia" w:ascii="Times New Roman" w:hAnsi="Times New Roman" w:eastAsia="仿宋_GB2312" w:cs="Times New Roman"/>
          <w:kern w:val="2"/>
          <w:sz w:val="32"/>
          <w:szCs w:val="32"/>
        </w:rPr>
        <w:t>办公室</w:t>
      </w:r>
    </w:p>
    <w:p w14:paraId="2C904728">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负责拟订辖区经济发展规划、年度工作计划并组织实施;负责经济发展、招商引资工作;负责村级资金，核拨和监督管理等相关工作;推进“千村示范、万村整治”工程经验运用，促进乡村全面振兴;负责促进农村一二三产业融合发展，指导农文旅融合发展工作;负责指导农业龙头企业建设，大.力发展设施农业、品牌农业;指导农户和农民专业合作社因地制宜发展家庭经营项目，提升生产经营水平;负责小微企业扶助等工作;负责防返贫工作，推动辖区特色产业提质增效;负责全乡统计工作。</w:t>
      </w:r>
    </w:p>
    <w:p w14:paraId="458E5872">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4.</w:t>
      </w:r>
      <w:r>
        <w:rPr>
          <w:rFonts w:hint="eastAsia" w:ascii="Times New Roman" w:hAnsi="Times New Roman" w:eastAsia="仿宋_GB2312" w:cs="Times New Roman"/>
          <w:kern w:val="2"/>
          <w:sz w:val="32"/>
          <w:szCs w:val="32"/>
          <w:lang w:eastAsia="zh-CN"/>
        </w:rPr>
        <w:t>安全发展</w:t>
      </w:r>
      <w:r>
        <w:rPr>
          <w:rFonts w:hint="eastAsia" w:ascii="Times New Roman" w:hAnsi="Times New Roman" w:eastAsia="仿宋_GB2312" w:cs="Times New Roman"/>
          <w:kern w:val="2"/>
          <w:sz w:val="32"/>
          <w:szCs w:val="32"/>
        </w:rPr>
        <w:t>办公室</w:t>
      </w:r>
    </w:p>
    <w:p w14:paraId="0A0A77C9">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负责拟订辖区安全发展规划、年度工作计划并组织实施;负责应急管理工作，落实应急管理责任，制定突发事件应急预案，组织开展应急演练;配合做好气象信息宣传预警工作，负责消防、气象灾害、防汛、抗旱等应急防御、防灾减灾救灾相关工作;负责辖区安全生产监督管理工作，组织开展安全生产宣传、教育、培训、巡查等工作;负责领导辖区传染病防治工作，自然灾害救助相关工作，护林和森林草原防火等相关工作。</w:t>
      </w:r>
    </w:p>
    <w:p w14:paraId="58DA480F">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5</w:t>
      </w:r>
      <w:r>
        <w:rPr>
          <w:rFonts w:hint="eastAsia" w:ascii="Times New Roman" w:hAnsi="Times New Roman" w:eastAsia="仿宋_GB2312" w:cs="Times New Roman"/>
          <w:kern w:val="2"/>
          <w:sz w:val="32"/>
          <w:szCs w:val="32"/>
        </w:rPr>
        <w:t>、综合行政执法队</w:t>
      </w:r>
    </w:p>
    <w:p w14:paraId="15745B04">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根据有关法律法规和上级</w:t>
      </w:r>
      <w:r>
        <w:rPr>
          <w:rFonts w:hint="eastAsia" w:ascii="Times New Roman" w:hAnsi="Times New Roman" w:eastAsia="仿宋_GB2312" w:cs="Times New Roman"/>
          <w:kern w:val="2"/>
          <w:sz w:val="32"/>
          <w:szCs w:val="32"/>
          <w:lang w:eastAsia="zh-CN"/>
        </w:rPr>
        <w:t>单位</w:t>
      </w:r>
      <w:r>
        <w:rPr>
          <w:rFonts w:hint="eastAsia" w:ascii="Times New Roman" w:hAnsi="Times New Roman" w:eastAsia="仿宋_GB2312" w:cs="Times New Roman"/>
          <w:kern w:val="2"/>
          <w:sz w:val="32"/>
          <w:szCs w:val="32"/>
        </w:rPr>
        <w:t>授权、委托、承担城乡建设、生态环境、文化市场、农业农村，安全生产、民族宗教等领域行政执法工作。</w:t>
      </w:r>
    </w:p>
    <w:p w14:paraId="04962C6D">
      <w:pPr>
        <w:numPr>
          <w:ilvl w:val="0"/>
          <w:numId w:val="3"/>
        </w:numPr>
        <w:autoSpaceDE w:val="0"/>
        <w:autoSpaceDN w:val="0"/>
        <w:adjustRightInd w:val="0"/>
        <w:spacing w:line="580" w:lineRule="exact"/>
        <w:ind w:left="80" w:leftChars="0" w:firstLine="640" w:firstLineChars="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行政综合服务中心</w:t>
      </w:r>
    </w:p>
    <w:p w14:paraId="56963177">
      <w:pPr>
        <w:numPr>
          <w:ilvl w:val="0"/>
          <w:numId w:val="0"/>
        </w:num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负责行政审批服务事项的受理、办理工作，提供政策和业务咨询；指导村（社区）便民服务点建设等。</w:t>
      </w:r>
    </w:p>
    <w:p w14:paraId="0E9A877F">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7</w:t>
      </w:r>
      <w:r>
        <w:rPr>
          <w:rFonts w:hint="eastAsia" w:ascii="Times New Roman" w:hAnsi="Times New Roman" w:eastAsia="仿宋_GB2312" w:cs="Times New Roman"/>
          <w:kern w:val="2"/>
          <w:sz w:val="32"/>
          <w:szCs w:val="32"/>
        </w:rPr>
        <w:t>、退役军人服务站</w:t>
      </w:r>
    </w:p>
    <w:p w14:paraId="7A7A51A0">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负责退役军人就业创业扶持、拥军优属、优抚帮扶、走访慰问、信访接待、权益保障等工作；配合武装部做好征兵、民兵、预备役、国防教育、</w:t>
      </w:r>
      <w:r>
        <w:rPr>
          <w:rFonts w:hint="eastAsia" w:ascii="Times New Roman" w:hAnsi="Times New Roman" w:eastAsia="仿宋_GB2312" w:cs="Times New Roman"/>
          <w:kern w:val="2"/>
          <w:sz w:val="32"/>
          <w:szCs w:val="32"/>
          <w:lang w:eastAsia="zh-CN"/>
        </w:rPr>
        <w:t>人民防控、国防交通、国防设施保护等国防动员相关工作。</w:t>
      </w:r>
    </w:p>
    <w:p w14:paraId="2FF2B09F">
      <w:pPr>
        <w:numPr>
          <w:ilvl w:val="0"/>
          <w:numId w:val="0"/>
        </w:numPr>
        <w:autoSpaceDE w:val="0"/>
        <w:autoSpaceDN w:val="0"/>
        <w:adjustRightInd w:val="0"/>
        <w:spacing w:line="580" w:lineRule="exact"/>
        <w:ind w:left="720" w:leftChars="0"/>
        <w:jc w:val="left"/>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val="en-US" w:eastAsia="zh-CN"/>
        </w:rPr>
        <w:t>8、</w:t>
      </w:r>
      <w:r>
        <w:rPr>
          <w:rFonts w:hint="eastAsia" w:ascii="Times New Roman" w:hAnsi="Times New Roman" w:eastAsia="仿宋_GB2312" w:cs="Times New Roman"/>
          <w:kern w:val="2"/>
          <w:sz w:val="32"/>
          <w:szCs w:val="32"/>
        </w:rPr>
        <w:t>农业综合服务中心</w:t>
      </w:r>
    </w:p>
    <w:p w14:paraId="26FC5B56">
      <w:pPr>
        <w:autoSpaceDE w:val="0"/>
        <w:autoSpaceDN w:val="0"/>
        <w:adjustRightInd w:val="0"/>
        <w:spacing w:line="580" w:lineRule="exact"/>
        <w:ind w:firstLine="640" w:firstLineChars="200"/>
        <w:jc w:val="left"/>
        <w:rPr>
          <w:rFonts w:hint="eastAsia" w:ascii="Times New Roman" w:hAnsi="Times New Roman" w:eastAsia="仿宋_GB2312" w:cs="Times New Roman"/>
          <w:kern w:val="2"/>
          <w:sz w:val="32"/>
          <w:szCs w:val="32"/>
          <w:lang w:eastAsia="zh-CN"/>
        </w:rPr>
      </w:pPr>
      <w:r>
        <w:rPr>
          <w:rFonts w:hint="eastAsia" w:ascii="Times New Roman" w:hAnsi="Times New Roman" w:eastAsia="仿宋_GB2312" w:cs="Times New Roman"/>
          <w:kern w:val="2"/>
          <w:sz w:val="32"/>
          <w:szCs w:val="32"/>
        </w:rPr>
        <w:t>负责农业、畜牧、林业水利、农机等技术推广和服务工作，负责农产品质量安全监管工作，负责指导农业生产、技术培训和信息咨询服务；负责动植物病害及灾情的预报、防治、处置；负责农村土地承包、水土保持和综合治理等工作</w:t>
      </w:r>
      <w:r>
        <w:rPr>
          <w:rFonts w:hint="eastAsia" w:ascii="Times New Roman" w:hAnsi="Times New Roman" w:eastAsia="仿宋_GB2312" w:cs="Times New Roman"/>
          <w:kern w:val="2"/>
          <w:sz w:val="32"/>
          <w:szCs w:val="32"/>
          <w:lang w:eastAsia="zh-CN"/>
        </w:rPr>
        <w:t>。</w:t>
      </w:r>
    </w:p>
    <w:p w14:paraId="03C603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59C845A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D9DCA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行唐县城寨乡人民政府(本级)</w:t>
            </w:r>
          </w:p>
        </w:tc>
        <w:tc>
          <w:tcPr>
            <w:tcW w:w="2445" w:type="dxa"/>
          </w:tcPr>
          <w:p w14:paraId="2E443189">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DD05EB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单位（单位）：行唐县城寨乡人民政府(本级)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1,286.88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732.30</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14.86</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471.75</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28.62</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单位（单位）：行唐县城寨乡人民政府(本级)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1,301.16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1,301.16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3CB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9BA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D3C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123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712.30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13D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712.30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F0E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6E1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160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494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42C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D32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BDB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B0A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032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70C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51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294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FEC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AD0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D59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D95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89C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5A7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295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192.67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950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192.67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495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538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872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C4C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A52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3CC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73C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81B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17D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12E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9E3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8E5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B28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39C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349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778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1EF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263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F97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7EB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5CB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86D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EE1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B5C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3C7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FF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701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A8A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B9A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854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379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398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8A2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B33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720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335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4B1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0A5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19F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9D0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840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9C3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73A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E10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749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16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2EF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E53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A00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B01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928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B5A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DA2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0C6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E3B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660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2E8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36D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CC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3C4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943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17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98D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69D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4D9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255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3A1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8C9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C59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AA3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576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DD7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682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1BE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6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048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ABF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C58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F6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EE3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4AC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15F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A9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C8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0C6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692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020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4E6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D44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F29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91A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2E7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D42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894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4E9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913C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0A5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E29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C39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349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8E9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81A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104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7AC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0A0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111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204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8F6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17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FAF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85B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040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BAE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6EB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CD9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09D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3F1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F62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75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884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DE3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3AC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85B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67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00F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B9F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3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68D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0FE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0A8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83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D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B4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D16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BB5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2F2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070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952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82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C83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B2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294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B15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657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9FE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C0F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A42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E36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C15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0DF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CBE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BA7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524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8A2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97A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AA4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E85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65E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BEC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78C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749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66C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D9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373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A3C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15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7E6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D1E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C3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784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A34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C84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21B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90A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374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A3A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D74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11D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6B6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DAB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70B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1FF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626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B6D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BAC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B22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135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38C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FD2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C2C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54E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FFD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987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196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E29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3A4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904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EC2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A7B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DA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8C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D13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9CB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3FD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114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9E6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792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BEF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8C5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ABA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E3A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BCB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8CF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6F4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C1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C9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A4C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3EC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F8E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38C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AFC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DFB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E74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765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DD6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单位（单位）：行唐县城寨乡人民政府(本级)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597.45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703.71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6308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5F5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993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982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712.30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21D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025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D6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F51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18D8B">
            <w:pPr>
              <w:jc w:val="right"/>
              <w:rPr>
                <w:rFonts w:hint="default" w:ascii="Times New Roman" w:hAnsi="Times New Roman" w:eastAsia="宋体" w:cs="Times New Roman"/>
                <w:i w:val="0"/>
                <w:iCs w:val="0"/>
                <w:color w:val="000000"/>
                <w:sz w:val="20"/>
                <w:szCs w:val="20"/>
                <w:highlight w:val="none"/>
                <w:u w:val="none"/>
              </w:rPr>
            </w:pPr>
          </w:p>
        </w:tc>
      </w:tr>
      <w:tr w14:paraId="0E3E8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45D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293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F40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114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14E0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8C8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9CA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E7E12">
            <w:pPr>
              <w:jc w:val="right"/>
              <w:rPr>
                <w:rFonts w:hint="default" w:ascii="Times New Roman" w:hAnsi="Times New Roman" w:eastAsia="宋体" w:cs="Times New Roman"/>
                <w:i w:val="0"/>
                <w:iCs w:val="0"/>
                <w:color w:val="000000"/>
                <w:sz w:val="20"/>
                <w:szCs w:val="20"/>
                <w:highlight w:val="none"/>
                <w:u w:val="none"/>
              </w:rPr>
            </w:pPr>
          </w:p>
        </w:tc>
      </w:tr>
      <w:tr w14:paraId="21232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F94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0DE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5DC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FC6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2E2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1FB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517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09E2E">
            <w:pPr>
              <w:jc w:val="right"/>
              <w:rPr>
                <w:rFonts w:hint="default" w:ascii="Times New Roman" w:hAnsi="Times New Roman" w:eastAsia="宋体" w:cs="Times New Roman"/>
                <w:i w:val="0"/>
                <w:iCs w:val="0"/>
                <w:color w:val="000000"/>
                <w:sz w:val="20"/>
                <w:szCs w:val="20"/>
                <w:highlight w:val="none"/>
                <w:u w:val="none"/>
              </w:rPr>
            </w:pPr>
          </w:p>
        </w:tc>
      </w:tr>
      <w:tr w14:paraId="4721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A18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14D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B2A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DD4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AF3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237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7E9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5BB62">
            <w:pPr>
              <w:jc w:val="right"/>
              <w:rPr>
                <w:rFonts w:hint="default" w:ascii="Times New Roman" w:hAnsi="Times New Roman" w:eastAsia="宋体" w:cs="Times New Roman"/>
                <w:i w:val="0"/>
                <w:iCs w:val="0"/>
                <w:color w:val="000000"/>
                <w:sz w:val="20"/>
                <w:szCs w:val="20"/>
                <w:highlight w:val="none"/>
                <w:u w:val="none"/>
              </w:rPr>
            </w:pPr>
          </w:p>
        </w:tc>
      </w:tr>
      <w:tr w14:paraId="28A3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092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53F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D44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6C6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2CF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927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0CE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A028E">
            <w:pPr>
              <w:jc w:val="right"/>
              <w:rPr>
                <w:rFonts w:hint="default" w:ascii="Times New Roman" w:hAnsi="Times New Roman" w:eastAsia="宋体" w:cs="Times New Roman"/>
                <w:i w:val="0"/>
                <w:iCs w:val="0"/>
                <w:color w:val="000000"/>
                <w:sz w:val="20"/>
                <w:szCs w:val="20"/>
                <w:highlight w:val="none"/>
                <w:u w:val="none"/>
              </w:rPr>
            </w:pPr>
          </w:p>
        </w:tc>
      </w:tr>
      <w:tr w14:paraId="2B08D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83A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FF7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F2D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191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184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CE2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D5A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DC0D8">
            <w:pPr>
              <w:jc w:val="right"/>
              <w:rPr>
                <w:rFonts w:hint="default" w:ascii="Times New Roman" w:hAnsi="Times New Roman" w:eastAsia="宋体" w:cs="Times New Roman"/>
                <w:i w:val="0"/>
                <w:iCs w:val="0"/>
                <w:color w:val="000000"/>
                <w:sz w:val="20"/>
                <w:szCs w:val="20"/>
                <w:highlight w:val="none"/>
                <w:u w:val="none"/>
              </w:rPr>
            </w:pPr>
          </w:p>
        </w:tc>
      </w:tr>
      <w:tr w14:paraId="663C9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ADA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DAF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50A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E37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8D3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CB2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A458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4F560">
            <w:pPr>
              <w:jc w:val="right"/>
              <w:rPr>
                <w:rFonts w:hint="default" w:ascii="Times New Roman" w:hAnsi="Times New Roman" w:eastAsia="宋体" w:cs="Times New Roman"/>
                <w:i w:val="0"/>
                <w:iCs w:val="0"/>
                <w:color w:val="000000"/>
                <w:sz w:val="20"/>
                <w:szCs w:val="20"/>
                <w:highlight w:val="none"/>
                <w:u w:val="none"/>
              </w:rPr>
            </w:pPr>
          </w:p>
        </w:tc>
      </w:tr>
      <w:tr w14:paraId="0A45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399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50B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B7B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E80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EBB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FF5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1E4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4998A">
            <w:pPr>
              <w:jc w:val="right"/>
              <w:rPr>
                <w:rFonts w:hint="default" w:ascii="Times New Roman" w:hAnsi="Times New Roman" w:eastAsia="宋体" w:cs="Times New Roman"/>
                <w:i w:val="0"/>
                <w:iCs w:val="0"/>
                <w:color w:val="000000"/>
                <w:sz w:val="20"/>
                <w:szCs w:val="20"/>
                <w:highlight w:val="none"/>
                <w:u w:val="none"/>
              </w:rPr>
            </w:pPr>
          </w:p>
        </w:tc>
      </w:tr>
      <w:tr w14:paraId="5ED5B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611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1C1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62D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58B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71C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DDD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2B11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5DDE2">
            <w:pPr>
              <w:jc w:val="right"/>
              <w:rPr>
                <w:rFonts w:hint="default" w:ascii="Times New Roman" w:hAnsi="Times New Roman" w:eastAsia="宋体" w:cs="Times New Roman"/>
                <w:i w:val="0"/>
                <w:iCs w:val="0"/>
                <w:color w:val="000000"/>
                <w:sz w:val="20"/>
                <w:szCs w:val="20"/>
                <w:highlight w:val="none"/>
                <w:u w:val="none"/>
              </w:rPr>
            </w:pPr>
          </w:p>
        </w:tc>
      </w:tr>
      <w:tr w14:paraId="6F657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CBD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E9B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EDD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F8E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089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713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DB9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6F1A3">
            <w:pPr>
              <w:jc w:val="right"/>
              <w:rPr>
                <w:rFonts w:hint="default" w:ascii="Times New Roman" w:hAnsi="Times New Roman" w:eastAsia="宋体" w:cs="Times New Roman"/>
                <w:i w:val="0"/>
                <w:iCs w:val="0"/>
                <w:color w:val="000000"/>
                <w:sz w:val="20"/>
                <w:szCs w:val="20"/>
                <w:highlight w:val="none"/>
                <w:u w:val="none"/>
              </w:rPr>
            </w:pPr>
          </w:p>
        </w:tc>
      </w:tr>
      <w:tr w14:paraId="00D50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46A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E09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651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432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A34C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9F6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79F5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8DE9A">
            <w:pPr>
              <w:jc w:val="right"/>
              <w:rPr>
                <w:rFonts w:hint="default" w:ascii="Times New Roman" w:hAnsi="Times New Roman" w:eastAsia="宋体" w:cs="Times New Roman"/>
                <w:i w:val="0"/>
                <w:iCs w:val="0"/>
                <w:color w:val="000000"/>
                <w:sz w:val="20"/>
                <w:szCs w:val="20"/>
                <w:highlight w:val="none"/>
                <w:u w:val="none"/>
              </w:rPr>
            </w:pPr>
          </w:p>
        </w:tc>
      </w:tr>
      <w:tr w14:paraId="4C4C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89D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DBD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EBB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331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A3C7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2AC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C95C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70AFF">
            <w:pPr>
              <w:jc w:val="right"/>
              <w:rPr>
                <w:rFonts w:hint="default" w:ascii="Times New Roman" w:hAnsi="Times New Roman" w:eastAsia="宋体" w:cs="Times New Roman"/>
                <w:i w:val="0"/>
                <w:iCs w:val="0"/>
                <w:color w:val="000000"/>
                <w:sz w:val="20"/>
                <w:szCs w:val="20"/>
                <w:highlight w:val="none"/>
                <w:u w:val="none"/>
              </w:rPr>
            </w:pPr>
          </w:p>
        </w:tc>
      </w:tr>
      <w:tr w14:paraId="6B33F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979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618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EDB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2AA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8B2A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598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BB29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E5679">
            <w:pPr>
              <w:jc w:val="right"/>
              <w:rPr>
                <w:rFonts w:hint="default" w:ascii="Times New Roman" w:hAnsi="Times New Roman" w:eastAsia="宋体" w:cs="Times New Roman"/>
                <w:i w:val="0"/>
                <w:iCs w:val="0"/>
                <w:color w:val="000000"/>
                <w:sz w:val="20"/>
                <w:szCs w:val="20"/>
                <w:highlight w:val="none"/>
                <w:u w:val="none"/>
              </w:rPr>
            </w:pPr>
          </w:p>
        </w:tc>
      </w:tr>
      <w:tr w14:paraId="7F31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3AF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3F5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895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1EF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2533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52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1F5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1B247">
            <w:pPr>
              <w:jc w:val="right"/>
              <w:rPr>
                <w:rFonts w:hint="default" w:ascii="Times New Roman" w:hAnsi="Times New Roman" w:eastAsia="宋体" w:cs="Times New Roman"/>
                <w:i w:val="0"/>
                <w:iCs w:val="0"/>
                <w:color w:val="000000"/>
                <w:sz w:val="20"/>
                <w:szCs w:val="20"/>
                <w:highlight w:val="none"/>
                <w:u w:val="none"/>
              </w:rPr>
            </w:pPr>
          </w:p>
        </w:tc>
      </w:tr>
      <w:tr w14:paraId="0C1D9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257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D8C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3D9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1E9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6C9B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474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F7A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3AEDE">
            <w:pPr>
              <w:jc w:val="right"/>
              <w:rPr>
                <w:rFonts w:hint="default" w:ascii="Times New Roman" w:hAnsi="Times New Roman" w:eastAsia="宋体" w:cs="Times New Roman"/>
                <w:i w:val="0"/>
                <w:iCs w:val="0"/>
                <w:color w:val="000000"/>
                <w:sz w:val="20"/>
                <w:szCs w:val="20"/>
                <w:highlight w:val="none"/>
                <w:u w:val="none"/>
              </w:rPr>
            </w:pPr>
          </w:p>
        </w:tc>
      </w:tr>
      <w:tr w14:paraId="150F7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F07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BDF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1C5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347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CBC8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8A41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84BA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D2B82">
            <w:pPr>
              <w:jc w:val="right"/>
              <w:rPr>
                <w:rFonts w:hint="default" w:ascii="Times New Roman" w:hAnsi="Times New Roman" w:eastAsia="宋体" w:cs="Times New Roman"/>
                <w:i w:val="0"/>
                <w:iCs w:val="0"/>
                <w:color w:val="000000"/>
                <w:sz w:val="20"/>
                <w:szCs w:val="20"/>
                <w:highlight w:val="none"/>
                <w:u w:val="none"/>
              </w:rPr>
            </w:pPr>
          </w:p>
        </w:tc>
      </w:tr>
      <w:tr w14:paraId="31F2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74E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70B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1A6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6E6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913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819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6E5D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5791F">
            <w:pPr>
              <w:jc w:val="right"/>
              <w:rPr>
                <w:rFonts w:hint="default" w:ascii="Times New Roman" w:hAnsi="Times New Roman" w:eastAsia="宋体" w:cs="Times New Roman"/>
                <w:i w:val="0"/>
                <w:iCs w:val="0"/>
                <w:color w:val="000000"/>
                <w:sz w:val="20"/>
                <w:szCs w:val="20"/>
                <w:highlight w:val="none"/>
                <w:u w:val="none"/>
              </w:rPr>
            </w:pPr>
          </w:p>
        </w:tc>
      </w:tr>
      <w:tr w14:paraId="39BC8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2A5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A6F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225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3A1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E36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D4B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DD8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3B561">
            <w:pPr>
              <w:jc w:val="right"/>
              <w:rPr>
                <w:rFonts w:hint="default" w:ascii="Times New Roman" w:hAnsi="Times New Roman" w:eastAsia="宋体" w:cs="Times New Roman"/>
                <w:i w:val="0"/>
                <w:iCs w:val="0"/>
                <w:color w:val="000000"/>
                <w:sz w:val="20"/>
                <w:szCs w:val="20"/>
                <w:highlight w:val="none"/>
                <w:u w:val="none"/>
              </w:rPr>
            </w:pPr>
          </w:p>
        </w:tc>
      </w:tr>
      <w:tr w14:paraId="3A78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511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925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3B5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A0E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C74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AF8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5F6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BEDB">
            <w:pPr>
              <w:jc w:val="right"/>
              <w:rPr>
                <w:rFonts w:hint="default" w:ascii="Times New Roman" w:hAnsi="Times New Roman" w:eastAsia="宋体" w:cs="Times New Roman"/>
                <w:i w:val="0"/>
                <w:iCs w:val="0"/>
                <w:color w:val="000000"/>
                <w:sz w:val="20"/>
                <w:szCs w:val="20"/>
                <w:highlight w:val="none"/>
                <w:u w:val="none"/>
              </w:rPr>
            </w:pPr>
          </w:p>
        </w:tc>
      </w:tr>
      <w:tr w14:paraId="4B713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B70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1B0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C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94A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01A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CA7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D39F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32F75">
            <w:pPr>
              <w:jc w:val="right"/>
              <w:rPr>
                <w:rFonts w:hint="default" w:ascii="Times New Roman" w:hAnsi="Times New Roman" w:eastAsia="宋体" w:cs="Times New Roman"/>
                <w:i w:val="0"/>
                <w:iCs w:val="0"/>
                <w:color w:val="000000"/>
                <w:sz w:val="20"/>
                <w:szCs w:val="20"/>
                <w:highlight w:val="none"/>
                <w:u w:val="none"/>
              </w:rPr>
            </w:pPr>
          </w:p>
        </w:tc>
      </w:tr>
      <w:tr w14:paraId="6E8A5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B46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A16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E1D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31E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1CC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270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B934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5CE31">
            <w:pPr>
              <w:jc w:val="right"/>
              <w:rPr>
                <w:rFonts w:hint="default" w:ascii="Times New Roman" w:hAnsi="Times New Roman" w:eastAsia="宋体" w:cs="Times New Roman"/>
                <w:i w:val="0"/>
                <w:iCs w:val="0"/>
                <w:color w:val="000000"/>
                <w:sz w:val="20"/>
                <w:szCs w:val="20"/>
                <w:highlight w:val="none"/>
                <w:u w:val="none"/>
              </w:rPr>
            </w:pPr>
          </w:p>
        </w:tc>
      </w:tr>
      <w:tr w14:paraId="709E7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F72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2AC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049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090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87D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D5FB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26A9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E86CB">
            <w:pPr>
              <w:jc w:val="right"/>
              <w:rPr>
                <w:rFonts w:hint="default" w:ascii="Times New Roman" w:hAnsi="Times New Roman" w:eastAsia="宋体" w:cs="Times New Roman"/>
                <w:i w:val="0"/>
                <w:iCs w:val="0"/>
                <w:color w:val="000000"/>
                <w:sz w:val="20"/>
                <w:szCs w:val="20"/>
                <w:highlight w:val="none"/>
                <w:u w:val="none"/>
              </w:rPr>
            </w:pPr>
          </w:p>
        </w:tc>
      </w:tr>
      <w:tr w14:paraId="2C62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A8E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C34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5F5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387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9869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675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A26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9D4B5">
            <w:pPr>
              <w:jc w:val="right"/>
              <w:rPr>
                <w:rFonts w:hint="default" w:ascii="Times New Roman" w:hAnsi="Times New Roman" w:eastAsia="宋体" w:cs="Times New Roman"/>
                <w:i w:val="0"/>
                <w:iCs w:val="0"/>
                <w:color w:val="000000"/>
                <w:sz w:val="20"/>
                <w:szCs w:val="20"/>
                <w:highlight w:val="none"/>
                <w:u w:val="none"/>
              </w:rPr>
            </w:pPr>
          </w:p>
        </w:tc>
      </w:tr>
      <w:tr w14:paraId="4866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76D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97A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59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36E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EB2D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1BD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1CD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5AC9B">
            <w:pPr>
              <w:jc w:val="right"/>
              <w:rPr>
                <w:rFonts w:hint="default" w:ascii="Times New Roman" w:hAnsi="Times New Roman" w:eastAsia="宋体" w:cs="Times New Roman"/>
                <w:i w:val="0"/>
                <w:iCs w:val="0"/>
                <w:color w:val="000000"/>
                <w:sz w:val="20"/>
                <w:szCs w:val="20"/>
                <w:highlight w:val="none"/>
                <w:u w:val="none"/>
              </w:rPr>
            </w:pPr>
          </w:p>
        </w:tc>
      </w:tr>
      <w:tr w14:paraId="12C08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EAB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4C1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C66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A2C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42AF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E3E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8C04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96BB0">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单位（单位）：行唐县城寨乡人民政府(本级)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1,286.88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1,286.88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1,301.16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1,286.88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单位（单位）：行唐县城寨乡人民政府(本级)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1,286.88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597.45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689.42</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212.67</w:t>
            </w:r>
          </w:p>
        </w:tc>
      </w:tr>
      <w:tr w14:paraId="42F17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085B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D6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F0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712.30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AFB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28A4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r>
      <w:tr w14:paraId="7968F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9CD3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DA1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5D3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F11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E66D88">
            <w:pPr>
              <w:jc w:val="right"/>
              <w:rPr>
                <w:rFonts w:hint="default" w:ascii="Times New Roman" w:hAnsi="Times New Roman" w:eastAsia="宋体" w:cs="Times New Roman"/>
                <w:i w:val="0"/>
                <w:iCs w:val="0"/>
                <w:color w:val="000000"/>
                <w:sz w:val="20"/>
                <w:szCs w:val="20"/>
                <w:highlight w:val="none"/>
                <w:u w:val="none"/>
              </w:rPr>
            </w:pPr>
          </w:p>
        </w:tc>
      </w:tr>
      <w:tr w14:paraId="1AC46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861C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B0A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4FD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F5A1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6741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192.67</w:t>
            </w:r>
          </w:p>
        </w:tc>
      </w:tr>
      <w:tr w14:paraId="7AEED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C5DA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B8A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018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CE51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8C41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03F51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1AF2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96D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BCE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ECED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35B7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24D32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039A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EEB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1E9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D791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39FB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04B5A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9AF7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1C2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1A3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9DF5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BB33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64EA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ED37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E57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714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C3DA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1C56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0175C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090E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EBB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C76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E2EA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B037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334C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D546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76D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7A9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3AD2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B7BA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1C9D1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EE38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DB9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2D3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2D8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4B6209">
            <w:pPr>
              <w:jc w:val="right"/>
              <w:rPr>
                <w:rFonts w:hint="default" w:ascii="Times New Roman" w:hAnsi="Times New Roman" w:eastAsia="宋体" w:cs="Times New Roman"/>
                <w:i w:val="0"/>
                <w:iCs w:val="0"/>
                <w:color w:val="000000"/>
                <w:sz w:val="20"/>
                <w:szCs w:val="20"/>
                <w:highlight w:val="none"/>
                <w:u w:val="none"/>
              </w:rPr>
            </w:pPr>
          </w:p>
        </w:tc>
      </w:tr>
      <w:tr w14:paraId="78F5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C3CE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6E9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3A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F05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927854">
            <w:pPr>
              <w:jc w:val="right"/>
              <w:rPr>
                <w:rFonts w:hint="default" w:ascii="Times New Roman" w:hAnsi="Times New Roman" w:eastAsia="宋体" w:cs="Times New Roman"/>
                <w:i w:val="0"/>
                <w:iCs w:val="0"/>
                <w:color w:val="000000"/>
                <w:sz w:val="20"/>
                <w:szCs w:val="20"/>
                <w:highlight w:val="none"/>
                <w:u w:val="none"/>
              </w:rPr>
            </w:pPr>
          </w:p>
        </w:tc>
      </w:tr>
      <w:tr w14:paraId="7ABE2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D343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B67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8AC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9ED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89F0B6">
            <w:pPr>
              <w:jc w:val="right"/>
              <w:rPr>
                <w:rFonts w:hint="default" w:ascii="Times New Roman" w:hAnsi="Times New Roman" w:eastAsia="宋体" w:cs="Times New Roman"/>
                <w:i w:val="0"/>
                <w:iCs w:val="0"/>
                <w:color w:val="000000"/>
                <w:sz w:val="20"/>
                <w:szCs w:val="20"/>
                <w:highlight w:val="none"/>
                <w:u w:val="none"/>
              </w:rPr>
            </w:pPr>
          </w:p>
        </w:tc>
      </w:tr>
      <w:tr w14:paraId="5EDB6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EECC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8CE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0D7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695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283212">
            <w:pPr>
              <w:jc w:val="right"/>
              <w:rPr>
                <w:rFonts w:hint="default" w:ascii="Times New Roman" w:hAnsi="Times New Roman" w:eastAsia="宋体" w:cs="Times New Roman"/>
                <w:i w:val="0"/>
                <w:iCs w:val="0"/>
                <w:color w:val="000000"/>
                <w:sz w:val="20"/>
                <w:szCs w:val="20"/>
                <w:highlight w:val="none"/>
                <w:u w:val="none"/>
              </w:rPr>
            </w:pPr>
          </w:p>
        </w:tc>
      </w:tr>
      <w:tr w14:paraId="1DF41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1444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CD2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E4D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0E8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1AC08D">
            <w:pPr>
              <w:jc w:val="right"/>
              <w:rPr>
                <w:rFonts w:hint="default" w:ascii="Times New Roman" w:hAnsi="Times New Roman" w:eastAsia="宋体" w:cs="Times New Roman"/>
                <w:i w:val="0"/>
                <w:iCs w:val="0"/>
                <w:color w:val="000000"/>
                <w:sz w:val="20"/>
                <w:szCs w:val="20"/>
                <w:highlight w:val="none"/>
                <w:u w:val="none"/>
              </w:rPr>
            </w:pPr>
          </w:p>
        </w:tc>
      </w:tr>
      <w:tr w14:paraId="373B0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9C1F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376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ECB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FBC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1CC51E">
            <w:pPr>
              <w:jc w:val="right"/>
              <w:rPr>
                <w:rFonts w:hint="default" w:ascii="Times New Roman" w:hAnsi="Times New Roman" w:eastAsia="宋体" w:cs="Times New Roman"/>
                <w:i w:val="0"/>
                <w:iCs w:val="0"/>
                <w:color w:val="000000"/>
                <w:sz w:val="20"/>
                <w:szCs w:val="20"/>
                <w:highlight w:val="none"/>
                <w:u w:val="none"/>
              </w:rPr>
            </w:pPr>
          </w:p>
        </w:tc>
      </w:tr>
      <w:tr w14:paraId="05D6B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D8D7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DC8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614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12DB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6991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r>
      <w:tr w14:paraId="5D6AC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F8FC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2DC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AE1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1336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142A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r>
      <w:tr w14:paraId="7EBB6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0916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114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B4A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DECC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7184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471.75</w:t>
            </w:r>
          </w:p>
        </w:tc>
      </w:tr>
      <w:tr w14:paraId="22CB8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584E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882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60D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DEF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6F153B">
            <w:pPr>
              <w:jc w:val="right"/>
              <w:rPr>
                <w:rFonts w:hint="default" w:ascii="Times New Roman" w:hAnsi="Times New Roman" w:eastAsia="宋体" w:cs="Times New Roman"/>
                <w:i w:val="0"/>
                <w:iCs w:val="0"/>
                <w:color w:val="000000"/>
                <w:sz w:val="20"/>
                <w:szCs w:val="20"/>
                <w:highlight w:val="none"/>
                <w:u w:val="none"/>
              </w:rPr>
            </w:pPr>
          </w:p>
        </w:tc>
      </w:tr>
      <w:tr w14:paraId="6CD56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88B3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A6D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6CC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D46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309164">
            <w:pPr>
              <w:jc w:val="right"/>
              <w:rPr>
                <w:rFonts w:hint="default" w:ascii="Times New Roman" w:hAnsi="Times New Roman" w:eastAsia="宋体" w:cs="Times New Roman"/>
                <w:i w:val="0"/>
                <w:iCs w:val="0"/>
                <w:color w:val="000000"/>
                <w:sz w:val="20"/>
                <w:szCs w:val="20"/>
                <w:highlight w:val="none"/>
                <w:u w:val="none"/>
              </w:rPr>
            </w:pPr>
          </w:p>
        </w:tc>
      </w:tr>
      <w:tr w14:paraId="26BA6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5739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819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EE3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A9F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EAFDE5">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单位（单位）：行唐县城寨乡人民政府(本级)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493.31</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53.68</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189.87</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17.82</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82.22</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24.09</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89.92</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43.94</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4.80</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36.66</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50.46</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38.29</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7.97</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6.24</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20.21</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543.77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53.68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单位（单位）：行唐县城寨乡人民政府(本级)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23F9A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980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68B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4BE5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D98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AD6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744CA">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C98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D4611">
            <w:pPr>
              <w:jc w:val="right"/>
              <w:rPr>
                <w:rFonts w:hint="default" w:ascii="Times New Roman" w:hAnsi="Times New Roman" w:eastAsia="宋体" w:cs="Times New Roman"/>
                <w:i w:val="0"/>
                <w:iCs w:val="0"/>
                <w:color w:val="000000"/>
                <w:sz w:val="20"/>
                <w:szCs w:val="20"/>
                <w:highlight w:val="none"/>
                <w:u w:val="none"/>
              </w:rPr>
            </w:pPr>
          </w:p>
        </w:tc>
      </w:tr>
      <w:tr w14:paraId="53DD7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2D4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28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5A7B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3C2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C6B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D5C9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04D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C727F">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单位（单位）：行唐县城寨乡人民政府(本级)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单位（单位）：行唐县城寨乡人民政府(本级)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8.21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7.80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7.80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0.41</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6C4423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C450D0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61C21B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本单位2025年度收、支总计（含结转和结余）均为1,301.16万元。与2024年度决算相比，收支各增加163.11万元，增长14.3%，主要原因</w:t>
      </w:r>
      <w:r>
        <w:rPr>
          <w:rFonts w:hint="default" w:ascii="Times New Roman" w:hAnsi="Times New Roman" w:eastAsia="仿宋_GB2312" w:cs="Times New Roman"/>
          <w:kern w:val="2"/>
          <w:sz w:val="32"/>
          <w:szCs w:val="32"/>
        </w:rPr>
        <w:t>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w:t>
      </w:r>
      <w:r>
        <w:rPr>
          <w:rFonts w:hint="eastAsia" w:ascii="仿宋_GB2312" w:hAnsi="Times New Roman" w:eastAsia="仿宋_GB2312" w:cs="DengXian-Regular"/>
          <w:sz w:val="32"/>
          <w:szCs w:val="32"/>
          <w:highlight w:val="none"/>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A4916A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6F308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1,301.16万元，其中：财政拨款收入1,301.16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86549A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549F0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本单位2025年度本年支出合计1,301.16万元，其中：基本支出597.45万元，占45.9%；项目支出703.71万元，占54.1%；经营支出0.00万元，占0.0%；上缴上级支出0.00万元，占0.0%；对附属单位补助支出0.00万元，占0.0%。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D498C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8B2229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B2E46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本单位2025年度财政拨款收、支总计（含结转和结余）均为1,301.16万元。与2024年度相比，财政拨款收支各增加163.11万元，增长14.3%，</w:t>
      </w:r>
      <w:r>
        <w:rPr>
          <w:rFonts w:hint="default" w:ascii="Times New Roman" w:hAnsi="Times New Roman" w:eastAsia="仿宋_GB2312" w:cs="Times New Roman"/>
          <w:color w:val="auto"/>
          <w:kern w:val="2"/>
          <w:sz w:val="32"/>
          <w:szCs w:val="32"/>
          <w:lang w:val="zh-CN" w:eastAsia="zh-CN" w:bidi="ar-SA"/>
        </w:rPr>
        <w:t>主要是</w:t>
      </w:r>
      <w:r>
        <w:rPr>
          <w:rFonts w:hint="eastAsia" w:ascii="仿宋_GB2312" w:hAnsi="Times New Roman" w:eastAsia="仿宋_GB2312" w:cs="DengXian-Regular"/>
          <w:sz w:val="32"/>
          <w:szCs w:val="32"/>
          <w:highlight w:val="none"/>
        </w:rPr>
        <w:t>要原因是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基本支出和项目支出总体均有所增加，人员数量增多以及职工保险缴费基数有所上浮，所需资金增多</w:t>
      </w:r>
      <w:r>
        <w:rPr>
          <w:rFonts w:hint="default" w:ascii="Times New Roman" w:hAnsi="Times New Roman" w:eastAsia="仿宋_GB2312" w:cs="Times New Roman"/>
          <w:color w:val="auto"/>
          <w:kern w:val="2"/>
          <w:sz w:val="32"/>
          <w:szCs w:val="32"/>
          <w:lang w:val="zh-CN" w:eastAsia="zh-CN" w:bidi="ar-SA"/>
        </w:rPr>
        <w:t>；</w:t>
      </w:r>
      <w:r>
        <w:rPr>
          <w:rFonts w:ascii="Times New Roman" w:eastAsia="仿宋_GB2312"/>
          <w:b w:val="0"/>
          <w:sz w:val="32"/>
          <w:szCs w:val="32"/>
        </w:rPr>
        <w:t>。</w:t>
      </w:r>
    </w:p>
    <w:p w14:paraId="0D779D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本单位2025年度财政拨款本年收入1,301.16万元,比上年增加163.11万元，增长14.3%，主要原因是；本年支出1,301.16万元，比上年增加163.11万元，增长14.3%，</w:t>
      </w:r>
      <w:r>
        <w:rPr>
          <w:rFonts w:hint="default" w:ascii="Times New Roman" w:hAnsi="Times New Roman" w:eastAsia="仿宋_GB2312" w:cs="Times New Roman"/>
          <w:color w:val="auto"/>
          <w:kern w:val="2"/>
          <w:sz w:val="32"/>
          <w:szCs w:val="32"/>
          <w:lang w:val="zh-CN" w:eastAsia="zh-CN" w:bidi="ar-SA"/>
        </w:rPr>
        <w:t>主要是</w:t>
      </w:r>
      <w:r>
        <w:rPr>
          <w:rFonts w:hint="eastAsia" w:ascii="仿宋_GB2312" w:hAnsi="Times New Roman" w:eastAsia="仿宋_GB2312" w:cs="DengXian-Regular"/>
          <w:sz w:val="32"/>
          <w:szCs w:val="32"/>
          <w:highlight w:val="none"/>
        </w:rPr>
        <w:t>要原因是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基本支出和项目支出总体均有所增加，人员数量增多以及职工保险缴费基数有所上浮，所需资金增多</w:t>
      </w:r>
      <w:r>
        <w:rPr>
          <w:rFonts w:hint="default" w:ascii="Times New Roman" w:hAnsi="Times New Roman" w:eastAsia="仿宋_GB2312" w:cs="Times New Roman"/>
          <w:color w:val="auto"/>
          <w:kern w:val="2"/>
          <w:sz w:val="32"/>
          <w:szCs w:val="32"/>
          <w:lang w:val="zh-CN" w:eastAsia="zh-CN" w:bidi="ar-SA"/>
        </w:rPr>
        <w:t>；</w:t>
      </w:r>
    </w:p>
    <w:p w14:paraId="453A8647">
      <w:pPr>
        <w:autoSpaceDE w:val="0"/>
        <w:autoSpaceDN w:val="0"/>
        <w:adjustRightInd w:val="0"/>
        <w:spacing w:line="580" w:lineRule="exact"/>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一般公共预算财政拨款本年收入1,286.88万元,比上年增加148.82万元，增长13.1%，主要原因是；本年支出1,286.88万元，比上年增加148.82万元，增长13.1%，</w:t>
      </w:r>
      <w:r>
        <w:rPr>
          <w:rFonts w:hint="default"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highlight w:val="none"/>
          <w:lang w:val="en-US" w:eastAsia="zh-CN"/>
        </w:rPr>
        <w:t>人员数量增多和保险基数有所上浮</w:t>
      </w:r>
      <w:r>
        <w:rPr>
          <w:rFonts w:hint="default" w:ascii="Times New Roman" w:hAnsi="Times New Roman" w:eastAsia="仿宋_GB2312" w:cs="Times New Roman"/>
          <w:kern w:val="2"/>
          <w:sz w:val="32"/>
          <w:szCs w:val="32"/>
          <w:lang w:val="zh-CN"/>
        </w:rPr>
        <w:t>。</w:t>
      </w:r>
    </w:p>
    <w:p w14:paraId="3C210E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政府性基金预算财政拨款本年收入14.29万元，比上</w:t>
      </w:r>
      <w:bookmarkStart w:id="0" w:name="_GoBack"/>
      <w:bookmarkEnd w:id="0"/>
      <w:r>
        <w:rPr>
          <w:rFonts w:ascii="Times New Roman" w:eastAsia="仿宋_GB2312"/>
          <w:b w:val="0"/>
          <w:sz w:val="32"/>
          <w:szCs w:val="32"/>
        </w:rPr>
        <w:t>年增加14.29万元，增长100.00%，主要原因是；本年支出14.29万元，比上年增加14.29万元，增长100.00%，主要原因是</w:t>
      </w:r>
      <w:r>
        <w:rPr>
          <w:rFonts w:hint="eastAsia" w:ascii="Times New Roman" w:hAnsi="Times New Roman" w:eastAsia="仿宋_GB2312" w:cs="Times New Roman"/>
          <w:kern w:val="2"/>
          <w:sz w:val="32"/>
          <w:szCs w:val="32"/>
          <w:lang w:val="en-US" w:eastAsia="zh-CN"/>
        </w:rPr>
        <w:t>增加了</w:t>
      </w:r>
      <w:r>
        <w:rPr>
          <w:rFonts w:hint="eastAsia" w:ascii="Times New Roman" w:eastAsia="仿宋_GB2312"/>
          <w:b w:val="0"/>
          <w:sz w:val="32"/>
          <w:szCs w:val="32"/>
        </w:rPr>
        <w:t>项目支出</w:t>
      </w:r>
      <w:r>
        <w:rPr>
          <w:rFonts w:ascii="Times New Roman" w:eastAsia="仿宋_GB2312"/>
          <w:b w:val="0"/>
          <w:sz w:val="32"/>
          <w:szCs w:val="32"/>
        </w:rPr>
        <w:t>。</w:t>
      </w:r>
    </w:p>
    <w:p w14:paraId="09A148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BB850C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3708594">
      <w:pPr>
        <w:widowControl/>
        <w:spacing w:before="0" w:beforeLines="0" w:beforeAutospacing="0" w:after="0" w:afterLines="0" w:afterAutospacing="0" w:line="360" w:lineRule="auto"/>
        <w:ind w:firstLine="640" w:firstLineChars="200"/>
        <w:jc w:val="left"/>
        <w:rPr>
          <w:rFonts w:hint="eastAsia" w:ascii="仿宋_GB2312" w:hAnsi="Times New Roman" w:eastAsia="仿宋_GB2312" w:cs="DengXian-Regular"/>
          <w:sz w:val="32"/>
          <w:szCs w:val="32"/>
          <w:lang w:val="en-US" w:eastAsia="zh-CN"/>
        </w:rPr>
      </w:pPr>
      <w:r>
        <w:rPr>
          <w:rFonts w:ascii="Times New Roman" w:eastAsia="仿宋_GB2312"/>
          <w:b w:val="0"/>
          <w:sz w:val="32"/>
          <w:szCs w:val="32"/>
        </w:rPr>
        <w:t>本单位2025年度财政拨款本年收入1,301.16万元，完成年初预算的115.1%，比年初预算增加170.61万元，决算数大于预算数主要原因是；本年支出1,301.16万元，完成年初预算的115.1%，比年初预算增加170.61万元，决算数大于预算数主要原因是。</w:t>
      </w:r>
      <w:r>
        <w:rPr>
          <w:rFonts w:hint="eastAsia" w:ascii="仿宋_GB2312" w:hAnsi="Times New Roman" w:eastAsia="仿宋_GB2312" w:cs="DengXian-Regular"/>
          <w:sz w:val="32"/>
          <w:szCs w:val="32"/>
        </w:rPr>
        <w:t>主要用于</w:t>
      </w:r>
      <w:r>
        <w:rPr>
          <w:rFonts w:hint="eastAsia" w:ascii="仿宋_GB2312" w:hAnsi="Times New Roman" w:eastAsia="仿宋_GB2312" w:cs="DengXian-Regular"/>
          <w:sz w:val="32"/>
          <w:szCs w:val="32"/>
          <w:lang w:val="en-US" w:eastAsia="zh-CN"/>
        </w:rPr>
        <w:t>办公费、会议费</w:t>
      </w:r>
      <w:r>
        <w:rPr>
          <w:rFonts w:hint="eastAsia" w:ascii="仿宋_GB2312" w:hAnsi="Times New Roman" w:eastAsia="仿宋_GB2312" w:cs="DengXian-Regular"/>
          <w:sz w:val="32"/>
          <w:szCs w:val="32"/>
        </w:rPr>
        <w:t>等支出</w:t>
      </w:r>
      <w:r>
        <w:rPr>
          <w:rFonts w:hint="eastAsia" w:ascii="仿宋_GB2312" w:hAnsi="Times New Roman" w:eastAsia="仿宋_GB2312" w:cs="DengXian-Regular"/>
          <w:sz w:val="32"/>
          <w:szCs w:val="32"/>
          <w:lang w:val="en-US" w:eastAsia="zh-CN"/>
        </w:rPr>
        <w:t xml:space="preserve"> 。</w:t>
      </w:r>
    </w:p>
    <w:p w14:paraId="300D0D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一般公共预算财政拨款本年收入完成年初预算的115.3%，比年初预算增加170.62万元，主要原因是；支出完成年初预算的115.3%，比年初预算增加170.62万元，</w:t>
      </w:r>
      <w:r>
        <w:rPr>
          <w:rFonts w:hint="default" w:ascii="Times New Roman" w:hAnsi="Times New Roman" w:eastAsia="仿宋_GB2312" w:cs="Times New Roman"/>
          <w:kern w:val="2"/>
          <w:sz w:val="32"/>
          <w:szCs w:val="32"/>
          <w:lang w:val="zh-CN"/>
        </w:rPr>
        <w:t>主要原因是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w:t>
      </w:r>
      <w:r>
        <w:rPr>
          <w:rFonts w:ascii="Times New Roman" w:eastAsia="仿宋_GB2312"/>
          <w:b w:val="0"/>
          <w:sz w:val="32"/>
          <w:szCs w:val="32"/>
        </w:rPr>
        <w:t>。</w:t>
      </w:r>
    </w:p>
    <w:p w14:paraId="610C3752">
      <w:pPr>
        <w:autoSpaceDE w:val="0"/>
        <w:autoSpaceDN w:val="0"/>
        <w:adjustRightInd w:val="0"/>
        <w:spacing w:line="580" w:lineRule="exact"/>
        <w:ind w:firstLine="640" w:firstLineChars="200"/>
        <w:jc w:val="left"/>
        <w:rPr>
          <w:rFonts w:hint="default" w:ascii="Times New Roman" w:hAnsi="Times New Roman" w:eastAsia="仿宋_GB2312" w:cs="Times New Roman"/>
          <w:kern w:val="2"/>
          <w:sz w:val="32"/>
          <w:szCs w:val="32"/>
          <w:lang w:val="zh-CN"/>
        </w:rPr>
      </w:pPr>
      <w:r>
        <w:rPr>
          <w:rFonts w:ascii="Times New Roman" w:eastAsia="仿宋_GB2312"/>
          <w:b w:val="0"/>
          <w:sz w:val="32"/>
          <w:szCs w:val="32"/>
        </w:rPr>
        <w:t>2. 政府性基金预算财政拨款本年收入完成年初预算的100.0%，比年初预算减少0.00万元，主要原因是；支出完成年初预算的100.0%，比年初预算减少0.00万元，主要原因是</w:t>
      </w:r>
      <w:r>
        <w:rPr>
          <w:rFonts w:hint="default"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highlight w:val="none"/>
          <w:lang w:val="en-US" w:eastAsia="zh-CN"/>
        </w:rPr>
        <w:t>基本支出和项目支出总体均有所增加，人员数量增多以及职工保险缴费基数有所上浮，所需资金增多</w:t>
      </w:r>
      <w:r>
        <w:rPr>
          <w:rFonts w:hint="default" w:ascii="Times New Roman" w:hAnsi="Times New Roman" w:eastAsia="仿宋_GB2312" w:cs="Times New Roman"/>
          <w:kern w:val="2"/>
          <w:sz w:val="32"/>
          <w:szCs w:val="32"/>
          <w:lang w:val="zh-CN"/>
        </w:rPr>
        <w:t>。</w:t>
      </w:r>
    </w:p>
    <w:p w14:paraId="66B65B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w:t>
      </w:r>
    </w:p>
    <w:p w14:paraId="55F2A7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r>
        <w:rPr>
          <w:rFonts w:hint="eastAsia" w:ascii="Times New Roman" w:eastAsia="仿宋_GB2312"/>
          <w:b w:val="0"/>
          <w:sz w:val="32"/>
          <w:szCs w:val="32"/>
          <w:lang w:val="en-US" w:eastAsia="zh-CN"/>
        </w:rPr>
        <w:t xml:space="preserve">与上年持平   </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30644A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95D58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2025年度财政拨款支出1,301.16万元，主要用于以下方面：</w:t>
      </w:r>
    </w:p>
    <w:p w14:paraId="2D76E16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F5C41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732.30万元，占56.3%，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5.00万元，占0.4%，主要用于等支出；社会保障和就业 （类）支出34.34万元，占2.6%，主要用于等支出；卫生健康（类）支出14.86万元，占1.1%，主要用于等支出；节能环保（类）支出0.00万元，占0.0%，主要用于等支出；城乡社区（类）支出0.00万元，占0.0%，主要用于等支出；农林水（类）支出471.75万元，占36.3%，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28.62万元，占2.2%，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564986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EADF6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14.29万元，占1.1%，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26170B5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450E29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6B8A51A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C939D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2025年度财政拨款基本支出597.45万元，其中：</w:t>
      </w:r>
    </w:p>
    <w:p w14:paraId="397A57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人员经费543.77万元，主要包括基本工资、津贴补贴、奖金、伙食补助费、绩效工资、机关事业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73E871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53.68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1A4F101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8AE0FC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51E9B0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本单位2025年度“三公”经费财政拨款支出预算为8.21万元，支出决算为6.24万元，完成预算的76.0%，较预算减少1.97万元，降低24.0%，主要原因是；较2024年度决算减少0.01万元，降低0.2%，主要原因是</w:t>
      </w:r>
      <w:r>
        <w:rPr>
          <w:rFonts w:hint="eastAsia" w:ascii="仿宋_GB2312" w:hAnsi="Times New Roman" w:eastAsia="仿宋_GB2312" w:cs="DengXian-Regular"/>
          <w:sz w:val="32"/>
          <w:szCs w:val="32"/>
          <w:highlight w:val="none"/>
          <w:lang w:val="en-US" w:eastAsia="zh-CN"/>
        </w:rPr>
        <w:t>，</w:t>
      </w:r>
      <w:r>
        <w:rPr>
          <w:rFonts w:hint="eastAsia" w:ascii="Times New Roman" w:hAnsi="Times New Roman" w:eastAsia="仿宋_GB2312" w:cs="Times New Roman"/>
          <w:color w:val="auto"/>
          <w:kern w:val="2"/>
          <w:sz w:val="32"/>
          <w:szCs w:val="32"/>
          <w:lang w:val="en-US" w:eastAsia="zh-CN" w:bidi="ar-SA"/>
        </w:rPr>
        <w:t>外出巡逻减少</w:t>
      </w:r>
      <w:r>
        <w:rPr>
          <w:rFonts w:ascii="Times New Roman" w:eastAsia="仿宋_GB2312"/>
          <w:b w:val="0"/>
          <w:sz w:val="32"/>
          <w:szCs w:val="32"/>
        </w:rPr>
        <w:t>。</w:t>
      </w:r>
    </w:p>
    <w:p w14:paraId="4E2B363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8FF60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6CCE59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本单位2025年度公务用车购置及运行维护费预算为7.80万元，支出决算6.24万元，完成预算的80.0%,较预算减少1.56万元，降低20.0%,主要原因是；较上年减少0.01万元，降低0.2%,主要原因是。</w:t>
      </w:r>
      <w:r>
        <w:rPr>
          <w:rFonts w:hint="eastAsia" w:ascii="Times New Roman" w:hAnsi="Times New Roman" w:eastAsia="仿宋_GB2312" w:cs="Times New Roman"/>
          <w:color w:val="auto"/>
          <w:kern w:val="2"/>
          <w:sz w:val="32"/>
          <w:szCs w:val="32"/>
          <w:lang w:val="en-US" w:eastAsia="zh-CN" w:bidi="ar-SA"/>
        </w:rPr>
        <w:t>外出巡逻减少</w:t>
      </w:r>
    </w:p>
    <w:p w14:paraId="2431595A">
      <w:pPr>
        <w:adjustRightInd w:val="0"/>
        <w:snapToGrid w:val="0"/>
        <w:spacing w:line="580" w:lineRule="exact"/>
        <w:ind w:firstLine="643" w:firstLineChars="200"/>
        <w:rPr>
          <w:rFonts w:ascii="仿宋_GB2312" w:hAnsi="Times New Roman" w:eastAsia="仿宋_GB2312" w:cs="DengXian-Regular"/>
          <w:sz w:val="32"/>
          <w:szCs w:val="32"/>
          <w:highlight w:val="none"/>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r>
        <w:rPr>
          <w:rFonts w:hint="eastAsia" w:ascii="仿宋_GB2312" w:hAnsi="Times New Roman" w:eastAsia="仿宋_GB2312" w:cs="DengXian-Regular"/>
          <w:sz w:val="32"/>
          <w:szCs w:val="32"/>
          <w:highlight w:val="none"/>
        </w:rPr>
        <w:t>与</w:t>
      </w:r>
      <w:r>
        <w:rPr>
          <w:rFonts w:hint="eastAsia" w:ascii="仿宋_GB2312" w:hAnsi="Times New Roman" w:eastAsia="仿宋_GB2312" w:cs="DengXian-Regular"/>
          <w:sz w:val="32"/>
          <w:szCs w:val="32"/>
          <w:highlight w:val="none"/>
          <w:lang w:eastAsia="zh-CN"/>
        </w:rPr>
        <w:t>202</w:t>
      </w:r>
      <w:r>
        <w:rPr>
          <w:rFonts w:hint="eastAsia" w:ascii="仿宋_GB2312" w:hAnsi="Times New Roman" w:eastAsia="仿宋_GB2312" w:cs="DengXian-Regular"/>
          <w:sz w:val="32"/>
          <w:szCs w:val="32"/>
          <w:highlight w:val="none"/>
          <w:lang w:val="en-US" w:eastAsia="zh-CN"/>
        </w:rPr>
        <w:t>4</w:t>
      </w:r>
      <w:r>
        <w:rPr>
          <w:rFonts w:hint="eastAsia" w:ascii="仿宋_GB2312" w:hAnsi="Times New Roman" w:eastAsia="仿宋_GB2312" w:cs="DengXian-Regular"/>
          <w:sz w:val="32"/>
          <w:szCs w:val="32"/>
          <w:highlight w:val="none"/>
        </w:rPr>
        <w:t>年度决算支出持平，无增减变化。</w:t>
      </w:r>
    </w:p>
    <w:p w14:paraId="292FA9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公务用车运行维护费支出6.24万元：</w:t>
      </w:r>
      <w:r>
        <w:rPr>
          <w:rFonts w:ascii="Times New Roman" w:eastAsia="仿宋_GB2312"/>
          <w:b w:val="0"/>
          <w:sz w:val="32"/>
          <w:szCs w:val="32"/>
        </w:rPr>
        <w:t>本单位2025年度单位公务用车保有量3辆，发生运行维护费支出6.24万元。公车运行维护费支出较预算减少1.56万元，降低20.0%,主要原因是；较上年减少0.01万元，降低0.2%，主要原因是</w:t>
      </w:r>
      <w:r>
        <w:rPr>
          <w:rFonts w:hint="eastAsia" w:ascii="Times New Roman" w:hAnsi="Times New Roman" w:eastAsia="仿宋_GB2312" w:cs="Times New Roman"/>
          <w:color w:val="auto"/>
          <w:kern w:val="2"/>
          <w:sz w:val="32"/>
          <w:szCs w:val="32"/>
          <w:lang w:val="en-US" w:eastAsia="zh-CN" w:bidi="ar-SA"/>
        </w:rPr>
        <w:t>外出巡逻减少</w:t>
      </w:r>
      <w:r>
        <w:rPr>
          <w:rFonts w:ascii="Times New Roman" w:eastAsia="仿宋_GB2312"/>
          <w:b w:val="0"/>
          <w:sz w:val="32"/>
          <w:szCs w:val="32"/>
        </w:rPr>
        <w:t>。</w:t>
      </w:r>
    </w:p>
    <w:p w14:paraId="14FDD4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0.41万元，支出决算0.00万元，完成预算的0.0%。公务接待费支出较预算减少0.41万元，降低100.0%,主要原因是；较上年度增加0.00万元，增长0.00%,主要原因是。本年度共发生公务接待0批次、0人次。</w:t>
      </w:r>
    </w:p>
    <w:p w14:paraId="16F5692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132F82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本单位2025年度机关运行经费支出53.68万元，较2024年度增加0.69万元，增长1.3%。主要原因是</w:t>
      </w:r>
      <w:r>
        <w:rPr>
          <w:rFonts w:hint="eastAsia" w:ascii="Times New Roman" w:eastAsia="仿宋_GB2312"/>
          <w:b w:val="0"/>
          <w:sz w:val="32"/>
          <w:szCs w:val="32"/>
          <w:lang w:val="en-US" w:eastAsia="zh-CN"/>
        </w:rPr>
        <w:t>人员增加</w:t>
      </w:r>
      <w:r>
        <w:rPr>
          <w:rFonts w:ascii="Times New Roman" w:eastAsia="仿宋_GB2312"/>
          <w:b w:val="0"/>
          <w:sz w:val="32"/>
          <w:szCs w:val="32"/>
        </w:rPr>
        <w:t>。</w:t>
      </w:r>
    </w:p>
    <w:p w14:paraId="3F84015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6E3F4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156A4D0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40284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6辆，比上年增加0辆，主要是。其中，副部（省）级及以上领导用车0辆，主要负责人用车0辆，机要通信用车1辆，应急保障用车0辆，执法执勤用车0辆，特种专业技术用车0辆，离退休干部用车0辆，其他用车5辆，其他用车主要是。单位价值100万元（含）以上设备（不含车辆）0台（套）。</w:t>
      </w:r>
    </w:p>
    <w:p w14:paraId="589359A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4EE1EAB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636613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根据预算绩效管理要求，本单位组织对2025年度本级预算项目支出全面开展绩效自评，共涉及资金万元（决算金额）。其中，一般公共预算项目</w:t>
      </w:r>
      <w:r>
        <w:rPr>
          <w:rFonts w:hint="eastAsia" w:ascii="Times New Roman" w:eastAsia="仿宋_GB2312"/>
          <w:b w:val="0"/>
          <w:sz w:val="32"/>
          <w:szCs w:val="32"/>
          <w:lang w:val="en-US" w:eastAsia="zh-CN"/>
        </w:rPr>
        <w:t>20</w:t>
      </w:r>
      <w:r>
        <w:rPr>
          <w:rFonts w:ascii="Times New Roman" w:eastAsia="仿宋_GB2312"/>
          <w:b w:val="0"/>
          <w:sz w:val="32"/>
          <w:szCs w:val="32"/>
        </w:rPr>
        <w:t>个，涉及资金</w:t>
      </w:r>
      <w:r>
        <w:rPr>
          <w:rFonts w:hint="eastAsia" w:ascii="Times New Roman" w:eastAsia="仿宋_GB2312"/>
          <w:b w:val="0"/>
          <w:sz w:val="32"/>
          <w:szCs w:val="32"/>
          <w:lang w:val="en-US" w:eastAsia="zh-CN"/>
        </w:rPr>
        <w:t>703.09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65</w:t>
      </w:r>
      <w:r>
        <w:rPr>
          <w:rFonts w:ascii="Times New Roman" w:eastAsia="仿宋_GB2312"/>
          <w:b w:val="0"/>
          <w:sz w:val="32"/>
          <w:szCs w:val="32"/>
        </w:rPr>
        <w:t>%；政府性基金预算项</w:t>
      </w:r>
      <w:r>
        <w:rPr>
          <w:rFonts w:hint="eastAsia" w:ascii="Times New Roman" w:eastAsia="仿宋_GB2312"/>
          <w:b w:val="0"/>
          <w:sz w:val="32"/>
          <w:szCs w:val="32"/>
          <w:lang w:val="en-US" w:eastAsia="zh-CN"/>
        </w:rPr>
        <w:t>1</w:t>
      </w:r>
      <w:r>
        <w:rPr>
          <w:rFonts w:ascii="Times New Roman" w:eastAsia="仿宋_GB2312"/>
          <w:b w:val="0"/>
          <w:sz w:val="32"/>
          <w:szCs w:val="32"/>
        </w:rPr>
        <w:t>目个，涉及资金</w:t>
      </w:r>
      <w:r>
        <w:rPr>
          <w:rFonts w:hint="eastAsia" w:ascii="Times New Roman" w:eastAsia="仿宋_GB2312"/>
          <w:b w:val="0"/>
          <w:sz w:val="32"/>
          <w:szCs w:val="32"/>
          <w:lang w:val="en-US" w:eastAsia="zh-CN"/>
        </w:rPr>
        <w:t>14.29</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%；从评价情况来看，</w:t>
      </w:r>
      <w:r>
        <w:rPr>
          <w:rFonts w:hint="eastAsia" w:ascii="Times New Roman" w:eastAsia="仿宋_GB2312"/>
          <w:b w:val="0"/>
          <w:sz w:val="32"/>
          <w:szCs w:val="32"/>
        </w:rPr>
        <w:t>各个项目绩效评价结果均在良好以上</w:t>
      </w:r>
    </w:p>
    <w:p w14:paraId="370239E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5EF295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hAnsi="仿宋_GB2312" w:eastAsia="仿宋_GB2312" w:cs="仿宋_GB2312"/>
          <w:sz w:val="32"/>
          <w:szCs w:val="32"/>
        </w:rPr>
        <w:t>从评价情况来看，本次自评得分最高 100 分、最低 </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分，平均得分</w:t>
      </w:r>
      <w:r>
        <w:rPr>
          <w:rFonts w:hint="eastAsia" w:ascii="仿宋_GB2312" w:hAnsi="仿宋_GB2312" w:eastAsia="仿宋_GB2312" w:cs="仿宋_GB2312"/>
          <w:sz w:val="32"/>
          <w:szCs w:val="32"/>
          <w:lang w:val="en-US" w:eastAsia="zh-CN"/>
        </w:rPr>
        <w:t>98.4</w:t>
      </w:r>
      <w:r>
        <w:rPr>
          <w:rFonts w:hint="eastAsia" w:ascii="仿宋_GB2312" w:hAnsi="仿宋_GB2312" w:eastAsia="仿宋_GB2312" w:cs="仿宋_GB2312"/>
          <w:sz w:val="32"/>
          <w:szCs w:val="32"/>
        </w:rPr>
        <w:t>分。100 分项目 </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99分项目2个，</w:t>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 分项目</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单位整体绩效自评情况结果良好</w:t>
      </w:r>
    </w:p>
    <w:p w14:paraId="295C72D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14:paraId="3A8119F1">
      <w:pPr>
        <w:adjustRightInd w:val="0"/>
        <w:snapToGrid w:val="0"/>
        <w:spacing w:line="580" w:lineRule="exact"/>
        <w:ind w:firstLine="660" w:firstLineChars="200"/>
        <w:rPr>
          <w:rFonts w:hint="eastAsia" w:ascii="仿宋_GB2312" w:hAnsi="仿宋_GB2312" w:eastAsia="仿宋_GB2312" w:cs="仿宋_GB2312"/>
          <w:sz w:val="32"/>
          <w:szCs w:val="32"/>
        </w:rPr>
      </w:pPr>
      <w:r>
        <w:rPr>
          <w:rFonts w:hint="default" w:ascii="Times New Roman" w:hAnsi="Times New Roman" w:eastAsia="仿宋_GB2312" w:cs="Times New Roman"/>
          <w:i w:val="0"/>
          <w:iCs w:val="0"/>
          <w:caps w:val="0"/>
          <w:color w:val="333333"/>
          <w:spacing w:val="0"/>
          <w:sz w:val="33"/>
          <w:szCs w:val="33"/>
          <w:highlight w:val="none"/>
          <w:shd w:val="clear" w:fill="FFFFFF"/>
        </w:rPr>
        <w:t> </w:t>
      </w:r>
      <w:r>
        <w:rPr>
          <w:rFonts w:hint="eastAsia" w:ascii="仿宋_GB2312" w:hAnsi="仿宋_GB2312" w:eastAsia="仿宋_GB2312" w:cs="仿宋_GB2312"/>
          <w:sz w:val="32"/>
          <w:szCs w:val="32"/>
        </w:rPr>
        <w:t>织有关人员，讨论确定指标权重和指标标准值，通过对基础资料进行核实、分析、整理，采取查阅政府相关统计数据、抽查各项目执行记录、对服务对象的跟踪调查、直接勘察、测验数据等途径，获得各项绩效指标实际值。此次绩效评价坚持科学、客观、公正和实事求是的原则，以定量评价方法为主，结合定性分析，从政策实施、项目管理、项目实施、综合效益等方面，对各个项目开展情况进行考评计分。</w:t>
      </w:r>
    </w:p>
    <w:p w14:paraId="53326D49">
      <w:pPr>
        <w:adjustRightInd w:val="0"/>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在今年</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决算公开中反映 正繁公路通道绿化占地补偿、</w:t>
      </w:r>
      <w:r>
        <w:rPr>
          <w:rFonts w:hint="eastAsia" w:ascii="仿宋_GB2312" w:hAnsi="仿宋_GB2312" w:eastAsia="仿宋_GB2312" w:cs="仿宋_GB2312"/>
          <w:sz w:val="32"/>
          <w:szCs w:val="32"/>
          <w:highlight w:val="none"/>
          <w:lang w:val="en-US" w:eastAsia="zh-CN"/>
        </w:rPr>
        <w:t>村干部基本报酬</w:t>
      </w:r>
      <w:r>
        <w:rPr>
          <w:rFonts w:hint="eastAsia" w:ascii="仿宋_GB2312" w:hAnsi="仿宋_GB2312" w:eastAsia="仿宋_GB2312" w:cs="仿宋_GB2312"/>
          <w:sz w:val="32"/>
          <w:szCs w:val="32"/>
          <w:highlight w:val="none"/>
        </w:rPr>
        <w:t>项目2 个项目绩效自评结果。</w:t>
      </w:r>
    </w:p>
    <w:p w14:paraId="08A1F6BD">
      <w:pPr>
        <w:adjustRightInd w:val="0"/>
        <w:snapToGrid w:val="0"/>
        <w:spacing w:line="58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正繁公路通道绿化占地补偿项目绩效自评综述：根据年初设定的绩效目标，绩效自评得分为</w:t>
      </w:r>
      <w:r>
        <w:rPr>
          <w:rFonts w:hint="eastAsia" w:ascii="仿宋_GB2312" w:hAnsi="仿宋_GB2312" w:eastAsia="仿宋_GB2312" w:cs="仿宋_GB2312"/>
          <w:sz w:val="32"/>
          <w:szCs w:val="32"/>
          <w:highlight w:val="none"/>
          <w:lang w:val="en-US" w:eastAsia="zh-CN"/>
        </w:rPr>
        <w:t>97</w:t>
      </w:r>
      <w:r>
        <w:rPr>
          <w:rFonts w:hint="eastAsia" w:ascii="仿宋_GB2312" w:hAnsi="仿宋_GB2312" w:eastAsia="仿宋_GB2312" w:cs="仿宋_GB2312"/>
          <w:sz w:val="32"/>
          <w:szCs w:val="32"/>
          <w:highlight w:val="none"/>
        </w:rPr>
        <w:t>分（绩效自评表附后）。全年预算数为</w:t>
      </w:r>
      <w:r>
        <w:rPr>
          <w:rFonts w:hint="eastAsia" w:ascii="仿宋_GB2312" w:hAnsi="仿宋_GB2312" w:eastAsia="仿宋_GB2312" w:cs="仿宋_GB2312"/>
          <w:sz w:val="32"/>
          <w:szCs w:val="32"/>
          <w:highlight w:val="none"/>
          <w:lang w:val="en-US" w:eastAsia="zh-CN"/>
        </w:rPr>
        <w:t>15.75</w:t>
      </w:r>
      <w:r>
        <w:rPr>
          <w:rFonts w:hint="eastAsia" w:ascii="仿宋_GB2312" w:hAnsi="仿宋_GB2312" w:eastAsia="仿宋_GB2312" w:cs="仿宋_GB2312"/>
          <w:sz w:val="32"/>
          <w:szCs w:val="32"/>
          <w:highlight w:val="none"/>
        </w:rPr>
        <w:t>万元，执行数为</w:t>
      </w:r>
      <w:r>
        <w:rPr>
          <w:rFonts w:hint="eastAsia" w:ascii="仿宋_GB2312" w:hAnsi="仿宋_GB2312" w:eastAsia="仿宋_GB2312" w:cs="仿宋_GB2312"/>
          <w:sz w:val="32"/>
          <w:szCs w:val="32"/>
          <w:highlight w:val="none"/>
          <w:lang w:val="en-US" w:eastAsia="zh-CN"/>
        </w:rPr>
        <w:t>23.08</w:t>
      </w:r>
      <w:r>
        <w:rPr>
          <w:rFonts w:hint="eastAsia" w:ascii="仿宋_GB2312" w:hAnsi="仿宋_GB2312" w:eastAsia="仿宋_GB2312" w:cs="仿宋_GB2312"/>
          <w:sz w:val="32"/>
          <w:szCs w:val="32"/>
          <w:highlight w:val="none"/>
        </w:rPr>
        <w:t>万元，完成预算的</w:t>
      </w:r>
      <w:r>
        <w:rPr>
          <w:rFonts w:hint="eastAsia" w:ascii="仿宋_GB2312" w:hAnsi="仿宋_GB2312" w:eastAsia="仿宋_GB2312" w:cs="仿宋_GB2312"/>
          <w:sz w:val="32"/>
          <w:szCs w:val="32"/>
          <w:highlight w:val="none"/>
          <w:lang w:val="en-US" w:eastAsia="zh-CN"/>
        </w:rPr>
        <w:t>146.5</w:t>
      </w:r>
      <w:r>
        <w:rPr>
          <w:rFonts w:hint="eastAsia" w:ascii="仿宋_GB2312" w:hAnsi="仿宋_GB2312" w:eastAsia="仿宋_GB2312" w:cs="仿宋_GB2312"/>
          <w:sz w:val="32"/>
          <w:szCs w:val="32"/>
          <w:highlight w:val="none"/>
        </w:rPr>
        <w:t>%。经过严格自评，正繁公路通道绿化占地补偿项目年初设定的目标：一是落实上级政策，确保占地补偿及时足额发放至农户手中，确保农户利益不受损失；二是改善交通状况，方便群众出行，提升群众的幸福感和满意度，为实现乡村振兴和全面建成小康社会提供有力保障。</w:t>
      </w:r>
      <w:r>
        <w:rPr>
          <w:rFonts w:hint="eastAsia" w:ascii="仿宋_GB2312" w:hAnsi="仿宋_GB2312" w:eastAsia="仿宋_GB2312" w:cs="仿宋_GB2312"/>
          <w:sz w:val="32"/>
          <w:szCs w:val="32"/>
          <w:highlight w:val="none"/>
          <w:lang w:val="en-US" w:eastAsia="zh-CN"/>
        </w:rPr>
        <w:t>通过项目实施，完成了年初设定的各项绩效目标，</w:t>
      </w:r>
      <w:r>
        <w:rPr>
          <w:rFonts w:hint="eastAsia" w:ascii="仿宋_GB2312" w:hAnsi="仿宋_GB2312" w:eastAsia="仿宋_GB2312" w:cs="仿宋_GB2312"/>
          <w:sz w:val="32"/>
          <w:szCs w:val="32"/>
          <w:highlight w:val="none"/>
        </w:rPr>
        <w:t>在资金到位后，我</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按时为占地涉及的南豆庄等三个村的97户农户发放了99.501亩的占地补偿，保障了农户的基本生活，群众满意度达到95</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%，维护了社会稳定。</w:t>
      </w:r>
      <w:r>
        <w:rPr>
          <w:rFonts w:hint="eastAsia" w:ascii="仿宋_GB2312" w:hAnsi="仿宋_GB2312" w:eastAsia="仿宋_GB2312" w:cs="仿宋_GB2312"/>
          <w:sz w:val="32"/>
          <w:szCs w:val="32"/>
          <w:highlight w:val="none"/>
          <w:lang w:val="en-US" w:eastAsia="zh-CN"/>
        </w:rPr>
        <w:t>项目实施中未发现问题。</w:t>
      </w:r>
    </w:p>
    <w:p w14:paraId="3BACD145">
      <w:pPr>
        <w:widowControl/>
        <w:spacing w:before="0" w:beforeLines="0" w:beforeAutospacing="0" w:after="0" w:afterLines="0" w:afterAutospacing="0" w:line="360" w:lineRule="auto"/>
        <w:ind w:firstLine="643" w:firstLineChars="200"/>
        <w:jc w:val="left"/>
        <w:rPr>
          <w:rFonts w:ascii="Times New Roman" w:eastAsia="黑体"/>
          <w:b w:val="0"/>
          <w:sz w:val="32"/>
          <w:szCs w:val="32"/>
        </w:rPr>
      </w:pPr>
      <w:r>
        <w:rPr>
          <w:rFonts w:hint="eastAsia" w:ascii="Times New Roman" w:eastAsia="仿宋_GB2312"/>
          <w:b/>
          <w:sz w:val="32"/>
          <w:szCs w:val="32"/>
          <w:lang w:eastAsia="zh-CN"/>
        </w:rPr>
        <w:drawing>
          <wp:inline distT="0" distB="0" distL="114300" distR="114300">
            <wp:extent cx="5759450" cy="7268845"/>
            <wp:effectExtent l="0" t="0" r="12700" b="8255"/>
            <wp:docPr id="2" name="图片 2" descr="d43d7c6c8e3739601e47e87bb7b31c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43d7c6c8e3739601e47e87bb7b31cc6"/>
                    <pic:cNvPicPr>
                      <a:picLocks noChangeAspect="1"/>
                    </pic:cNvPicPr>
                  </pic:nvPicPr>
                  <pic:blipFill>
                    <a:blip r:embed="rId19"/>
                    <a:stretch>
                      <a:fillRect/>
                    </a:stretch>
                  </pic:blipFill>
                  <pic:spPr>
                    <a:xfrm>
                      <a:off x="0" y="0"/>
                      <a:ext cx="5759450" cy="7268845"/>
                    </a:xfrm>
                    <a:prstGeom prst="rect">
                      <a:avLst/>
                    </a:prstGeom>
                  </pic:spPr>
                </pic:pic>
              </a:graphicData>
            </a:graphic>
          </wp:inline>
        </w:drawing>
      </w:r>
    </w:p>
    <w:p w14:paraId="5E5833DB">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14:paraId="10856912">
      <w:pPr>
        <w:widowControl/>
        <w:spacing w:before="0" w:beforeLines="0" w:beforeAutospacing="0" w:after="0" w:afterLines="0" w:afterAutospacing="0" w:line="360" w:lineRule="auto"/>
        <w:ind w:firstLine="643" w:firstLineChars="200"/>
        <w:jc w:val="left"/>
        <w:rPr>
          <w:rFonts w:ascii="Times New Roman" w:eastAsia="黑体"/>
          <w:b w:val="0"/>
          <w:sz w:val="32"/>
          <w:szCs w:val="32"/>
        </w:rPr>
      </w:pPr>
      <w:r>
        <w:rPr>
          <w:rFonts w:hint="eastAsia" w:ascii="Times New Roman" w:eastAsia="仿宋_GB2312"/>
          <w:b/>
          <w:sz w:val="32"/>
          <w:szCs w:val="32"/>
          <w:lang w:eastAsia="zh-CN"/>
        </w:rPr>
        <w:drawing>
          <wp:inline distT="0" distB="0" distL="114300" distR="114300">
            <wp:extent cx="5755640" cy="6959600"/>
            <wp:effectExtent l="0" t="0" r="16510" b="12700"/>
            <wp:docPr id="3" name="图片 3" descr="e1f225c02d2d210f2407fe3881bfef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1f225c02d2d210f2407fe3881bfef54"/>
                    <pic:cNvPicPr>
                      <a:picLocks noChangeAspect="1"/>
                    </pic:cNvPicPr>
                  </pic:nvPicPr>
                  <pic:blipFill>
                    <a:blip r:embed="rId20"/>
                    <a:stretch>
                      <a:fillRect/>
                    </a:stretch>
                  </pic:blipFill>
                  <pic:spPr>
                    <a:xfrm>
                      <a:off x="0" y="0"/>
                      <a:ext cx="5755640" cy="6959600"/>
                    </a:xfrm>
                    <a:prstGeom prst="rect">
                      <a:avLst/>
                    </a:prstGeom>
                  </pic:spPr>
                </pic:pic>
              </a:graphicData>
            </a:graphic>
          </wp:inline>
        </w:drawing>
      </w:r>
    </w:p>
    <w:p w14:paraId="512CD0E0">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14:paraId="0BC264FD">
      <w:pPr>
        <w:widowControl/>
        <w:spacing w:before="0" w:beforeLines="0" w:beforeAutospacing="0" w:after="0" w:afterLines="0" w:afterAutospacing="0" w:line="360" w:lineRule="auto"/>
        <w:ind w:firstLine="643" w:firstLineChars="200"/>
        <w:jc w:val="left"/>
        <w:rPr>
          <w:rFonts w:ascii="Times New Roman" w:eastAsia="黑体"/>
          <w:b w:val="0"/>
          <w:sz w:val="32"/>
          <w:szCs w:val="32"/>
        </w:rPr>
      </w:pPr>
      <w:r>
        <w:rPr>
          <w:rFonts w:hint="eastAsia" w:ascii="Times New Roman" w:eastAsia="仿宋_GB2312"/>
          <w:b/>
          <w:sz w:val="32"/>
          <w:szCs w:val="32"/>
          <w:lang w:eastAsia="zh-CN"/>
        </w:rPr>
        <w:drawing>
          <wp:inline distT="0" distB="0" distL="114300" distR="114300">
            <wp:extent cx="5755640" cy="7030085"/>
            <wp:effectExtent l="0" t="0" r="16510" b="18415"/>
            <wp:docPr id="6" name="图片 6" descr="822988fdf4eb7920f1c9a67b3cc557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22988fdf4eb7920f1c9a67b3cc557bd"/>
                    <pic:cNvPicPr>
                      <a:picLocks noChangeAspect="1"/>
                    </pic:cNvPicPr>
                  </pic:nvPicPr>
                  <pic:blipFill>
                    <a:blip r:embed="rId21"/>
                    <a:stretch>
                      <a:fillRect/>
                    </a:stretch>
                  </pic:blipFill>
                  <pic:spPr>
                    <a:xfrm>
                      <a:off x="0" y="0"/>
                      <a:ext cx="5755640" cy="7030085"/>
                    </a:xfrm>
                    <a:prstGeom prst="rect">
                      <a:avLst/>
                    </a:prstGeom>
                  </pic:spPr>
                </pic:pic>
              </a:graphicData>
            </a:graphic>
          </wp:inline>
        </w:drawing>
      </w:r>
    </w:p>
    <w:p w14:paraId="53FB7691">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14:paraId="44ECEE6B">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0940F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D1696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2487EB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D8DA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1F8F70A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A41696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09658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E3E3C1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8F625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E53388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BCDAC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36E69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882A5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0DDA4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9D332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7F04D09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1304001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86EBA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483BD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087E3F7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FB84B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1BC6B91-4C96-4395-9D82-2A00DCB8713D}"/>
  </w:font>
  <w:font w:name="黑体">
    <w:panose1 w:val="02010609060101010101"/>
    <w:charset w:val="86"/>
    <w:family w:val="auto"/>
    <w:pitch w:val="default"/>
    <w:sig w:usb0="800002BF" w:usb1="38CF7CFA" w:usb2="00000016" w:usb3="00000000" w:csb0="00040001" w:csb1="00000000"/>
    <w:embedRegular r:id="rId2" w:fontKey="{E1B0A691-0DB9-4B81-9AE6-F41E02888B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22DEE47-F3ED-4BBA-8CB8-EC1B5B46B452}"/>
  </w:font>
  <w:font w:name="仿宋">
    <w:panose1 w:val="02010609060101010101"/>
    <w:charset w:val="86"/>
    <w:family w:val="modern"/>
    <w:pitch w:val="default"/>
    <w:sig w:usb0="800002BF" w:usb1="38CF7CFA" w:usb2="00000016" w:usb3="00000000" w:csb0="00040001" w:csb1="00000000"/>
    <w:embedRegular r:id="rId4" w:fontKey="{E827A984-CAA5-4724-A0FD-2E96F491E51B}"/>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E4BE4B36-7ED8-44D8-A272-9416543C9D90}"/>
  </w:font>
  <w:font w:name="楷体_GB2312">
    <w:panose1 w:val="02010609030101010101"/>
    <w:charset w:val="86"/>
    <w:family w:val="auto"/>
    <w:pitch w:val="default"/>
    <w:sig w:usb0="00000001" w:usb1="080E0000" w:usb2="00000000" w:usb3="00000000" w:csb0="00040000" w:csb1="00000000"/>
    <w:embedRegular r:id="rId6" w:fontKey="{C19BF5E3-C537-4C6E-84C4-97A2C89B85FC}"/>
  </w:font>
  <w:font w:name="微软雅黑">
    <w:panose1 w:val="020B0503020204020204"/>
    <w:charset w:val="86"/>
    <w:family w:val="auto"/>
    <w:pitch w:val="default"/>
    <w:sig w:usb0="80000287" w:usb1="2ACF3C50" w:usb2="00000016" w:usb3="00000000" w:csb0="0004001F" w:csb1="00000000"/>
    <w:embedRegular r:id="rId7" w:fontKey="{984B1182-9AB5-4B25-9FE7-092F2D6B9FA1}"/>
  </w:font>
  <w:font w:name="方正小标宋_GBK">
    <w:panose1 w:val="02000000000000000000"/>
    <w:charset w:val="86"/>
    <w:family w:val="script"/>
    <w:pitch w:val="default"/>
    <w:sig w:usb0="A00002BF" w:usb1="38CF7CFA" w:usb2="00082016" w:usb3="00000000" w:csb0="00040001" w:csb1="00000000"/>
    <w:embedRegular r:id="rId8" w:fontKey="{2CF1AB86-E12B-4231-9320-0C4A1D89C7A2}"/>
  </w:font>
  <w:font w:name="仿宋_GB2312">
    <w:panose1 w:val="02010609030101010101"/>
    <w:charset w:val="86"/>
    <w:family w:val="auto"/>
    <w:pitch w:val="default"/>
    <w:sig w:usb0="00000001" w:usb1="080E0000" w:usb2="00000000" w:usb3="00000000" w:csb0="00040000" w:csb1="00000000"/>
    <w:embedRegular r:id="rId9" w:fontKey="{C6D37835-0DEC-43BA-A000-B058287FCEC2}"/>
  </w:font>
  <w:font w:name="ArialUnicodeMS">
    <w:altName w:val="Malgun Gothic"/>
    <w:panose1 w:val="00000000000000000000"/>
    <w:charset w:val="81"/>
    <w:family w:val="auto"/>
    <w:pitch w:val="default"/>
    <w:sig w:usb0="00000000" w:usb1="00000000" w:usb2="00000010" w:usb3="00000000" w:csb0="00080001" w:csb1="00000000"/>
    <w:embedRegular r:id="rId10" w:fontKey="{69D3E24E-CF08-4AB6-A1EE-6C2C049CC137}"/>
  </w:font>
  <w:font w:name="Malgun Gothic">
    <w:panose1 w:val="020B0503020000020004"/>
    <w:charset w:val="81"/>
    <w:family w:val="auto"/>
    <w:pitch w:val="default"/>
    <w:sig w:usb0="9000002F" w:usb1="29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embedRegular r:id="rId11" w:fontKey="{C5E724E6-E4DE-4C7D-B630-1B4FA44C371F}"/>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CBE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E7EB1">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DD4C3">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015A8">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5E8883"/>
    <w:multiLevelType w:val="singleLevel"/>
    <w:tmpl w:val="DD5E8883"/>
    <w:lvl w:ilvl="0" w:tentative="0">
      <w:start w:val="3"/>
      <w:numFmt w:val="decimal"/>
      <w:lvlText w:val="%1."/>
      <w:lvlJc w:val="left"/>
      <w:pPr>
        <w:tabs>
          <w:tab w:val="left" w:pos="312"/>
        </w:tabs>
      </w:p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7FB57082"/>
    <w:multiLevelType w:val="singleLevel"/>
    <w:tmpl w:val="7FB57082"/>
    <w:lvl w:ilvl="0" w:tentative="0">
      <w:start w:val="6"/>
      <w:numFmt w:val="decimal"/>
      <w:suff w:val="nothing"/>
      <w:lvlText w:val="%1、"/>
      <w:lvlJc w:val="left"/>
      <w:pPr>
        <w:ind w:left="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82F8F"/>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464DF"/>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BE85833"/>
    <w:rsid w:val="5C8E5C5A"/>
    <w:rsid w:val="5C965E61"/>
    <w:rsid w:val="5CD839BA"/>
    <w:rsid w:val="5CF0089C"/>
    <w:rsid w:val="5CF5796F"/>
    <w:rsid w:val="5D242A11"/>
    <w:rsid w:val="5D7E0FB5"/>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1B5173"/>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2E5DF6"/>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D1DE7"/>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1301.16</c:v>
                </c:pt>
                <c:pt idx="1">
                  <c:v>1138.06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13011641.73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5974514.73</c:v>
                </c:pt>
                <c:pt idx="1">
                  <c:v>7037127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1138.06</c:v>
                </c:pt>
                <c:pt idx="1">
                  <c:v>1138.06</c:v>
                </c:pt>
                <c:pt idx="2">
                  <c:v>1138.06</c:v>
                </c:pt>
                <c:pt idx="3">
                  <c:v>1138.06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1301.16</c:v>
                </c:pt>
                <c:pt idx="1">
                  <c:v>1301.16</c:v>
                </c:pt>
                <c:pt idx="2">
                  <c:v>1286.88</c:v>
                </c:pt>
                <c:pt idx="3">
                  <c:v>1286.88</c:v>
                </c:pt>
                <c:pt idx="4">
                  <c:v>14.29</c:v>
                </c:pt>
                <c:pt idx="5">
                  <c:v>14.29</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1130.55</c:v>
                </c:pt>
                <c:pt idx="1">
                  <c:v>1130.55</c:v>
                </c:pt>
                <c:pt idx="2">
                  <c:v>1116.26</c:v>
                </c:pt>
                <c:pt idx="3">
                  <c:v>1116.26</c:v>
                </c:pt>
                <c:pt idx="4">
                  <c:v>14.29</c:v>
                </c:pt>
                <c:pt idx="5">
                  <c:v>14.29</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1301.16</c:v>
                </c:pt>
                <c:pt idx="1">
                  <c:v>1301.16</c:v>
                </c:pt>
                <c:pt idx="2">
                  <c:v>1286.88</c:v>
                </c:pt>
                <c:pt idx="3">
                  <c:v>1286.88</c:v>
                </c:pt>
                <c:pt idx="4">
                  <c:v>14.29</c:v>
                </c:pt>
                <c:pt idx="5">
                  <c:v>14.29</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48</Pages>
  <Words>12215</Words>
  <Characters>15197</Characters>
  <Lines>86</Lines>
  <Paragraphs>24</Paragraphs>
  <TotalTime>1</TotalTime>
  <ScaleCrop>false</ScaleCrop>
  <LinksUpToDate>false</LinksUpToDate>
  <CharactersWithSpaces>15723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2026-09-15T03:45:31Z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