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行唐县上方镇人民政府（本级）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840001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44240BDF">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行唐县上方镇人民政府（本级）</w:t>
      </w:r>
    </w:p>
    <w:p w14:paraId="2340EB70">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05B05EEF">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行唐县上方镇人民政府（本级）</w:t>
      </w:r>
    </w:p>
    <w:p w14:paraId="2840F438">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47C104C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FCF130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3E4A5D3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7FC2B4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347A08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3EF26EDB">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327C97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0C643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1E91D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FA717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4D45A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034A36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630494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0775F6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6DD3B9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D223AD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0FB136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6BDA9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24F152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744BC7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702718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3D7572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3FCB62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2A6BA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041AA39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22D72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41C7F9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F37463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7563E2B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2B4C6148">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一、部门职责</w:t>
      </w:r>
    </w:p>
    <w:p w14:paraId="0C908C2E">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 1.党政综合办公室</w:t>
      </w:r>
    </w:p>
    <w:p w14:paraId="3A0A8D85">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负责机关日常工作的综合协调和督促检查；负责机关文电、值班、会务、机要、保密、档案、党务政务公开、对外联络、后勤保障等日常运转工作；负责机关和所属部门财务及国有资产管理等工作。</w:t>
      </w:r>
    </w:p>
    <w:p w14:paraId="142F7DF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2.党建工作办公室（挂人大主席团办公室牌子）</w:t>
      </w:r>
    </w:p>
    <w:p w14:paraId="7ECABC06">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负责基层党的政治建设、组织建设、思想建设、宣传工作、意识形态、精神文明建设、统战工作、民族宗教事务、党管武装、组织人事等工作，统筹推进区域化建设工作，领导辖区内人大工作，以及工会、共青团、妇联等群团工作。</w:t>
      </w:r>
    </w:p>
    <w:p w14:paraId="07CCB901">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3.社会治理和应急管理办公室（挂综合指挥和信息化网络中心牌子）</w:t>
      </w:r>
    </w:p>
    <w:p w14:paraId="6F0B714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负责基层治理综合指挥工作。建立健全综合指挥协调机制和工程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负责应急管理工作，落实应急管理责任，制定突发事件应急预案；负责生产经营部门安全生产状况的监督检查等工作。</w:t>
      </w:r>
    </w:p>
    <w:p w14:paraId="2B64DF2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4.自然资源和生态环境办公室</w:t>
      </w:r>
    </w:p>
    <w:p w14:paraId="42A8F7B8">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负责自然资源保护和监管、土地调查、村镇规划建设、基本农田保护管理等工作；负责大气、水、土壤污染防治，水资源保护、水环境治理、节约用水、全民义务植树、古树名木保护、园林绿化等工作，防治禁止露天焚烧秸秆、“散乱污”企业综合整治工作。</w:t>
      </w:r>
    </w:p>
    <w:p w14:paraId="5B21C812">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5.综合行政执法队</w:t>
      </w:r>
    </w:p>
    <w:p w14:paraId="3750A0C8">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根据有关法律法规和上级部门授权、委托、承担城镇建设、生态环境、文化市场、农业农村，安全生产、民族宗教等领域行政执法工作。</w:t>
      </w:r>
    </w:p>
    <w:p w14:paraId="4116057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6.行政综合服务中心（挂综合文化服务站、财政所牌子）</w:t>
      </w:r>
    </w:p>
    <w:p w14:paraId="364B2DA8">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负责行政审批服务事项的受理、办理工作，提供政策和业务咨询；指导村（社区）便民服务点建设等。</w:t>
      </w:r>
    </w:p>
    <w:p w14:paraId="01901D0F">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7.农业综合服务中心（挂经济发展办公室牌子）</w:t>
      </w:r>
    </w:p>
    <w:p w14:paraId="66DC64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sz w:val="32"/>
          <w:szCs w:val="32"/>
        </w:rPr>
        <w:t>负责农业、畜牧、林业水利、农机等技术推广和服务工作，负责农产品质量安全监管工作，负责指导农业生产、技术培训和信息咨询服务；负责动植物病害及灾情的预报、防治、处置；负责指导新农村建设、镇村振兴、农村经济发展、农村体制改革、农村土地承包、扶贫开发、水土保持和综合治理等工作，负责农村环境卫生工作、负责村级资金核拨和监督管理。</w:t>
      </w:r>
    </w:p>
    <w:p w14:paraId="0B6F7F8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91E8C0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行唐县上方镇人民政府（本级）</w:t>
            </w:r>
          </w:p>
        </w:tc>
        <w:tc>
          <w:tcPr>
            <w:tcW w:w="2445" w:type="dxa"/>
          </w:tcPr>
          <w:p w14:paraId="2E443189">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CCF052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部门（单位）：行唐县上方镇人民政府（本级）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1,298.18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795.99</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43.20</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18.97</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398.11</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36.90</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部门（单位）：行唐县上方镇人民政府（本级）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795.99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795.99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FDC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2CE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51E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148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791.79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380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791.79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08D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85D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CC5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599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0C4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F10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9EE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2C6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7B8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692.47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21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692.47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E2A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CA1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8CF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9E4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B1F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C12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38A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FD3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CD6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278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90B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F6E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219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83A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046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89C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27D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60B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958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C3D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FEC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741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A00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D85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A65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096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8AB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9FC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A9E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B9B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A7F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3C3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BE0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7AF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F6A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EB7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C43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CC4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D61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916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6E8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4D5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EEF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F16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FC8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E35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513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BC6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B35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D58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5E0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376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49A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988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5E6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1BC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7A9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C77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9D2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FC3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558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C37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2A1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9BF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A35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09C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E84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CBC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698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880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59C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50C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C4F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02B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C80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5AF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4FA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649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795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233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FC0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FA4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1AD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B96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460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054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31E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7EB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C0A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405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C63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5CB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A77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83C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2A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6A6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8E3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0BC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CA1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B65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BAB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1CA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1E7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72A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D1C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DBE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782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4B7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A3F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411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179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DE7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160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CEC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C5F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3CF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9F6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D12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5CC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42A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B07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46C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BAA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D60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239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BCE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A51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AA6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3C3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36F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7BF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902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325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CE2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7B3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93A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3BB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FD1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F27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4DB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F72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A41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736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DA6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B5B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289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F92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3F0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662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65A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D36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0BD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CEF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F73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8E9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021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136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E2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460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BB5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AF5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48A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BB5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E8F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F0F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119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450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16B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DB9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129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80B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431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1F0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D30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DD8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CD9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897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D7F4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BB4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975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62D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71E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CE8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76D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F2D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E20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9BD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4E9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267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598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37F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113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B74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9DD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082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EA9D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F7F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4F6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2D0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077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398.11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F98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787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73A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075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049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8C2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52AF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921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995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0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5BC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C6E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962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131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26B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70B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772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979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1C1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008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5EA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27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44A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858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D6B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A31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E31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D07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9DF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557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4EB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993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95E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351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6E8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部门（单位）：行唐县上方镇人民政府（本级）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791.54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641.92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795.99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50A5A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8D7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257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63D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791.79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7CC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C7F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C07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792E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8EE67">
            <w:pPr>
              <w:jc w:val="right"/>
              <w:rPr>
                <w:rFonts w:hint="default" w:ascii="Times New Roman" w:hAnsi="Times New Roman" w:eastAsia="宋体" w:cs="Times New Roman"/>
                <w:i w:val="0"/>
                <w:iCs w:val="0"/>
                <w:color w:val="000000"/>
                <w:sz w:val="20"/>
                <w:szCs w:val="20"/>
                <w:highlight w:val="none"/>
                <w:u w:val="none"/>
              </w:rPr>
            </w:pPr>
          </w:p>
        </w:tc>
      </w:tr>
      <w:tr w14:paraId="5FE7D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958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0E4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AC5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A25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CE90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71B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BE32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37A3">
            <w:pPr>
              <w:jc w:val="right"/>
              <w:rPr>
                <w:rFonts w:hint="default" w:ascii="Times New Roman" w:hAnsi="Times New Roman" w:eastAsia="宋体" w:cs="Times New Roman"/>
                <w:i w:val="0"/>
                <w:iCs w:val="0"/>
                <w:color w:val="000000"/>
                <w:sz w:val="20"/>
                <w:szCs w:val="20"/>
                <w:highlight w:val="none"/>
                <w:u w:val="none"/>
              </w:rPr>
            </w:pPr>
          </w:p>
        </w:tc>
      </w:tr>
      <w:tr w14:paraId="64C01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BB3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DC4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1D8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A41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B33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2CF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26E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C0B26">
            <w:pPr>
              <w:jc w:val="right"/>
              <w:rPr>
                <w:rFonts w:hint="default" w:ascii="Times New Roman" w:hAnsi="Times New Roman" w:eastAsia="宋体" w:cs="Times New Roman"/>
                <w:i w:val="0"/>
                <w:iCs w:val="0"/>
                <w:color w:val="000000"/>
                <w:sz w:val="20"/>
                <w:szCs w:val="20"/>
                <w:highlight w:val="none"/>
                <w:u w:val="none"/>
              </w:rPr>
            </w:pPr>
          </w:p>
        </w:tc>
      </w:tr>
      <w:tr w14:paraId="140BA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7EF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7B4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FBC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B1BB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F70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99B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DE06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3DE77">
            <w:pPr>
              <w:jc w:val="right"/>
              <w:rPr>
                <w:rFonts w:hint="default" w:ascii="Times New Roman" w:hAnsi="Times New Roman" w:eastAsia="宋体" w:cs="Times New Roman"/>
                <w:i w:val="0"/>
                <w:iCs w:val="0"/>
                <w:color w:val="000000"/>
                <w:sz w:val="20"/>
                <w:szCs w:val="20"/>
                <w:highlight w:val="none"/>
                <w:u w:val="none"/>
              </w:rPr>
            </w:pPr>
          </w:p>
        </w:tc>
      </w:tr>
      <w:tr w14:paraId="3D02F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398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CD6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9C6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C88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8E0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003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FFF8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82397">
            <w:pPr>
              <w:jc w:val="right"/>
              <w:rPr>
                <w:rFonts w:hint="default" w:ascii="Times New Roman" w:hAnsi="Times New Roman" w:eastAsia="宋体" w:cs="Times New Roman"/>
                <w:i w:val="0"/>
                <w:iCs w:val="0"/>
                <w:color w:val="000000"/>
                <w:sz w:val="20"/>
                <w:szCs w:val="20"/>
                <w:highlight w:val="none"/>
                <w:u w:val="none"/>
              </w:rPr>
            </w:pPr>
          </w:p>
        </w:tc>
      </w:tr>
      <w:tr w14:paraId="4B0E8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A85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F3F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2E6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1B5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423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8960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2DAB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291B4">
            <w:pPr>
              <w:jc w:val="right"/>
              <w:rPr>
                <w:rFonts w:hint="default" w:ascii="Times New Roman" w:hAnsi="Times New Roman" w:eastAsia="宋体" w:cs="Times New Roman"/>
                <w:i w:val="0"/>
                <w:iCs w:val="0"/>
                <w:color w:val="000000"/>
                <w:sz w:val="20"/>
                <w:szCs w:val="20"/>
                <w:highlight w:val="none"/>
                <w:u w:val="none"/>
              </w:rPr>
            </w:pPr>
          </w:p>
        </w:tc>
      </w:tr>
      <w:tr w14:paraId="7EA9D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D875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1EF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B00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3A81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0B0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C4B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1FF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7F50E">
            <w:pPr>
              <w:jc w:val="right"/>
              <w:rPr>
                <w:rFonts w:hint="default" w:ascii="Times New Roman" w:hAnsi="Times New Roman" w:eastAsia="宋体" w:cs="Times New Roman"/>
                <w:i w:val="0"/>
                <w:iCs w:val="0"/>
                <w:color w:val="000000"/>
                <w:sz w:val="20"/>
                <w:szCs w:val="20"/>
                <w:highlight w:val="none"/>
                <w:u w:val="none"/>
              </w:rPr>
            </w:pPr>
          </w:p>
        </w:tc>
      </w:tr>
      <w:tr w14:paraId="5E24B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2C1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F71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9D6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A7D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11F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B5B3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1E9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E13A0">
            <w:pPr>
              <w:jc w:val="right"/>
              <w:rPr>
                <w:rFonts w:hint="default" w:ascii="Times New Roman" w:hAnsi="Times New Roman" w:eastAsia="宋体" w:cs="Times New Roman"/>
                <w:i w:val="0"/>
                <w:iCs w:val="0"/>
                <w:color w:val="000000"/>
                <w:sz w:val="20"/>
                <w:szCs w:val="20"/>
                <w:highlight w:val="none"/>
                <w:u w:val="none"/>
              </w:rPr>
            </w:pPr>
          </w:p>
        </w:tc>
      </w:tr>
      <w:tr w14:paraId="7CE52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9E0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8D9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F76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EDB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2FF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D54E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80DA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5F217">
            <w:pPr>
              <w:jc w:val="right"/>
              <w:rPr>
                <w:rFonts w:hint="default" w:ascii="Times New Roman" w:hAnsi="Times New Roman" w:eastAsia="宋体" w:cs="Times New Roman"/>
                <w:i w:val="0"/>
                <w:iCs w:val="0"/>
                <w:color w:val="000000"/>
                <w:sz w:val="20"/>
                <w:szCs w:val="20"/>
                <w:highlight w:val="none"/>
                <w:u w:val="none"/>
              </w:rPr>
            </w:pPr>
          </w:p>
        </w:tc>
      </w:tr>
      <w:tr w14:paraId="2771F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9646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ACB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B43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CEE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BA2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DA0D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80A8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C9227">
            <w:pPr>
              <w:jc w:val="right"/>
              <w:rPr>
                <w:rFonts w:hint="default" w:ascii="Times New Roman" w:hAnsi="Times New Roman" w:eastAsia="宋体" w:cs="Times New Roman"/>
                <w:i w:val="0"/>
                <w:iCs w:val="0"/>
                <w:color w:val="000000"/>
                <w:sz w:val="20"/>
                <w:szCs w:val="20"/>
                <w:highlight w:val="none"/>
                <w:u w:val="none"/>
              </w:rPr>
            </w:pPr>
          </w:p>
        </w:tc>
      </w:tr>
      <w:tr w14:paraId="0F31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4DE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145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F90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E6F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89D0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EAAC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8954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F6BF6">
            <w:pPr>
              <w:jc w:val="right"/>
              <w:rPr>
                <w:rFonts w:hint="default" w:ascii="Times New Roman" w:hAnsi="Times New Roman" w:eastAsia="宋体" w:cs="Times New Roman"/>
                <w:i w:val="0"/>
                <w:iCs w:val="0"/>
                <w:color w:val="000000"/>
                <w:sz w:val="20"/>
                <w:szCs w:val="20"/>
                <w:highlight w:val="none"/>
                <w:u w:val="none"/>
              </w:rPr>
            </w:pPr>
          </w:p>
        </w:tc>
      </w:tr>
      <w:tr w14:paraId="37C3E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E46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CBB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5D9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FFE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603C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7B17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7F1C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210A4">
            <w:pPr>
              <w:jc w:val="right"/>
              <w:rPr>
                <w:rFonts w:hint="default" w:ascii="Times New Roman" w:hAnsi="Times New Roman" w:eastAsia="宋体" w:cs="Times New Roman"/>
                <w:i w:val="0"/>
                <w:iCs w:val="0"/>
                <w:color w:val="000000"/>
                <w:sz w:val="20"/>
                <w:szCs w:val="20"/>
                <w:highlight w:val="none"/>
                <w:u w:val="none"/>
              </w:rPr>
            </w:pPr>
          </w:p>
        </w:tc>
      </w:tr>
      <w:tr w14:paraId="09DE1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923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3CC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463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D82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C0CE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6607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844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EC67C">
            <w:pPr>
              <w:jc w:val="right"/>
              <w:rPr>
                <w:rFonts w:hint="default" w:ascii="Times New Roman" w:hAnsi="Times New Roman" w:eastAsia="宋体" w:cs="Times New Roman"/>
                <w:i w:val="0"/>
                <w:iCs w:val="0"/>
                <w:color w:val="000000"/>
                <w:sz w:val="20"/>
                <w:szCs w:val="20"/>
                <w:highlight w:val="none"/>
                <w:u w:val="none"/>
              </w:rPr>
            </w:pPr>
          </w:p>
        </w:tc>
      </w:tr>
      <w:tr w14:paraId="79FB4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CE70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7A38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C7D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B9A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1FCC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8638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8CC2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618CD">
            <w:pPr>
              <w:jc w:val="right"/>
              <w:rPr>
                <w:rFonts w:hint="default" w:ascii="Times New Roman" w:hAnsi="Times New Roman" w:eastAsia="宋体" w:cs="Times New Roman"/>
                <w:i w:val="0"/>
                <w:iCs w:val="0"/>
                <w:color w:val="000000"/>
                <w:sz w:val="20"/>
                <w:szCs w:val="20"/>
                <w:highlight w:val="none"/>
                <w:u w:val="none"/>
              </w:rPr>
            </w:pPr>
          </w:p>
        </w:tc>
      </w:tr>
      <w:tr w14:paraId="7008B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DA2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DEB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383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691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5FB6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7FCD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902B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E0B6F">
            <w:pPr>
              <w:jc w:val="right"/>
              <w:rPr>
                <w:rFonts w:hint="default" w:ascii="Times New Roman" w:hAnsi="Times New Roman" w:eastAsia="宋体" w:cs="Times New Roman"/>
                <w:i w:val="0"/>
                <w:iCs w:val="0"/>
                <w:color w:val="000000"/>
                <w:sz w:val="20"/>
                <w:szCs w:val="20"/>
                <w:highlight w:val="none"/>
                <w:u w:val="none"/>
              </w:rPr>
            </w:pPr>
          </w:p>
        </w:tc>
      </w:tr>
      <w:tr w14:paraId="00370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9CE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29E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F1B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615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D59C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497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524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39B63">
            <w:pPr>
              <w:jc w:val="right"/>
              <w:rPr>
                <w:rFonts w:hint="default" w:ascii="Times New Roman" w:hAnsi="Times New Roman" w:eastAsia="宋体" w:cs="Times New Roman"/>
                <w:i w:val="0"/>
                <w:iCs w:val="0"/>
                <w:color w:val="000000"/>
                <w:sz w:val="20"/>
                <w:szCs w:val="20"/>
                <w:highlight w:val="none"/>
                <w:u w:val="none"/>
              </w:rPr>
            </w:pPr>
          </w:p>
        </w:tc>
      </w:tr>
      <w:tr w14:paraId="429D2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1129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612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F75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8ED2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5D2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779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3041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8853C">
            <w:pPr>
              <w:jc w:val="right"/>
              <w:rPr>
                <w:rFonts w:hint="default" w:ascii="Times New Roman" w:hAnsi="Times New Roman" w:eastAsia="宋体" w:cs="Times New Roman"/>
                <w:i w:val="0"/>
                <w:iCs w:val="0"/>
                <w:color w:val="000000"/>
                <w:sz w:val="20"/>
                <w:szCs w:val="20"/>
                <w:highlight w:val="none"/>
                <w:u w:val="none"/>
              </w:rPr>
            </w:pPr>
          </w:p>
        </w:tc>
      </w:tr>
      <w:tr w14:paraId="1AAD7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EBE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322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131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221F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9F9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8BF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1F3A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F0CC">
            <w:pPr>
              <w:jc w:val="right"/>
              <w:rPr>
                <w:rFonts w:hint="default" w:ascii="Times New Roman" w:hAnsi="Times New Roman" w:eastAsia="宋体" w:cs="Times New Roman"/>
                <w:i w:val="0"/>
                <w:iCs w:val="0"/>
                <w:color w:val="000000"/>
                <w:sz w:val="20"/>
                <w:szCs w:val="20"/>
                <w:highlight w:val="none"/>
                <w:u w:val="none"/>
              </w:rPr>
            </w:pPr>
          </w:p>
        </w:tc>
      </w:tr>
      <w:tr w14:paraId="3F167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AF1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7DC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C8D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2EE2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3E0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DB2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F356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C9D87">
            <w:pPr>
              <w:jc w:val="right"/>
              <w:rPr>
                <w:rFonts w:hint="default" w:ascii="Times New Roman" w:hAnsi="Times New Roman" w:eastAsia="宋体" w:cs="Times New Roman"/>
                <w:i w:val="0"/>
                <w:iCs w:val="0"/>
                <w:color w:val="000000"/>
                <w:sz w:val="20"/>
                <w:szCs w:val="20"/>
                <w:highlight w:val="none"/>
                <w:u w:val="none"/>
              </w:rPr>
            </w:pPr>
          </w:p>
        </w:tc>
      </w:tr>
      <w:tr w14:paraId="0D2D2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5B9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C8D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872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C116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455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27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FB77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3A7AC">
            <w:pPr>
              <w:jc w:val="right"/>
              <w:rPr>
                <w:rFonts w:hint="default" w:ascii="Times New Roman" w:hAnsi="Times New Roman" w:eastAsia="宋体" w:cs="Times New Roman"/>
                <w:i w:val="0"/>
                <w:iCs w:val="0"/>
                <w:color w:val="000000"/>
                <w:sz w:val="20"/>
                <w:szCs w:val="20"/>
                <w:highlight w:val="none"/>
                <w:u w:val="none"/>
              </w:rPr>
            </w:pPr>
          </w:p>
        </w:tc>
      </w:tr>
      <w:tr w14:paraId="7452B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DDA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C5B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6B0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2A42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9C8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52D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08CF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F22F0">
            <w:pPr>
              <w:jc w:val="right"/>
              <w:rPr>
                <w:rFonts w:hint="default" w:ascii="Times New Roman" w:hAnsi="Times New Roman" w:eastAsia="宋体" w:cs="Times New Roman"/>
                <w:i w:val="0"/>
                <w:iCs w:val="0"/>
                <w:color w:val="000000"/>
                <w:sz w:val="20"/>
                <w:szCs w:val="20"/>
                <w:highlight w:val="none"/>
                <w:u w:val="none"/>
              </w:rPr>
            </w:pPr>
          </w:p>
        </w:tc>
      </w:tr>
      <w:tr w14:paraId="3E824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5F2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7B2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2EE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25F7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8B3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0AF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130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FDDD6">
            <w:pPr>
              <w:jc w:val="right"/>
              <w:rPr>
                <w:rFonts w:hint="default" w:ascii="Times New Roman" w:hAnsi="Times New Roman" w:eastAsia="宋体" w:cs="Times New Roman"/>
                <w:i w:val="0"/>
                <w:iCs w:val="0"/>
                <w:color w:val="000000"/>
                <w:sz w:val="20"/>
                <w:szCs w:val="20"/>
                <w:highlight w:val="none"/>
                <w:u w:val="none"/>
              </w:rPr>
            </w:pPr>
          </w:p>
        </w:tc>
      </w:tr>
      <w:tr w14:paraId="0E179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02A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76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064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656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C612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4FA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5DD6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314D3">
            <w:pPr>
              <w:jc w:val="right"/>
              <w:rPr>
                <w:rFonts w:hint="default" w:ascii="Times New Roman" w:hAnsi="Times New Roman" w:eastAsia="宋体" w:cs="Times New Roman"/>
                <w:i w:val="0"/>
                <w:iCs w:val="0"/>
                <w:color w:val="000000"/>
                <w:sz w:val="20"/>
                <w:szCs w:val="20"/>
                <w:highlight w:val="none"/>
                <w:u w:val="none"/>
              </w:rPr>
            </w:pPr>
          </w:p>
        </w:tc>
      </w:tr>
      <w:tr w14:paraId="5E6C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3E4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A0C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76C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FCD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281D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B34C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3978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A200F">
            <w:pPr>
              <w:jc w:val="right"/>
              <w:rPr>
                <w:rFonts w:hint="default" w:ascii="Times New Roman" w:hAnsi="Times New Roman" w:eastAsia="宋体" w:cs="Times New Roman"/>
                <w:i w:val="0"/>
                <w:iCs w:val="0"/>
                <w:color w:val="000000"/>
                <w:sz w:val="20"/>
                <w:szCs w:val="20"/>
                <w:highlight w:val="none"/>
                <w:u w:val="none"/>
              </w:rPr>
            </w:pPr>
          </w:p>
        </w:tc>
      </w:tr>
      <w:tr w14:paraId="46DAF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435D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FC5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DB6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5EF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422B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88DA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A33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C4DAF">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部门（单位）：行唐县上方镇人民政府（本级）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1,298.18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795.99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398.11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398.11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36.90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36.90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1,298.18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1,433.47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1,298.18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8"/>
        <w:gridCol w:w="3405"/>
        <w:gridCol w:w="959"/>
        <w:gridCol w:w="520"/>
        <w:gridCol w:w="544"/>
        <w:gridCol w:w="377"/>
        <w:gridCol w:w="1234"/>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部门（单位）：行唐县上方镇人民政府（本级）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1,298.18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791.54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506.63</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795.99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103.52</w:t>
            </w:r>
          </w:p>
        </w:tc>
      </w:tr>
      <w:tr w14:paraId="5DFFF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D085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E04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7BC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791.79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70F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EBBB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r>
      <w:tr w14:paraId="422C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0A25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0DD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66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76D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692.47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73C5E9">
            <w:pPr>
              <w:jc w:val="right"/>
              <w:rPr>
                <w:rFonts w:hint="default" w:ascii="Times New Roman" w:hAnsi="Times New Roman" w:eastAsia="宋体" w:cs="Times New Roman"/>
                <w:i w:val="0"/>
                <w:iCs w:val="0"/>
                <w:color w:val="000000"/>
                <w:sz w:val="20"/>
                <w:szCs w:val="20"/>
                <w:highlight w:val="none"/>
                <w:u w:val="none"/>
              </w:rPr>
            </w:pPr>
          </w:p>
        </w:tc>
      </w:tr>
      <w:tr w14:paraId="6F65B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9854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5AC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3B3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5088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9282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99.32</w:t>
            </w:r>
          </w:p>
        </w:tc>
      </w:tr>
      <w:tr w14:paraId="15318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DF7E8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78A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5D4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AB3F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5F84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r>
      <w:tr w14:paraId="5718B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145D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781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836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299C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5DEA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w:t>
            </w:r>
          </w:p>
        </w:tc>
      </w:tr>
      <w:tr w14:paraId="04777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CDCF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530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6B6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8DD0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A6179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0EB53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AFBA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BF5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53F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2A0C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3DF4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4F4CF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6AC8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DAF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6CA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676E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DB1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034C1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CCD77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3B3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87C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FB0C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731D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0425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E42E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1DE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74F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85F2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BDF1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66A17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46D6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B0D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602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826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F663F4">
            <w:pPr>
              <w:jc w:val="right"/>
              <w:rPr>
                <w:rFonts w:hint="default" w:ascii="Times New Roman" w:hAnsi="Times New Roman" w:eastAsia="宋体" w:cs="Times New Roman"/>
                <w:i w:val="0"/>
                <w:iCs w:val="0"/>
                <w:color w:val="000000"/>
                <w:sz w:val="20"/>
                <w:szCs w:val="20"/>
                <w:highlight w:val="none"/>
                <w:u w:val="none"/>
              </w:rPr>
            </w:pPr>
          </w:p>
        </w:tc>
      </w:tr>
      <w:tr w14:paraId="6CA8F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05D5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6A6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DD2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6F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F6591D">
            <w:pPr>
              <w:jc w:val="right"/>
              <w:rPr>
                <w:rFonts w:hint="default" w:ascii="Times New Roman" w:hAnsi="Times New Roman" w:eastAsia="宋体" w:cs="Times New Roman"/>
                <w:i w:val="0"/>
                <w:iCs w:val="0"/>
                <w:color w:val="000000"/>
                <w:sz w:val="20"/>
                <w:szCs w:val="20"/>
                <w:highlight w:val="none"/>
                <w:u w:val="none"/>
              </w:rPr>
            </w:pPr>
          </w:p>
        </w:tc>
      </w:tr>
      <w:tr w14:paraId="64A59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0D11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060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28E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2BD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6A805A">
            <w:pPr>
              <w:jc w:val="right"/>
              <w:rPr>
                <w:rFonts w:hint="default" w:ascii="Times New Roman" w:hAnsi="Times New Roman" w:eastAsia="宋体" w:cs="Times New Roman"/>
                <w:i w:val="0"/>
                <w:iCs w:val="0"/>
                <w:color w:val="000000"/>
                <w:sz w:val="20"/>
                <w:szCs w:val="20"/>
                <w:highlight w:val="none"/>
                <w:u w:val="none"/>
              </w:rPr>
            </w:pPr>
          </w:p>
        </w:tc>
      </w:tr>
      <w:tr w14:paraId="0AD3D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7A908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63D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A48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577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BE3AAC">
            <w:pPr>
              <w:jc w:val="right"/>
              <w:rPr>
                <w:rFonts w:hint="default" w:ascii="Times New Roman" w:hAnsi="Times New Roman" w:eastAsia="宋体" w:cs="Times New Roman"/>
                <w:i w:val="0"/>
                <w:iCs w:val="0"/>
                <w:color w:val="000000"/>
                <w:sz w:val="20"/>
                <w:szCs w:val="20"/>
                <w:highlight w:val="none"/>
                <w:u w:val="none"/>
              </w:rPr>
            </w:pPr>
          </w:p>
        </w:tc>
      </w:tr>
      <w:tr w14:paraId="60E8B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7E3B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9D7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6E6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6D0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660B10">
            <w:pPr>
              <w:jc w:val="right"/>
              <w:rPr>
                <w:rFonts w:hint="default" w:ascii="Times New Roman" w:hAnsi="Times New Roman" w:eastAsia="宋体" w:cs="Times New Roman"/>
                <w:i w:val="0"/>
                <w:iCs w:val="0"/>
                <w:color w:val="000000"/>
                <w:sz w:val="20"/>
                <w:szCs w:val="20"/>
                <w:highlight w:val="none"/>
                <w:u w:val="none"/>
              </w:rPr>
            </w:pPr>
          </w:p>
        </w:tc>
      </w:tr>
      <w:tr w14:paraId="71987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5834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C25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F78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CC6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3E0154">
            <w:pPr>
              <w:jc w:val="right"/>
              <w:rPr>
                <w:rFonts w:hint="default" w:ascii="Times New Roman" w:hAnsi="Times New Roman" w:eastAsia="宋体" w:cs="Times New Roman"/>
                <w:i w:val="0"/>
                <w:iCs w:val="0"/>
                <w:color w:val="000000"/>
                <w:sz w:val="20"/>
                <w:szCs w:val="20"/>
                <w:highlight w:val="none"/>
                <w:u w:val="none"/>
              </w:rPr>
            </w:pPr>
          </w:p>
        </w:tc>
      </w:tr>
      <w:tr w14:paraId="5A0DD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0408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F7D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DB1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C4E8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E247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r>
      <w:tr w14:paraId="556A5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E526B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49F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FB2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F2DC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77DC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r>
      <w:tr w14:paraId="2FFE9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9CF61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3D0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779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3817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BE8E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398.11</w:t>
            </w:r>
          </w:p>
        </w:tc>
      </w:tr>
      <w:tr w14:paraId="2707C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22C05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438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8B2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01F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9AB396">
            <w:pPr>
              <w:jc w:val="right"/>
              <w:rPr>
                <w:rFonts w:hint="default" w:ascii="Times New Roman" w:hAnsi="Times New Roman" w:eastAsia="宋体" w:cs="Times New Roman"/>
                <w:i w:val="0"/>
                <w:iCs w:val="0"/>
                <w:color w:val="000000"/>
                <w:sz w:val="20"/>
                <w:szCs w:val="20"/>
                <w:highlight w:val="none"/>
                <w:u w:val="none"/>
              </w:rPr>
            </w:pPr>
          </w:p>
        </w:tc>
      </w:tr>
      <w:tr w14:paraId="6B372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C4348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16B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9C1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F8D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13BCAD">
            <w:pPr>
              <w:jc w:val="right"/>
              <w:rPr>
                <w:rFonts w:hint="default" w:ascii="Times New Roman" w:hAnsi="Times New Roman" w:eastAsia="宋体" w:cs="Times New Roman"/>
                <w:i w:val="0"/>
                <w:iCs w:val="0"/>
                <w:color w:val="000000"/>
                <w:sz w:val="20"/>
                <w:szCs w:val="20"/>
                <w:highlight w:val="none"/>
                <w:u w:val="none"/>
              </w:rPr>
            </w:pPr>
          </w:p>
        </w:tc>
      </w:tr>
      <w:tr w14:paraId="078A4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7D216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0DF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39C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306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7527D5">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部门（单位）：行唐县上方镇人民政府（本级）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700.66</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70.06</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240.61</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9.54</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115.48</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26.76</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167.59</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12.89</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59.24</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2.31</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8.02</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28.58</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4.02</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50.35</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20.82</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12.31</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8.52</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4.60</w:t>
            </w: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0.17</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8.32</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2.23</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721.48</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70.06</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部门（单位）：行唐县上方镇人民政府（本级）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135.29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135.29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135.29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25E20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821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B4C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3FDDD">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909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7CC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0BA4E">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2B2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CA664">
            <w:pPr>
              <w:jc w:val="right"/>
              <w:rPr>
                <w:rFonts w:hint="default" w:ascii="Times New Roman" w:hAnsi="Times New Roman" w:eastAsia="宋体" w:cs="Times New Roman"/>
                <w:i w:val="0"/>
                <w:iCs w:val="0"/>
                <w:color w:val="000000"/>
                <w:sz w:val="20"/>
                <w:szCs w:val="20"/>
                <w:highlight w:val="none"/>
                <w:u w:val="none"/>
              </w:rPr>
            </w:pPr>
          </w:p>
        </w:tc>
      </w:tr>
      <w:tr w14:paraId="53675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664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933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DA9C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5FA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CC1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703C3">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308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135.29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510C4">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部门（单位）：行唐县上方镇人民政府（本级）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部门（单位）：行唐县上方镇人民政府（本级）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10.93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10.40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10.40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0.53</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8.32</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8.32</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8.32</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661CCD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7CEDC6D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009A9A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本单位2025年度收、支总计（含结转和结余）均为1,433.47万元。与2024年度决算相比，收支各减少314.15万元，下降18.0%，主要原因是</w:t>
      </w:r>
      <w:r>
        <w:rPr>
          <w:rFonts w:hint="eastAsia" w:ascii="Times New Roman" w:eastAsia="仿宋_GB2312"/>
          <w:b w:val="0"/>
          <w:sz w:val="32"/>
          <w:szCs w:val="32"/>
        </w:rPr>
        <w:t>减少了耕地占用税</w:t>
      </w:r>
      <w:r>
        <w:rPr>
          <w:rFonts w:hint="eastAsia" w:ascii="Times New Roman" w:eastAsia="仿宋_GB2312"/>
          <w:b w:val="0"/>
          <w:sz w:val="32"/>
          <w:szCs w:val="32"/>
          <w:lang w:eastAsia="zh-CN"/>
        </w:rPr>
        <w:t>项目</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4C133C8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69913E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1,433.47万元，其中：财政拨款收入1,433.47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69EF89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3640C1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本单位2025年度本年支出合计1,433.47万元，其中：基本支出791.54万元，占55.2%；项目支出641.92万元，占44.8%；经营支出0.00万元，占0.0%；上缴上级支出0.00万元，占0.0%；对附属单位补助支出0.00万元，占0.0%。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225FF6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0D98E1B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01E16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本单位2025年度财政拨款收、支总计（含结转和结余）均为1,433.47万元。与2024年度相比，财政拨款收支各减少314.15万元，降低18.0%，主要原因是</w:t>
      </w:r>
      <w:r>
        <w:rPr>
          <w:rFonts w:hint="eastAsia" w:ascii="Times New Roman" w:eastAsia="仿宋_GB2312"/>
          <w:b w:val="0"/>
          <w:sz w:val="32"/>
          <w:szCs w:val="32"/>
        </w:rPr>
        <w:t>减少了耕地占用税</w:t>
      </w:r>
      <w:r>
        <w:rPr>
          <w:rFonts w:hint="eastAsia" w:ascii="Times New Roman" w:eastAsia="仿宋_GB2312"/>
          <w:b w:val="0"/>
          <w:sz w:val="32"/>
          <w:szCs w:val="32"/>
          <w:lang w:eastAsia="zh-CN"/>
        </w:rPr>
        <w:t>项目</w:t>
      </w:r>
      <w:r>
        <w:rPr>
          <w:rFonts w:ascii="Times New Roman" w:eastAsia="仿宋_GB2312"/>
          <w:b w:val="0"/>
          <w:sz w:val="32"/>
          <w:szCs w:val="32"/>
        </w:rPr>
        <w:t>。</w:t>
      </w:r>
    </w:p>
    <w:p w14:paraId="245736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本单位2025年度财政拨款本年收入1,433.47万元,比上年减少314.15万元，降低18.0%，主要原因是；本年支出1,433.47万元，比上年减少314.15万元，降低18.0%，主要原因是</w:t>
      </w:r>
      <w:r>
        <w:rPr>
          <w:rFonts w:hint="eastAsia" w:ascii="Times New Roman" w:eastAsia="仿宋_GB2312"/>
          <w:b w:val="0"/>
          <w:sz w:val="32"/>
          <w:szCs w:val="32"/>
        </w:rPr>
        <w:t>减少了耕地占用税</w:t>
      </w:r>
      <w:r>
        <w:rPr>
          <w:rFonts w:hint="eastAsia" w:ascii="Times New Roman" w:eastAsia="仿宋_GB2312"/>
          <w:b w:val="0"/>
          <w:sz w:val="32"/>
          <w:szCs w:val="32"/>
          <w:lang w:eastAsia="zh-CN"/>
        </w:rPr>
        <w:t>项目</w:t>
      </w:r>
      <w:r>
        <w:rPr>
          <w:rFonts w:ascii="Times New Roman" w:eastAsia="仿宋_GB2312"/>
          <w:b w:val="0"/>
          <w:sz w:val="32"/>
          <w:szCs w:val="32"/>
        </w:rPr>
        <w:t>。具体情况如下：</w:t>
      </w:r>
    </w:p>
    <w:p w14:paraId="2AF2D1F3">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一般公共预算财政拨款本年收入1,298.18万元,比上年减少449.44万元，降低25.7%，主要原因是；本年支出1,298.18万元，比上年减少449.44万元，降低25.7%，主要原因是</w:t>
      </w:r>
      <w:r>
        <w:rPr>
          <w:rFonts w:hint="eastAsia" w:ascii="Times New Roman" w:eastAsia="仿宋_GB2312"/>
          <w:b w:val="0"/>
          <w:sz w:val="32"/>
          <w:szCs w:val="32"/>
        </w:rPr>
        <w:t>减少了耕地占用税</w:t>
      </w:r>
      <w:r>
        <w:rPr>
          <w:rFonts w:hint="eastAsia" w:ascii="Times New Roman" w:eastAsia="仿宋_GB2312"/>
          <w:b w:val="0"/>
          <w:sz w:val="32"/>
          <w:szCs w:val="32"/>
          <w:lang w:eastAsia="zh-CN"/>
        </w:rPr>
        <w:t>项目</w:t>
      </w:r>
      <w:r>
        <w:rPr>
          <w:rFonts w:ascii="Times New Roman" w:eastAsia="仿宋_GB2312"/>
          <w:b w:val="0"/>
          <w:sz w:val="32"/>
          <w:szCs w:val="32"/>
        </w:rPr>
        <w:t>。</w:t>
      </w:r>
    </w:p>
    <w:p w14:paraId="2341C3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政府性基金预算财政拨款本年收入135.29万元，比上年增加135.29万元，增长100.00%，主要原因是；本年支出135.29万元，比上年增加135.29万元，增长100.00%，主要原因是</w:t>
      </w:r>
      <w:r>
        <w:rPr>
          <w:rFonts w:hint="eastAsia" w:ascii="Times New Roman" w:eastAsia="仿宋_GB2312"/>
          <w:b w:val="0"/>
          <w:sz w:val="32"/>
          <w:szCs w:val="32"/>
          <w:lang w:eastAsia="zh-CN"/>
        </w:rPr>
        <w:t>增加了正繁公路综合整治占地补偿项目</w:t>
      </w:r>
      <w:r>
        <w:rPr>
          <w:rFonts w:ascii="Times New Roman" w:eastAsia="仿宋_GB2312"/>
          <w:b w:val="0"/>
          <w:sz w:val="32"/>
          <w:szCs w:val="32"/>
        </w:rPr>
        <w:t>。</w:t>
      </w:r>
    </w:p>
    <w:p w14:paraId="1C1C79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r>
        <w:rPr>
          <w:rFonts w:hint="eastAsia" w:ascii="Times New Roman" w:eastAsia="仿宋_GB2312"/>
          <w:b w:val="0"/>
          <w:sz w:val="32"/>
          <w:szCs w:val="32"/>
          <w:lang w:eastAsia="zh-CN"/>
        </w:rPr>
        <w:t>未发生此项收入</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C28456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CCD97B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1,433.47万元，完成年初预算的105.0%，比年初预算增加68.10万元，决算数大于预算数主要原因是；本年支出1,433.47万元，完成年初预算的105.0%，比年初预算增加68.10万元，决算数大于预算数主要原因是</w:t>
      </w:r>
      <w:r>
        <w:rPr>
          <w:rFonts w:hint="eastAsia" w:ascii="Times New Roman" w:eastAsia="仿宋_GB2312"/>
          <w:b w:val="0"/>
          <w:sz w:val="32"/>
          <w:szCs w:val="32"/>
          <w:lang w:eastAsia="zh-CN"/>
        </w:rPr>
        <w:t>增加了正繁公路综合整治占地补偿项目</w:t>
      </w:r>
      <w:r>
        <w:rPr>
          <w:rFonts w:ascii="Times New Roman" w:eastAsia="仿宋_GB2312"/>
          <w:b w:val="0"/>
          <w:sz w:val="32"/>
          <w:szCs w:val="32"/>
        </w:rPr>
        <w:t>。具体情况如下：</w:t>
      </w:r>
    </w:p>
    <w:p w14:paraId="780E18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一般公共预算财政拨款本年收入完成年初预算的104.7%，比年初预算增加58.45万元，主要原因是；支出完成年初预算的104.7%，比年初预算增加58.45万元，主要原因是</w:t>
      </w:r>
      <w:r>
        <w:rPr>
          <w:rFonts w:hint="eastAsia" w:ascii="Times New Roman" w:eastAsia="仿宋_GB2312"/>
          <w:b w:val="0"/>
          <w:sz w:val="32"/>
          <w:szCs w:val="32"/>
          <w:lang w:eastAsia="zh-CN"/>
        </w:rPr>
        <w:t>人员增加</w:t>
      </w:r>
      <w:r>
        <w:rPr>
          <w:rFonts w:ascii="Times New Roman" w:eastAsia="仿宋_GB2312"/>
          <w:b w:val="0"/>
          <w:sz w:val="32"/>
          <w:szCs w:val="32"/>
        </w:rPr>
        <w:t>。</w:t>
      </w:r>
    </w:p>
    <w:p w14:paraId="5773C6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政府性基金预算财政拨款本年收入完成年初预算的107.7%，比年初预算增加9.65万元，主要原因是；支出完成年初预算的107.7%，比年初预算增加9.65万元，主要原因是</w:t>
      </w:r>
      <w:r>
        <w:rPr>
          <w:rFonts w:hint="eastAsia" w:ascii="Times New Roman" w:eastAsia="仿宋_GB2312"/>
          <w:b w:val="0"/>
          <w:sz w:val="32"/>
          <w:szCs w:val="32"/>
          <w:lang w:eastAsia="zh-CN"/>
        </w:rPr>
        <w:t>增加了正繁公路综合整治占地补偿项目</w:t>
      </w:r>
      <w:r>
        <w:rPr>
          <w:rFonts w:ascii="Times New Roman" w:eastAsia="仿宋_GB2312"/>
          <w:b w:val="0"/>
          <w:sz w:val="32"/>
          <w:szCs w:val="32"/>
        </w:rPr>
        <w:t>。</w:t>
      </w:r>
    </w:p>
    <w:p w14:paraId="1174B4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r>
        <w:rPr>
          <w:rFonts w:hint="eastAsia" w:ascii="Times New Roman" w:eastAsia="仿宋_GB2312"/>
          <w:b w:val="0"/>
          <w:sz w:val="32"/>
          <w:szCs w:val="32"/>
          <w:lang w:eastAsia="zh-CN"/>
        </w:rPr>
        <w:t>未发生此项支出</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C0578D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50F11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2025年度财政拨款支出1,433.47万元，主要用于以下方面：</w:t>
      </w:r>
    </w:p>
    <w:p w14:paraId="39A4F0F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57F7A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一般公共服务（类）支出795.99万元，占55.5%，主要用于一般公共服务（类）支出等支出；文化旅游体育与传媒（类）支出5.00万元，占0.3%，主要用于文化旅游体育与传媒（类）支出等支出；社会保障和就业 （类）支出43.20万元，占3.0%，主要用于社会保障和就业 （类）支出等支出；卫生健康（类）支出18.97万元，占1.3%，主要用于卫生健康（类）支出等支出；农林水（类）支出398.11万元，占27.8%，主要用于卫生健康（类）支出等支出；住房保障（类）支出36.90万元，占2.6%，主要用于住房保障（类）支出等支出；</w:t>
      </w:r>
    </w:p>
    <w:p w14:paraId="01FB26D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2617ABD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城乡社区（类）支出135.29万元，占9.4%，主要用于城乡社区（类）支出等支出；</w:t>
      </w:r>
    </w:p>
    <w:p w14:paraId="7B79756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2E2CA3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rPr>
        <w:t>未发生国有资本经营预算财政拨款支出。</w:t>
      </w:r>
    </w:p>
    <w:p w14:paraId="12CF447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3C1E1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2025年度财政拨款基本支出791.54万元，其中：</w:t>
      </w:r>
    </w:p>
    <w:p w14:paraId="4B3A571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人员经费721.48万元，主要包括基本工资、津贴补贴、奖金、绩效工资、机关事业部门基本养老保险缴费、职业年金缴费、职工基本医疗保险缴费、住房公积金、其他社会保障缴费、其他工资福利支出、 退休费、 抚恤金、生活补助、其他对个人和家庭的补助支出。</w:t>
      </w:r>
    </w:p>
    <w:p w14:paraId="1BED98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公用经费70.06万元，主要包括</w:t>
      </w:r>
      <w:r>
        <w:rPr>
          <w:rFonts w:hint="eastAsia" w:ascii="Times New Roman" w:eastAsia="仿宋_GB2312"/>
          <w:b w:val="0"/>
          <w:sz w:val="32"/>
          <w:szCs w:val="32"/>
        </w:rPr>
        <w:t>办公费、印刷费、电费、邮电费、维修（护）费、租赁费、劳务费、委托业务费、工会经费、福利费、公务用车运行维护费、其他交通费用、其他商品和服务支出。</w:t>
      </w:r>
    </w:p>
    <w:p w14:paraId="0877613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E2B601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61558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本单位2025年度“三公”经费财政拨款支出预算为10.93万元，支出决算为8.32万元，完成预算的76.1%，较预算减少2.61万元，降低23.9%，主要原因是；较2024年度决算减少0.01万元，降低0.1%，主要原因是</w:t>
      </w:r>
      <w:r>
        <w:rPr>
          <w:rFonts w:hint="eastAsia" w:ascii="Times New Roman" w:eastAsia="仿宋_GB2312"/>
          <w:b w:val="0"/>
          <w:sz w:val="32"/>
          <w:szCs w:val="32"/>
        </w:rPr>
        <w:t>厉行节约，严格公车管理制度</w:t>
      </w:r>
      <w:r>
        <w:rPr>
          <w:rFonts w:ascii="Times New Roman" w:eastAsia="仿宋_GB2312"/>
          <w:b w:val="0"/>
          <w:sz w:val="32"/>
          <w:szCs w:val="32"/>
        </w:rPr>
        <w:t>。</w:t>
      </w:r>
    </w:p>
    <w:p w14:paraId="3352A7E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326C1A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无本部门组织的出国（境）团组。</w:t>
      </w:r>
    </w:p>
    <w:p w14:paraId="0BE990E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本单位2025年度公务用车购置及运行维护费预算为10.40万元，支出决算8.32万元，完成预算的80.0%,较预算减少2.08万元，降低20.0%,主要原因是；较上年减少0.01万元，降低0.1%,主要原因是。其中</w:t>
      </w:r>
      <w:r>
        <w:rPr>
          <w:rFonts w:hint="eastAsia" w:ascii="Times New Roman" w:eastAsia="仿宋_GB2312"/>
          <w:b w:val="0"/>
          <w:sz w:val="32"/>
          <w:szCs w:val="32"/>
        </w:rPr>
        <w:t>厉行节约，严格公车管理制度</w:t>
      </w:r>
      <w:r>
        <w:rPr>
          <w:rFonts w:ascii="Times New Roman" w:eastAsia="仿宋_GB2312"/>
          <w:b w:val="0"/>
          <w:sz w:val="32"/>
          <w:szCs w:val="32"/>
        </w:rPr>
        <w:t>：</w:t>
      </w:r>
    </w:p>
    <w:p w14:paraId="0D976E28">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w:t>
      </w:r>
      <w:r>
        <w:rPr>
          <w:rFonts w:hint="eastAsia" w:ascii="Times New Roman" w:eastAsia="仿宋_GB2312"/>
          <w:b w:val="0"/>
          <w:sz w:val="32"/>
          <w:szCs w:val="32"/>
        </w:rPr>
        <w:t>公公务用车购置费支出较预算持平，主要是未发生“公务用车购置”经费支出；较上年持平，主要是未发生“公务用车购置”经费支出。</w:t>
      </w:r>
    </w:p>
    <w:p w14:paraId="20793EC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公务用车运行维护费支出8.32万元：</w:t>
      </w:r>
      <w:r>
        <w:rPr>
          <w:rFonts w:ascii="Times New Roman" w:eastAsia="仿宋_GB2312"/>
          <w:b w:val="0"/>
          <w:sz w:val="32"/>
          <w:szCs w:val="32"/>
        </w:rPr>
        <w:t>本单位2025年度单位公务用车保有量4辆，发生运行维护费支出8.32万元。公车运行维护费支出较预算减少2.08万元，降低20.0%,主要原因是；较上年减少0.01万元，降低0.1%，主要原因是</w:t>
      </w:r>
      <w:r>
        <w:rPr>
          <w:rFonts w:hint="eastAsia" w:ascii="Times New Roman" w:eastAsia="仿宋_GB2312"/>
          <w:b w:val="0"/>
          <w:sz w:val="32"/>
          <w:szCs w:val="32"/>
        </w:rPr>
        <w:t>厉行节约，严格公车管理制度</w:t>
      </w:r>
      <w:r>
        <w:rPr>
          <w:rFonts w:ascii="Times New Roman" w:eastAsia="仿宋_GB2312"/>
          <w:b w:val="0"/>
          <w:sz w:val="32"/>
          <w:szCs w:val="32"/>
        </w:rPr>
        <w:t>。</w:t>
      </w:r>
    </w:p>
    <w:p w14:paraId="486E67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本单位2025年度公务接待费支出预算为0.53万元，支出决算0.00万元，完成预算的0.0%。公务接待费支出较预算减少0.53万元，降低100.0%,主要原因是</w:t>
      </w:r>
      <w:r>
        <w:rPr>
          <w:rFonts w:hint="eastAsia" w:ascii="Times New Roman" w:eastAsia="仿宋_GB2312"/>
          <w:b w:val="0"/>
          <w:sz w:val="32"/>
          <w:szCs w:val="32"/>
        </w:rPr>
        <w:t>未发生“公务接待”经费支出；较上年度增加0.00万元，增长0.00%,主要原因是未发生“公务接待”经费支出。本年度共发生公务接待0批次、0人次。</w:t>
      </w:r>
    </w:p>
    <w:p w14:paraId="216F8B8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294E69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本单位2025年度机关运行经费支出70.06万元，较2024年度增加4.90万元，增长7.5%。主要原因是</w:t>
      </w:r>
      <w:r>
        <w:rPr>
          <w:rFonts w:hint="eastAsia" w:ascii="Times New Roman" w:eastAsia="仿宋_GB2312"/>
          <w:b w:val="0"/>
          <w:sz w:val="32"/>
          <w:szCs w:val="32"/>
          <w:lang w:eastAsia="zh-CN"/>
        </w:rPr>
        <w:t>增加了</w:t>
      </w:r>
      <w:r>
        <w:rPr>
          <w:rFonts w:hint="eastAsia" w:ascii="Times New Roman" w:eastAsia="仿宋_GB2312"/>
          <w:b w:val="0"/>
          <w:sz w:val="32"/>
          <w:szCs w:val="32"/>
        </w:rPr>
        <w:t>拆违等事项</w:t>
      </w:r>
      <w:r>
        <w:rPr>
          <w:rFonts w:ascii="Times New Roman" w:eastAsia="仿宋_GB2312"/>
          <w:b w:val="0"/>
          <w:sz w:val="32"/>
          <w:szCs w:val="32"/>
        </w:rPr>
        <w:t>。</w:t>
      </w:r>
    </w:p>
    <w:p w14:paraId="2BEBA0A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07617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24C5ECF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1E1705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10辆，比上年增加0辆，主要是。其中，副部（省）级及以上领导用车0辆，主要负责人用车0辆，机要通信用车0辆，应急保障用车3辆，执法执勤用车0辆，特种专业技术用车1辆，离退休干部用车0辆，其他用车6辆，其他用车主要是。单位价值100万元（含）以上设备（不含车辆）0台（套）。</w:t>
      </w:r>
    </w:p>
    <w:p w14:paraId="22CA317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45DB5D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1F85F3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w:t>
      </w:r>
      <w:r>
        <w:rPr>
          <w:rFonts w:hint="eastAsia" w:ascii="Times New Roman" w:eastAsia="仿宋_GB2312"/>
          <w:b w:val="0"/>
          <w:sz w:val="32"/>
          <w:szCs w:val="32"/>
          <w:lang w:val="en-US" w:eastAsia="zh-CN"/>
        </w:rPr>
        <w:t>5</w:t>
      </w:r>
      <w:r>
        <w:rPr>
          <w:rFonts w:ascii="Times New Roman" w:eastAsia="仿宋_GB2312"/>
          <w:b w:val="0"/>
          <w:sz w:val="32"/>
          <w:szCs w:val="32"/>
        </w:rPr>
        <w:t>年度本级预算项目支出全面开展绩效自评，共涉及资金</w:t>
      </w:r>
      <w:r>
        <w:rPr>
          <w:rFonts w:hint="eastAsia" w:ascii="Times New Roman" w:eastAsia="仿宋_GB2312"/>
          <w:b w:val="0"/>
          <w:sz w:val="32"/>
          <w:szCs w:val="32"/>
          <w:lang w:val="en-US" w:eastAsia="zh-CN"/>
        </w:rPr>
        <w:t>641.93</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23</w:t>
      </w:r>
      <w:r>
        <w:rPr>
          <w:rFonts w:ascii="Times New Roman" w:eastAsia="仿宋_GB2312"/>
          <w:b w:val="0"/>
          <w:sz w:val="32"/>
          <w:szCs w:val="32"/>
        </w:rPr>
        <w:t>个，涉及资金</w:t>
      </w:r>
      <w:r>
        <w:rPr>
          <w:rFonts w:hint="eastAsia" w:ascii="Times New Roman" w:eastAsia="仿宋_GB2312"/>
          <w:b w:val="0"/>
          <w:sz w:val="32"/>
          <w:szCs w:val="32"/>
          <w:lang w:val="en-US" w:eastAsia="zh-CN"/>
        </w:rPr>
        <w:t>506.34</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3</w:t>
      </w:r>
      <w:r>
        <w:rPr>
          <w:rFonts w:ascii="Times New Roman" w:eastAsia="仿宋_GB2312"/>
          <w:b w:val="0"/>
          <w:sz w:val="32"/>
          <w:szCs w:val="32"/>
        </w:rPr>
        <w:t>个，涉及资金</w:t>
      </w:r>
      <w:r>
        <w:rPr>
          <w:rFonts w:hint="eastAsia" w:ascii="Times New Roman" w:eastAsia="仿宋_GB2312"/>
          <w:b w:val="0"/>
          <w:sz w:val="32"/>
          <w:szCs w:val="32"/>
          <w:lang w:val="en-US" w:eastAsia="zh-CN"/>
        </w:rPr>
        <w:t>135.29</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6A5C7F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rPr>
        <w:t>村干部基本报酬</w:t>
      </w:r>
      <w:r>
        <w:rPr>
          <w:rFonts w:ascii="Times New Roman" w:eastAsia="仿宋_GB2312"/>
          <w:b w:val="0"/>
          <w:sz w:val="32"/>
          <w:szCs w:val="32"/>
        </w:rPr>
        <w:t>等</w:t>
      </w:r>
      <w:r>
        <w:rPr>
          <w:rFonts w:hint="eastAsia" w:ascii="Times New Roman" w:eastAsia="仿宋_GB2312"/>
          <w:b w:val="0"/>
          <w:sz w:val="32"/>
          <w:szCs w:val="32"/>
          <w:lang w:val="en-US" w:eastAsia="zh-CN"/>
        </w:rPr>
        <w:t>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97.39</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w:t>
      </w:r>
      <w:bookmarkStart w:id="0" w:name="_GoBack"/>
      <w:bookmarkEnd w:id="0"/>
      <w:r>
        <w:rPr>
          <w:rFonts w:ascii="Times New Roman" w:eastAsia="仿宋_GB2312"/>
          <w:b w:val="0"/>
          <w:sz w:val="32"/>
          <w:szCs w:val="32"/>
        </w:rPr>
        <w:t>。</w:t>
      </w:r>
    </w:p>
    <w:p w14:paraId="3C0285D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3619C3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本部门在今年部门决算公开中反映等</w:t>
      </w:r>
      <w:r>
        <w:rPr>
          <w:rFonts w:hint="eastAsia" w:ascii="Times New Roman" w:eastAsia="仿宋_GB2312"/>
          <w:b w:val="0"/>
          <w:sz w:val="32"/>
          <w:szCs w:val="32"/>
          <w:lang w:val="en-US" w:eastAsia="zh-CN"/>
        </w:rPr>
        <w:t>2</w:t>
      </w:r>
      <w:r>
        <w:rPr>
          <w:rFonts w:ascii="Times New Roman" w:eastAsia="仿宋_GB2312"/>
          <w:b w:val="0"/>
          <w:sz w:val="32"/>
          <w:szCs w:val="32"/>
        </w:rPr>
        <w:t>个项目绩效自评结果。</w:t>
      </w:r>
    </w:p>
    <w:p w14:paraId="4FA8ECF8">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ascii="Times New Roman" w:eastAsia="仿宋_GB2312"/>
          <w:b w:val="0"/>
          <w:sz w:val="32"/>
          <w:szCs w:val="32"/>
        </w:rPr>
        <w:t>项目绩效自评情况：根据年初设定的绩效目标，项目绩效自评得分为分（绩效自评表附后）。全年预算数为</w:t>
      </w:r>
      <w:r>
        <w:rPr>
          <w:rFonts w:hint="eastAsia" w:ascii="Times New Roman" w:eastAsia="仿宋_GB2312"/>
          <w:b w:val="0"/>
          <w:sz w:val="32"/>
          <w:szCs w:val="32"/>
          <w:lang w:val="en-US" w:eastAsia="zh-CN"/>
        </w:rPr>
        <w:t>97.39</w:t>
      </w:r>
      <w:r>
        <w:rPr>
          <w:rFonts w:ascii="Times New Roman" w:eastAsia="仿宋_GB2312"/>
          <w:b w:val="0"/>
          <w:sz w:val="32"/>
          <w:szCs w:val="32"/>
        </w:rPr>
        <w:t>万元，执行数为</w:t>
      </w:r>
      <w:r>
        <w:rPr>
          <w:rFonts w:hint="eastAsia" w:ascii="Times New Roman" w:eastAsia="仿宋_GB2312"/>
          <w:b w:val="0"/>
          <w:sz w:val="32"/>
          <w:szCs w:val="32"/>
          <w:lang w:val="en-US" w:eastAsia="zh-CN"/>
        </w:rPr>
        <w:t>97.39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eastAsia" w:ascii="Times New Roman" w:eastAsia="仿宋_GB2312"/>
          <w:b w:val="0"/>
          <w:sz w:val="32"/>
          <w:szCs w:val="32"/>
        </w:rPr>
        <w:t>项目绩效目标完成情况：一是补贴发放人数等于年初设定目标；二是补贴发放覆盖率达100.0%。发现的主要问题及原因：一是补贴发放及时性存在欠缺；二是对预算项目的重视度存在不足。下一步改进措施：一是及时发放村干部生活补贴；二是激励村干部工作热情、确保各项工作顺利进行。</w:t>
      </w:r>
    </w:p>
    <w:p w14:paraId="421A78F7">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59450" cy="5215255"/>
            <wp:effectExtent l="0" t="0" r="12700" b="444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9"/>
                    <a:stretch>
                      <a:fillRect/>
                    </a:stretch>
                  </pic:blipFill>
                  <pic:spPr>
                    <a:xfrm>
                      <a:off x="0" y="0"/>
                      <a:ext cx="5759450" cy="5215255"/>
                    </a:xfrm>
                    <a:prstGeom prst="rect">
                      <a:avLst/>
                    </a:prstGeom>
                  </pic:spPr>
                </pic:pic>
              </a:graphicData>
            </a:graphic>
          </wp:inline>
        </w:drawing>
      </w:r>
    </w:p>
    <w:p w14:paraId="45F3534C">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服务群众专项经费项目自评综述：根据年初设定的绩效目标，服务群众专项经费项目绩效自评得分为98分（绩效自评表附后）。全年预算数为100万元，执行数为100万元，完成预算的100.0%。项目绩效目标完成情况：一是进行人居环境整治村数等于年初设定数；二是卫生清理覆盖率达98.0%。发现的主要问题及原因：一是资金支出不及时；二是支出准确性存在欠缺。下一步改进措施：一是我镇将加强预算支出力度，确保资金及时拨付到位；二是保证资金支出的准确性。</w:t>
      </w:r>
    </w:p>
    <w:p w14:paraId="701F090A">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drawing>
          <wp:inline distT="0" distB="0" distL="114300" distR="114300">
            <wp:extent cx="5755005" cy="5922645"/>
            <wp:effectExtent l="0" t="0" r="17145" b="1905"/>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20"/>
                    <a:stretch>
                      <a:fillRect/>
                    </a:stretch>
                  </pic:blipFill>
                  <pic:spPr>
                    <a:xfrm>
                      <a:off x="0" y="0"/>
                      <a:ext cx="5755005" cy="5922645"/>
                    </a:xfrm>
                    <a:prstGeom prst="rect">
                      <a:avLst/>
                    </a:prstGeom>
                  </pic:spPr>
                </pic:pic>
              </a:graphicData>
            </a:graphic>
          </wp:inline>
        </w:drawing>
      </w:r>
    </w:p>
    <w:p w14:paraId="0974F0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7BC96CA9">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根据部门职责定位和各项工作履职情况进行综合评价，总得分98分，部门整体支出综合绩效评价分为优秀等级。</w:t>
      </w:r>
    </w:p>
    <w:p w14:paraId="3E8D4FBA">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EE0B0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8AB62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68F77D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566192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6F4093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7EF3E0C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CCC83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D3D9DF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6708C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C823B8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5A7556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8EA7B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33336E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3390AC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22C414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A1F77A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604B678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4A1EB3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54F5C4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66C83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A8360A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AB4325C-2149-4762-8397-2772F3467991}"/>
  </w:font>
  <w:font w:name="黑体">
    <w:panose1 w:val="02010609060101010101"/>
    <w:charset w:val="86"/>
    <w:family w:val="auto"/>
    <w:pitch w:val="default"/>
    <w:sig w:usb0="800002BF" w:usb1="38CF7CFA" w:usb2="00000016" w:usb3="00000000" w:csb0="00040001" w:csb1="00000000"/>
    <w:embedRegular r:id="rId2" w:fontKey="{75D6AF96-6227-472D-8CB9-0973A8876FC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9C972B5-235C-461C-8605-C620EDFD09C4}"/>
  </w:font>
  <w:font w:name="仿宋">
    <w:panose1 w:val="02010609060101010101"/>
    <w:charset w:val="86"/>
    <w:family w:val="modern"/>
    <w:pitch w:val="default"/>
    <w:sig w:usb0="800002BF" w:usb1="38CF7CFA" w:usb2="00000016" w:usb3="00000000" w:csb0="00040001" w:csb1="00000000"/>
    <w:embedRegular r:id="rId4" w:fontKey="{5DBC408D-F6C2-43C3-BDAE-694B7D06AB1F}"/>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7B3EBBD2-5586-46FA-9EFC-0A8B9BF3A8D7}"/>
  </w:font>
  <w:font w:name="楷体_GB2312">
    <w:panose1 w:val="02010609030101010101"/>
    <w:charset w:val="86"/>
    <w:family w:val="auto"/>
    <w:pitch w:val="default"/>
    <w:sig w:usb0="00000001" w:usb1="080E0000" w:usb2="00000000" w:usb3="00000000" w:csb0="00040000" w:csb1="00000000"/>
    <w:embedRegular r:id="rId6" w:fontKey="{95D66D11-7E3C-4EF3-8C5F-C9BA83369932}"/>
  </w:font>
  <w:font w:name="微软雅黑">
    <w:panose1 w:val="020B0503020204020204"/>
    <w:charset w:val="86"/>
    <w:family w:val="auto"/>
    <w:pitch w:val="default"/>
    <w:sig w:usb0="80000287" w:usb1="2ACF3C50" w:usb2="00000016" w:usb3="00000000" w:csb0="0004001F" w:csb1="00000000"/>
    <w:embedRegular r:id="rId7" w:fontKey="{7C20382A-A52E-4A23-A255-511FAA90FABE}"/>
  </w:font>
  <w:font w:name="方正小标宋_GBK">
    <w:panose1 w:val="02000000000000000000"/>
    <w:charset w:val="86"/>
    <w:family w:val="script"/>
    <w:pitch w:val="default"/>
    <w:sig w:usb0="A00002BF" w:usb1="38CF7CFA" w:usb2="00082016" w:usb3="00000000" w:csb0="00040001" w:csb1="00000000"/>
    <w:embedRegular r:id="rId8" w:fontKey="{72BBEC91-89D4-456C-88BE-D97157E3674C}"/>
  </w:font>
  <w:font w:name="仿宋_GB2312">
    <w:panose1 w:val="02010609030101010101"/>
    <w:charset w:val="86"/>
    <w:family w:val="auto"/>
    <w:pitch w:val="default"/>
    <w:sig w:usb0="00000001" w:usb1="080E0000" w:usb2="00000000" w:usb3="00000000" w:csb0="00040000" w:csb1="00000000"/>
    <w:embedRegular r:id="rId9" w:fontKey="{37B27817-7462-436D-9640-1977B15AFEE2}"/>
  </w:font>
  <w:font w:name="ArialUnicodeMS">
    <w:altName w:val="Malgun Gothic"/>
    <w:panose1 w:val="00000000000000000000"/>
    <w:charset w:val="81"/>
    <w:family w:val="auto"/>
    <w:pitch w:val="default"/>
    <w:sig w:usb0="00000000" w:usb1="00000000" w:usb2="00000010" w:usb3="00000000" w:csb0="00080001" w:csb1="00000000"/>
    <w:embedRegular r:id="rId10" w:fontKey="{5F559061-B0AA-49F6-BB6C-F710F66BB352}"/>
  </w:font>
  <w:font w:name="Malgun Gothic">
    <w:panose1 w:val="020B0503020000020004"/>
    <w:charset w:val="81"/>
    <w:family w:val="auto"/>
    <w:pitch w:val="default"/>
    <w:sig w:usb0="9000002F" w:usb1="29D77CFB" w:usb2="00000012" w:usb3="00000000" w:csb0="00080001"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43760">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08767">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46B6B">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78AA">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C40D24"/>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6927"/>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CD0BD4"/>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2333C"/>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1433.47</c:v>
                </c:pt>
                <c:pt idx="1">
                  <c:v>1747.62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14334662.89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7915442.58</c:v>
                </c:pt>
                <c:pt idx="1">
                  <c:v>6419220.31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1747.62</c:v>
                </c:pt>
                <c:pt idx="1">
                  <c:v>1747.62</c:v>
                </c:pt>
                <c:pt idx="2">
                  <c:v>1747.62</c:v>
                </c:pt>
                <c:pt idx="3">
                  <c:v>1747.62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1433.47</c:v>
                </c:pt>
                <c:pt idx="1">
                  <c:v>1433.47</c:v>
                </c:pt>
                <c:pt idx="2">
                  <c:v>1298.18</c:v>
                </c:pt>
                <c:pt idx="3">
                  <c:v>1298.18</c:v>
                </c:pt>
                <c:pt idx="4">
                  <c:v>135.29</c:v>
                </c:pt>
                <c:pt idx="5">
                  <c:v>135.29</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1365.37</c:v>
                </c:pt>
                <c:pt idx="1">
                  <c:v>1365.37</c:v>
                </c:pt>
                <c:pt idx="2">
                  <c:v>1239.73</c:v>
                </c:pt>
                <c:pt idx="3">
                  <c:v>1239.73</c:v>
                </c:pt>
                <c:pt idx="4">
                  <c:v>125.64</c:v>
                </c:pt>
                <c:pt idx="5">
                  <c:v>125.64</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1433.47</c:v>
                </c:pt>
                <c:pt idx="1">
                  <c:v>1433.47</c:v>
                </c:pt>
                <c:pt idx="2">
                  <c:v>1298.18</c:v>
                </c:pt>
                <c:pt idx="3">
                  <c:v>1298.18</c:v>
                </c:pt>
                <c:pt idx="4">
                  <c:v>135.29</c:v>
                </c:pt>
                <c:pt idx="5">
                  <c:v>135.29</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43</Pages>
  <Words>4528</Words>
  <Characters>6276</Characters>
  <Lines>86</Lines>
  <Paragraphs>24</Paragraphs>
  <TotalTime>0</TotalTime>
  <ScaleCrop>false</ScaleCrop>
  <LinksUpToDate>false</LinksUpToDate>
  <CharactersWithSpaces>6687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2026-09-15T03:39:32Z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69DC0AA478684998880EE42A2FD39615_13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