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XbLP3tgAAAAKAQAADwAAAAAA&#10;AAABACAAAAAiAAAAZHJzL2Rvd25yZXYueG1sUEsBAhQAFAAAAAgAh07iQCBW79PaAQAAgAMAAA4A&#10;AAAAAAAAAQAgAAAAJwEAAGRycy9lMm9Eb2MueG1sUEsFBgAAAAAGAAYAWQEAAHMFAAAAAA==&#10;">
                <v:fill on="f" focussize="0,0"/>
                <v:stroke on="f"/>
                <v:imagedata o:title=""/>
                <o:lock v:ext="edit" aspectratio="f"/>
                <v:textbox>
                  <w:txbxContent>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348001</w:t>
      </w:r>
    </w:p>
    <w:p>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rPr>
        <w:t>单位名称</w:t>
      </w:r>
      <w:r>
        <w:rPr>
          <w:rFonts w:hint="eastAsia" w:ascii="楷体_GB2312" w:hAnsi="楷体_GB2312" w:eastAsia="楷体_GB2312" w:cs="楷体_GB2312"/>
          <w:color w:val="000000"/>
          <w:sz w:val="40"/>
          <w:szCs w:val="40"/>
        </w:rPr>
        <w:t>：行唐县交通运输局(本级)</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行唐县交通运输局(本级)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行唐县交通运输局(本级)(单位名称，加盖公章）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二〇二五年八月</w:t>
      </w:r>
    </w:p>
    <w:p>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line="600" w:lineRule="exact"/>
        <w:jc w:val="left"/>
        <w:rPr>
          <w:rFonts w:ascii="黑体" w:hAnsi="黑体" w:eastAsia="黑体" w:cs="黑体"/>
          <w:bCs/>
          <w:sz w:val="32"/>
          <w:szCs w:val="32"/>
        </w:rPr>
      </w:pPr>
    </w:p>
    <w:p>
      <w:pPr>
        <w:tabs>
          <w:tab w:val="left" w:pos="2728"/>
        </w:tabs>
        <w:jc w:val="center"/>
        <w:rPr>
          <w:rFonts w:ascii="黑体" w:hAnsi="Times New Roman" w:eastAsia="黑体" w:cs="Times New Roman"/>
          <w:sz w:val="48"/>
          <w:szCs w:val="48"/>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   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   单位概况</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 xml:space="preserve">认真贯彻执行上级有关交通运输行业的发展战略和法律法规。 </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会同有关部门编制全县综合运输体系发展规划并组织实施。协调规划全县综合运输体系建设，组织协调相关运输方式的合理布局和有效衔接；建立完善交通运输行业联运服务体系；拟订全县公路建设、城市公共交通建设和道路（含水路，下同）运输中长期发展规划，拟订县域内公路建设与养护年度指令性计划并组织实施；负责交通运输枢纽规划和管理。</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承担全县公路建设市场监管责任。负责全县公路的规划、建设 、养护、管理，依法维护路产路权、保护公路设施；依法查处超限运输车辆；负责交通运输工程建设、工程质量和安全生产的监管；负责全县交通基本建设项目招投标活动的监督管理；配合做好国防交通有关工作。</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承担道路运输市场监管责任。负责道路运输经营、道路运输相关业务和城市公共交通等行业管理工作；依法保护和支持合法经营，取缔非法运输；负责城乡客运及有关设施规划和管理。</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承担管辖水域水上交通安全监管责任。负责全县渔船检验和监督管理工作，会同有关部门，依法组织或参与事故调查处理。</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负责提出全县交通运输行业固定资产投资规模和方向、县财政性资金安排意见；负责监督县本级交通运输系统国有资产经营管理工作；负责全县交通运输资金的管理、使用和投资开发工作；指导负责交通系统内部审计工作；承担交通运输行业财政预算资金的绩效监督和管理工作。</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 xml:space="preserve">制订全县交通运输行业科技发展规划，组织行业科技创新应用，推动行业科技进步。负责交通运输行业信息化建设，监测分析运行情况，开展相关统计工作。指导交通运输行业环境保护和节能减排。 </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 xml:space="preserve">负责全县交通运输综合行政执法和队伍建设有关工作；统筹协调交通运输综合行政执法工作；负责交通运输行业体制改革工作。 </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负责交通运输系统安全生产和应急管理工作；按规定组织协调国家、省、市、县重点物资和紧急客货运输。</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推进京津冀协同发展交通一体化工作。</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指导各乡镇交通运输相关工作。</w:t>
      </w:r>
    </w:p>
    <w:p>
      <w:pPr>
        <w:pStyle w:val="10"/>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left"/>
        <w:rPr>
          <w:rFonts w:hint="default" w:ascii="仿宋_GB2312" w:hAnsi="仿宋_GB2312" w:eastAsia="仿宋_GB2312" w:cs="仿宋_GB2312"/>
          <w:i w:val="0"/>
          <w:iCs w:val="0"/>
          <w:caps w:val="0"/>
          <w:color w:val="auto"/>
          <w:spacing w:val="0"/>
          <w:sz w:val="32"/>
          <w:szCs w:val="32"/>
          <w:highlight w:val="none"/>
          <w:shd w:val="clear" w:fill="FFFFFF"/>
        </w:rPr>
      </w:pPr>
      <w:r>
        <w:rPr>
          <w:rFonts w:hint="default" w:ascii="仿宋_GB2312" w:hAnsi="仿宋_GB2312" w:eastAsia="仿宋_GB2312" w:cs="仿宋_GB2312"/>
          <w:i w:val="0"/>
          <w:iCs w:val="0"/>
          <w:caps w:val="0"/>
          <w:color w:val="auto"/>
          <w:spacing w:val="0"/>
          <w:sz w:val="32"/>
          <w:szCs w:val="32"/>
          <w:highlight w:val="none"/>
          <w:shd w:val="clear" w:fill="FFFFFF"/>
        </w:rPr>
        <w:t>完成县委、县政府交办的其他任务。</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从决算编报单位构成看，纳入2024年度本部门决算汇编范围的独立核算单位（以下简称“单位”）共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行唐县交通运输局(本级)</w:t>
            </w:r>
          </w:p>
        </w:tc>
        <w:tc>
          <w:tcPr>
            <w:tcW w:w="2445" w:type="dxa"/>
          </w:tcPr>
          <w:p>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   </w:t>
      </w:r>
      <w:r>
        <w:rPr>
          <w:rFonts w:ascii="Times New Roman" w:eastAsia="仿宋_GB2312"/>
          <w:b w:val="0"/>
          <w:sz w:val="44"/>
          <w:szCs w:val="44"/>
        </w:rPr>
        <w:t>2024</w:t>
      </w:r>
      <w:r>
        <w:rPr>
          <w:rFonts w:ascii="Times New Roman" w:eastAsia="黑体"/>
          <w:b w:val="0"/>
          <w:sz w:val="44"/>
          <w:szCs w:val="44"/>
        </w:rPr>
        <w:t>年度部门决算表</w:t>
      </w: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317"/>
        <w:gridCol w:w="1628"/>
        <w:gridCol w:w="1547"/>
        <w:gridCol w:w="624"/>
        <w:gridCol w:w="1928"/>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auto" w:sz="4"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部门（单位）：行唐县交通运输局(本级)</w:t>
            </w:r>
          </w:p>
        </w:tc>
        <w:tc>
          <w:tcPr>
            <w:tcW w:w="2945" w:type="dxa"/>
            <w:gridSpan w:val="2"/>
            <w:tcBorders>
              <w:top w:val="nil"/>
              <w:left w:val="nil"/>
              <w:bottom w:val="single" w:color="auto" w:sz="4"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auto" w:sz="4"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898" w:type="dxa"/>
            <w:gridSpan w:val="4"/>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727" w:type="dxa"/>
            <w:gridSpan w:val="4"/>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92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928"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92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928"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5,366.74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auto"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928" w:type="dxa"/>
            <w:gridSpan w:val="2"/>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auto"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928" w:type="dxa"/>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92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92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92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92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92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92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92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92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92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192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928"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92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auto"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928" w:type="dxa"/>
            <w:gridSpan w:val="2"/>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928" w:type="dxa"/>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928"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317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9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部门（单位）：行唐县交通运输局(本级)                                                                                                         </w:t>
            </w:r>
          </w:p>
        </w:tc>
        <w:tc>
          <w:tcPr>
            <w:tcW w:w="3405" w:type="dxa"/>
            <w:gridSpan w:val="4"/>
            <w:tcBorders>
              <w:top w:val="nil"/>
              <w:left w:val="nil"/>
              <w:bottom w:val="single" w:color="auto" w:sz="4"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7,853.23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7,853.23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130.00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1,849.49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1,849.49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1,849.49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1,849.49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2130504</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1,849.49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1,849.49</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交通运输支出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5,366.74</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5,366.74</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公路水路运输</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4,659.17</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4,659.17</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2140101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2,092.57</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2,092.57</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2140102</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1,719.61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1,719.61</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2140106</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公路养护</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21499</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其他交通运输支出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707.57</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707.57</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2149901</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公共交通运营补助</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244.33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244.33</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2149999</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其他交通运输支出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463.24</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463.24</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22407</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自然灾害救灾及恢复重建支出</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2240703</w:t>
            </w:r>
          </w:p>
        </w:tc>
        <w:tc>
          <w:tcPr>
            <w:tcW w:w="1160"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自然灾害救灾补助</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507.00</w:t>
            </w:r>
          </w:p>
        </w:tc>
        <w:tc>
          <w:tcPr>
            <w:tcW w:w="103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部门（单位）：行唐县交通运输局(本级)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2,092.57</w:t>
            </w: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5,760.66</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2130504</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5,366.74</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3,274.17</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4,659.17</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2,566.61</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2140101</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2140102</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1,719.61</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1,719.61</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2140106</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21499</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707.57</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707.57</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2149901</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公共交通运营补助</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244.33</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244.33</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2149999</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463.24</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463.24</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22407</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自然灾害救灾及恢复重建支出</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2240703</w:t>
            </w:r>
          </w:p>
        </w:tc>
        <w:tc>
          <w:tcPr>
            <w:tcW w:w="1187" w:type="dxa"/>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自然灾害救灾补助</w:t>
            </w:r>
          </w:p>
        </w:tc>
        <w:tc>
          <w:tcPr>
            <w:tcW w:w="1128"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1126"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auto" w:sz="4"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部门（单位）：行唐县交通运输局(本级)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auto" w:sz="4"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auto" w:sz="4"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nil"/>
              <w:left w:val="nil"/>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left w:val="nil"/>
              <w:bottom w:val="single" w:color="000000" w:sz="4" w:space="0"/>
              <w:right w:val="single" w:color="000000"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nil"/>
              <w:left w:val="nil"/>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nil"/>
              <w:left w:val="nil"/>
              <w:bottom w:val="single" w:color="000000" w:sz="4" w:space="0"/>
              <w:right w:val="single" w:color="000000"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130.00</w:t>
            </w: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130.00</w:t>
            </w: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auto"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auto"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nil"/>
              <w:left w:val="nil"/>
              <w:bottom w:val="single" w:color="auto"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1,849.49</w:t>
            </w:r>
          </w:p>
        </w:tc>
        <w:tc>
          <w:tcPr>
            <w:tcW w:w="1219" w:type="dxa"/>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1,849.49</w:t>
            </w:r>
          </w:p>
        </w:tc>
        <w:tc>
          <w:tcPr>
            <w:tcW w:w="1219" w:type="dxa"/>
            <w:tcBorders>
              <w:top w:val="nil"/>
              <w:left w:val="nil"/>
              <w:bottom w:val="single" w:color="auto"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auto"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5,366.74</w:t>
            </w: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5,366.74</w:t>
            </w: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507.00</w:t>
            </w: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507.00</w:t>
            </w: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auto"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auto" w:sz="4" w:space="0"/>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nil"/>
              <w:left w:val="nil"/>
              <w:bottom w:val="single" w:color="000000" w:sz="4" w:space="0"/>
              <w:right w:val="single" w:color="000000"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4" w:space="0"/>
              <w:right w:val="single" w:color="000000"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nil"/>
              <w:left w:val="single" w:color="000000" w:sz="4" w:space="0"/>
              <w:bottom w:val="single" w:color="000000" w:sz="8"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2098" w:type="dxa"/>
            <w:gridSpan w:val="2"/>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nil"/>
              <w:left w:val="nil"/>
              <w:bottom w:val="single" w:color="000000" w:sz="8"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1219" w:type="dxa"/>
            <w:tcBorders>
              <w:top w:val="nil"/>
              <w:left w:val="nil"/>
              <w:bottom w:val="single" w:color="000000" w:sz="8" w:space="0"/>
              <w:right w:val="single" w:color="000000" w:sz="4"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7,853.23</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nil"/>
              <w:left w:val="nil"/>
              <w:bottom w:val="single" w:color="000000" w:sz="8" w:space="0"/>
              <w:right w:val="single" w:color="000000"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9"/>
        <w:gridCol w:w="1329"/>
        <w:gridCol w:w="705"/>
        <w:gridCol w:w="1305"/>
        <w:gridCol w:w="1366"/>
        <w:gridCol w:w="645"/>
        <w:gridCol w:w="21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3273" w:type="dxa"/>
            <w:gridSpan w:val="3"/>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编制部门（单位）：行唐县交通运输局(本级)</w:t>
            </w:r>
          </w:p>
        </w:tc>
        <w:tc>
          <w:tcPr>
            <w:tcW w:w="2671" w:type="dxa"/>
            <w:gridSpan w:val="2"/>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53" w:type="dxa"/>
            <w:gridSpan w:val="2"/>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56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129" w:type="dxa"/>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123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29"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010"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011"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08"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1239"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29"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0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01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08"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1239"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329"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010"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011" w:type="dxa"/>
            <w:gridSpan w:val="2"/>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2108" w:type="dxa"/>
            <w:vMerge w:val="continue"/>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56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2108"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568"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7,853.23</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2,092.57</w:t>
            </w: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5,760.66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2130504</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1,849.49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交通运输支出</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5,366.74</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3,274.17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公路水路运输</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4,659.17</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2,566.61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2140101</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2,092.57</w:t>
            </w: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2140102</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1,719.61</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1,719.61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2140106</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公路养护</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847.00</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21499</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707.57</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707.57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2149901</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公共交通运营补助</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244.33</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244.33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2149999</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其他交通运输支出</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463.24</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463.24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22407</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自然灾害救灾及恢复重建支出</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23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2240703</w:t>
            </w:r>
          </w:p>
        </w:tc>
        <w:tc>
          <w:tcPr>
            <w:tcW w:w="1329"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自然灾害救灾补助</w:t>
            </w:r>
          </w:p>
        </w:tc>
        <w:tc>
          <w:tcPr>
            <w:tcW w:w="2010"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c>
          <w:tcPr>
            <w:tcW w:w="2011"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108"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auto" w:sz="4"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338" w:type="dxa"/>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trPr>
        <w:tc>
          <w:tcPr>
            <w:tcW w:w="11338"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338"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5200" w:type="dxa"/>
            <w:gridSpan w:val="5"/>
            <w:tcBorders>
              <w:top w:val="nil"/>
              <w:left w:val="nil"/>
              <w:bottom w:val="single" w:color="auto" w:sz="4" w:space="0"/>
              <w:right w:val="nil"/>
            </w:tcBorders>
            <w:noWrap/>
            <w:vAlign w:val="bottom"/>
          </w:tcPr>
          <w:p>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部门（单位）：行唐县交通运输局(本级)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1963" w:type="dxa"/>
            <w:gridSpan w:val="2"/>
            <w:tcBorders>
              <w:top w:val="nil"/>
              <w:left w:val="nil"/>
              <w:bottom w:val="single" w:color="auto" w:sz="4" w:space="0"/>
              <w:right w:val="nil"/>
            </w:tcBorders>
            <w:noWrap/>
            <w:vAlign w:val="bottom"/>
          </w:tcPr>
          <w:p>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175" w:type="dxa"/>
            <w:gridSpan w:val="4"/>
            <w:tcBorders>
              <w:top w:val="nil"/>
              <w:left w:val="nil"/>
              <w:bottom w:val="single" w:color="auto" w:sz="4" w:space="0"/>
              <w:right w:val="nil"/>
            </w:tcBorders>
            <w:noWrap/>
            <w:vAlign w:val="bottom"/>
          </w:tcPr>
          <w:p>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3798"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7540" w:type="dxa"/>
            <w:gridSpan w:val="8"/>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10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9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9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102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1,426.17</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105.71</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655.29</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19.64</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8.94</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3.45</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317.47</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0.94</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机关事业单位基本养老保险缴费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173.45</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2.03</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3.35</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2.03</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89.22</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19.73</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12.36</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162.65</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24.39</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560.68</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530.52</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30.16</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6.92</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2.92</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13.36</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5.79</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7.95</w:t>
            </w: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964" w:type="dxa"/>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p>
        </w:tc>
        <w:tc>
          <w:tcPr>
            <w:tcW w:w="181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020"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181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eastAsia" w:asciiTheme="minorEastAsia" w:hAnsiTheme="minorEastAsia" w:eastAsiaTheme="minorEastAsia" w:cstheme="minorEastAsia"/>
                <w:i w:val="0"/>
                <w:iCs w:val="0"/>
                <w:color w:val="000000"/>
                <w:sz w:val="18"/>
                <w:szCs w:val="18"/>
                <w:highlight w:val="none"/>
                <w:u w:val="none"/>
              </w:rPr>
            </w:pPr>
          </w:p>
        </w:tc>
        <w:tc>
          <w:tcPr>
            <w:tcW w:w="964" w:type="dxa"/>
            <w:gridSpan w:val="2"/>
            <w:tcBorders>
              <w:top w:val="single" w:color="auto" w:sz="4" w:space="0"/>
              <w:left w:val="single" w:color="auto" w:sz="4" w:space="0"/>
              <w:bottom w:val="single" w:color="auto" w:sz="4" w:space="0"/>
              <w:right w:val="single" w:color="auto" w:sz="4" w:space="0"/>
            </w:tcBorders>
            <w:noWrap/>
            <w:vAlign w:val="center"/>
          </w:tcPr>
          <w:p>
            <w:pPr>
              <w:jc w:val="left"/>
              <w:rPr>
                <w:rFonts w:hint="default" w:ascii="Times New Roman" w:hAnsi="Times New Roman" w:cs="Times New Roman" w:eastAsiaTheme="minorEastAsia"/>
                <w:i w:val="0"/>
                <w:iCs w:val="0"/>
                <w:color w:val="000000"/>
                <w:sz w:val="18"/>
                <w:szCs w:val="18"/>
                <w:highlight w:val="none"/>
                <w:u w:val="none"/>
              </w:rPr>
            </w:pPr>
          </w:p>
        </w:tc>
        <w:tc>
          <w:tcPr>
            <w:tcW w:w="96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1814"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778" w:type="dxa"/>
            <w:gridSpan w:val="2"/>
            <w:tcBorders>
              <w:top w:val="single" w:color="auto" w:sz="4" w:space="0"/>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1,986.86</w:t>
            </w:r>
          </w:p>
        </w:tc>
        <w:tc>
          <w:tcPr>
            <w:tcW w:w="6520" w:type="dxa"/>
            <w:gridSpan w:val="7"/>
            <w:tcBorders>
              <w:top w:val="single" w:color="auto" w:sz="4" w:space="0"/>
              <w:left w:val="single" w:color="auto" w:sz="4" w:space="0"/>
              <w:bottom w:val="single" w:color="auto" w:sz="4" w:space="0"/>
              <w:right w:val="single" w:color="auto" w:sz="4" w:space="0"/>
            </w:tcBorders>
            <w:noWrap/>
            <w:vAlign w:val="center"/>
          </w:tcPr>
          <w:p>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1020" w:type="dxa"/>
            <w:tcBorders>
              <w:top w:val="single" w:color="auto" w:sz="4" w:space="0"/>
              <w:left w:val="single" w:color="auto" w:sz="4" w:space="0"/>
              <w:bottom w:val="single" w:color="auto" w:sz="4" w:space="0"/>
              <w:right w:val="single" w:color="auto" w:sz="4" w:space="0"/>
            </w:tcBorders>
            <w:noWrap/>
            <w:vAlign w:val="center"/>
          </w:tcPr>
          <w:p>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105.71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11338" w:type="dxa"/>
            <w:gridSpan w:val="11"/>
            <w:tcBorders>
              <w:top w:val="single" w:color="auto" w:sz="4" w:space="0"/>
              <w:left w:val="nil"/>
              <w:bottom w:val="nil"/>
              <w:right w:val="nil"/>
            </w:tcBorders>
            <w:noWrap/>
            <w:vAlign w:val="center"/>
          </w:tcPr>
          <w:p>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部门（单位）：行唐县交通运输局(本级)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auto" w:sz="4" w:space="0"/>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auto" w:sz="4" w:space="0"/>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nil"/>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nil"/>
              <w:left w:val="nil"/>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left w:val="nil"/>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nil"/>
              <w:left w:val="single" w:color="000000"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left w:val="nil"/>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nil"/>
              <w:left w:val="single" w:color="000000" w:sz="4" w:space="0"/>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nil"/>
              <w:left w:val="nil"/>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nil"/>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nil"/>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nil"/>
              <w:left w:val="single" w:color="auto"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nil"/>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auto" w:sz="4"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部门（单位）：行唐县交通运输局(本级)</w:t>
            </w:r>
          </w:p>
        </w:tc>
        <w:tc>
          <w:tcPr>
            <w:tcW w:w="2680" w:type="dxa"/>
            <w:gridSpan w:val="4"/>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auto"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left w:val="single" w:color="auto"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nil"/>
              <w:left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nil"/>
              <w:left w:val="nil"/>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nil"/>
              <w:left w:val="nil"/>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auto" w:sz="4" w:space="0"/>
              <w:left w:val="single" w:color="auto" w:sz="4" w:space="0"/>
              <w:bottom w:val="single" w:color="auto"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auto" w:sz="4" w:space="0"/>
              <w:left w:val="nil"/>
              <w:bottom w:val="single" w:color="auto" w:sz="4" w:space="0"/>
              <w:right w:val="single" w:color="auto"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left w:val="single" w:color="auto" w:sz="4" w:space="0"/>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left w:val="nil"/>
              <w:bottom w:val="single" w:color="000000" w:sz="4"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auto" w:sz="4" w:space="0"/>
              <w:left w:val="single" w:color="auto" w:sz="4" w:space="0"/>
              <w:bottom w:val="single" w:color="000000" w:sz="4" w:space="0"/>
              <w:right w:val="single" w:color="auto"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nil"/>
              <w:left w:val="single" w:color="auto"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sz="4" w:space="0"/>
              <w:left w:val="single" w:color="000000" w:sz="4" w:space="0"/>
              <w:bottom w:val="single" w:color="000000" w:sz="4" w:space="0"/>
              <w:right w:val="single" w:color="000000" w:sz="4"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sz="4" w:space="0"/>
              <w:left w:val="single" w:color="000000" w:sz="4" w:space="0"/>
              <w:bottom w:val="single" w:color="000000" w:sz="4"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auto" w:sz="4"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部门（单位）：行唐县交通运输局(本级)</w:t>
            </w:r>
          </w:p>
        </w:tc>
        <w:tc>
          <w:tcPr>
            <w:tcW w:w="2166" w:type="dxa"/>
            <w:gridSpan w:val="3"/>
            <w:tcBorders>
              <w:top w:val="nil"/>
              <w:left w:val="nil"/>
              <w:bottom w:val="single" w:color="auto" w:sz="4"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auto" w:sz="4"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auto" w:sz="4" w:space="0"/>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nil"/>
              <w:left w:val="single" w:color="000000" w:sz="4" w:space="0"/>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nil"/>
              <w:left w:val="nil"/>
              <w:bottom w:val="single" w:color="000000" w:sz="4" w:space="0"/>
              <w:right w:val="single" w:color="000000" w:sz="4"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nil"/>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nil"/>
              <w:left w:val="nil"/>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nil"/>
              <w:left w:val="single" w:color="000000" w:sz="4" w:space="0"/>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16.88</w:t>
            </w:r>
          </w:p>
        </w:tc>
        <w:tc>
          <w:tcPr>
            <w:tcW w:w="122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15.60</w:t>
            </w:r>
          </w:p>
        </w:tc>
        <w:tc>
          <w:tcPr>
            <w:tcW w:w="94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15.60</w:t>
            </w:r>
          </w:p>
        </w:tc>
        <w:tc>
          <w:tcPr>
            <w:tcW w:w="77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1.28</w:t>
            </w:r>
          </w:p>
        </w:tc>
        <w:tc>
          <w:tcPr>
            <w:tcW w:w="850" w:type="dxa"/>
            <w:gridSpan w:val="2"/>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13.36</w:t>
            </w:r>
          </w:p>
        </w:tc>
        <w:tc>
          <w:tcPr>
            <w:tcW w:w="1133"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13.36</w:t>
            </w:r>
          </w:p>
        </w:tc>
        <w:tc>
          <w:tcPr>
            <w:tcW w:w="102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13.36</w:t>
            </w:r>
          </w:p>
        </w:tc>
        <w:tc>
          <w:tcPr>
            <w:tcW w:w="1187" w:type="dxa"/>
            <w:tcBorders>
              <w:top w:val="nil"/>
              <w:left w:val="nil"/>
              <w:bottom w:val="single" w:color="000000" w:sz="4" w:space="0"/>
              <w:right w:val="single" w:color="000000" w:sz="4"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cs="宋体" w:asciiTheme="minorHAnsi" w:hAnsiTheme="minorHAnsi" w:eastAsiaTheme="minorEastAsia"/>
          <w:color w:val="auto"/>
          <w:kern w:val="0"/>
          <w:sz w:val="24"/>
          <w:szCs w:val="24"/>
          <w:lang w:val="en-US" w:eastAsia="zh-CN" w:bidi="ar-SA"/>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   </w:t>
      </w:r>
      <w:r>
        <w:rPr>
          <w:rFonts w:ascii="Times New Roman" w:eastAsia="仿宋_GB2312"/>
          <w:b w:val="0"/>
          <w:sz w:val="44"/>
          <w:szCs w:val="44"/>
        </w:rPr>
        <w:t>2024</w:t>
      </w:r>
      <w:r>
        <w:rPr>
          <w:rFonts w:ascii="Times New Roman" w:eastAsia="黑体"/>
          <w:b w:val="0"/>
          <w:sz w:val="44"/>
          <w:szCs w:val="44"/>
        </w:rPr>
        <w:t>年度部门决算情况说明</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本单位2024年度收、支总计（含结转和结余）均为7,853.23万元。与2023年度决算相比，收支各减少3,263.24万元，下降29.4%，主要原因是</w:t>
      </w:r>
      <w:r>
        <w:rPr>
          <w:rFonts w:hint="eastAsia" w:ascii="Times New Roman" w:hAnsi="Times New Roman" w:eastAsia="仿宋_GB2312" w:cs="Times New Roman"/>
          <w:kern w:val="2"/>
          <w:sz w:val="32"/>
          <w:szCs w:val="32"/>
          <w:lang w:val="en-US" w:eastAsia="zh-CN"/>
        </w:rPr>
        <w:t>项目资金的减少。</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收入合计7,853.23万元，其中：财政拨款收入7,853.23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本单位2024年度本年支出合计7,853.23万元，其中：基本支出2,092.57万元，占26.6%；项目支出5,760.66万元，占73.4%；上缴上级支出0.00万元，占0.0%；经营支出0.00万元，占0.0%；对附属单位补助支出0.00万元，占0.0%。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本单位2024年度财政拨款收、支总计（含结转和结余）均为7,853.23万元。与2023年度相比，财政拨款收支各减少3,263.24万元，降低29.4%，主要原因是</w:t>
      </w:r>
      <w:r>
        <w:rPr>
          <w:rFonts w:hint="eastAsia" w:ascii="Times New Roman" w:hAnsi="Times New Roman" w:eastAsia="仿宋_GB2312" w:cs="Times New Roman"/>
          <w:kern w:val="2"/>
          <w:sz w:val="32"/>
          <w:szCs w:val="32"/>
          <w:lang w:val="en-US" w:eastAsia="zh-CN"/>
        </w:rPr>
        <w:t>项目资金的减少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本单位2024年度财政拨款本年收入7,853.23万元,比上年减少3,263.24万元，降低29.4%，主要原因是</w:t>
      </w:r>
      <w:r>
        <w:rPr>
          <w:rFonts w:hint="eastAsia" w:ascii="Times New Roman" w:hAnsi="Times New Roman" w:eastAsia="仿宋_GB2312" w:cs="Times New Roman"/>
          <w:kern w:val="2"/>
          <w:sz w:val="32"/>
          <w:szCs w:val="32"/>
          <w:lang w:val="en-US" w:eastAsia="zh-CN"/>
        </w:rPr>
        <w:t>项目资金的减少</w:t>
      </w:r>
      <w:r>
        <w:rPr>
          <w:rFonts w:ascii="Times New Roman" w:eastAsia="仿宋_GB2312"/>
          <w:b w:val="0"/>
          <w:sz w:val="32"/>
          <w:szCs w:val="32"/>
        </w:rPr>
        <w:t>；本年支出7,853.23万元，比上年减少3,263.24万元，降低29.4%，主要原因是</w:t>
      </w:r>
      <w:r>
        <w:rPr>
          <w:rFonts w:hint="eastAsia" w:ascii="Times New Roman" w:hAnsi="Times New Roman" w:eastAsia="仿宋_GB2312" w:cs="Times New Roman"/>
          <w:kern w:val="2"/>
          <w:sz w:val="32"/>
          <w:szCs w:val="32"/>
          <w:lang w:val="en-US" w:eastAsia="zh-CN"/>
        </w:rPr>
        <w:t>项目资金的减少</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一般公共预算财政拨款本年收入7,853.23万元,比上年减少3,230.47万元，降低29.1%，主要原因是</w:t>
      </w:r>
      <w:r>
        <w:rPr>
          <w:rFonts w:hint="eastAsia" w:ascii="Times New Roman" w:hAnsi="Times New Roman" w:eastAsia="仿宋_GB2312" w:cs="Times New Roman"/>
          <w:kern w:val="2"/>
          <w:sz w:val="32"/>
          <w:szCs w:val="32"/>
          <w:lang w:val="en-US" w:eastAsia="zh-CN"/>
        </w:rPr>
        <w:t>项目资金的减少</w:t>
      </w:r>
      <w:r>
        <w:rPr>
          <w:rFonts w:ascii="Times New Roman" w:eastAsia="仿宋_GB2312"/>
          <w:b w:val="0"/>
          <w:sz w:val="32"/>
          <w:szCs w:val="32"/>
        </w:rPr>
        <w:t>；本年支出7,853.23万元，比上年减少3,230.47万元，降低29.1%，主要原因是</w:t>
      </w:r>
      <w:r>
        <w:rPr>
          <w:rFonts w:hint="eastAsia" w:ascii="Times New Roman" w:hAnsi="Times New Roman" w:eastAsia="仿宋_GB2312" w:cs="Times New Roman"/>
          <w:kern w:val="2"/>
          <w:sz w:val="32"/>
          <w:szCs w:val="32"/>
          <w:lang w:val="en-US" w:eastAsia="zh-CN"/>
        </w:rPr>
        <w:t>项目资金的减少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政府性基金预算财政拨款本年收入0.00万元，比上年减少32.77万元，降低100.0%，主要原因是</w:t>
      </w:r>
      <w:r>
        <w:rPr>
          <w:rFonts w:hint="eastAsia" w:ascii="Times New Roman" w:hAnsi="Times New Roman" w:eastAsia="仿宋_GB2312" w:cs="Times New Roman"/>
          <w:kern w:val="2"/>
          <w:sz w:val="32"/>
          <w:szCs w:val="32"/>
          <w:lang w:val="en-US" w:eastAsia="zh-CN"/>
        </w:rPr>
        <w:t>项目资金的减少</w:t>
      </w:r>
      <w:r>
        <w:rPr>
          <w:rFonts w:ascii="Times New Roman" w:eastAsia="仿宋_GB2312"/>
          <w:b w:val="0"/>
          <w:sz w:val="32"/>
          <w:szCs w:val="32"/>
        </w:rPr>
        <w:t>；本年支出0.00万元，比上年减少32.77万元，降低100.0%，主要原因是</w:t>
      </w:r>
      <w:r>
        <w:rPr>
          <w:rFonts w:hint="eastAsia" w:ascii="Times New Roman" w:hAnsi="Times New Roman" w:eastAsia="仿宋_GB2312" w:cs="Times New Roman"/>
          <w:kern w:val="2"/>
          <w:sz w:val="32"/>
          <w:szCs w:val="32"/>
          <w:lang w:val="en-US" w:eastAsia="zh-CN"/>
        </w:rPr>
        <w:t>项目资金的减少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eastAsia="zh-CN"/>
        </w:rPr>
        <w:t>与上年持平</w:t>
      </w:r>
      <w:r>
        <w:rPr>
          <w:rFonts w:ascii="Times New Roman" w:eastAsia="仿宋_GB2312"/>
          <w:b w:val="0"/>
          <w:sz w:val="32"/>
          <w:szCs w:val="32"/>
        </w:rPr>
        <w:t>；本年支出0.00万元，比上年增加0.00万元，增长0.00%，主要原因是</w:t>
      </w:r>
      <w:r>
        <w:rPr>
          <w:rFonts w:hint="eastAsia" w:ascii="Times New Roman" w:eastAsia="仿宋_GB2312"/>
          <w:b w:val="0"/>
          <w:sz w:val="32"/>
          <w:szCs w:val="32"/>
          <w:lang w:eastAsia="zh-CN"/>
        </w:rPr>
        <w:t>与上年持平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2988310"/>
            <wp:effectExtent l="5080" t="4445" r="889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本单位2024年度财政拨款本年收入7,853.23万元，完成年初预算的113.6%，比年初预算增加938.65万元，决算数大于预算数主要原因是</w:t>
      </w:r>
      <w:r>
        <w:rPr>
          <w:rFonts w:hint="eastAsia" w:ascii="Times New Roman" w:hAnsi="Times New Roman" w:eastAsia="仿宋_GB2312" w:cs="Times New Roman"/>
          <w:color w:val="auto"/>
          <w:kern w:val="2"/>
          <w:sz w:val="32"/>
          <w:szCs w:val="32"/>
          <w:lang w:val="en-US" w:eastAsia="zh-CN" w:bidi="ar-SA"/>
        </w:rPr>
        <w:t>项目资金的增加</w:t>
      </w:r>
      <w:r>
        <w:rPr>
          <w:rFonts w:ascii="Times New Roman" w:eastAsia="仿宋_GB2312"/>
          <w:b w:val="0"/>
          <w:sz w:val="32"/>
          <w:szCs w:val="32"/>
        </w:rPr>
        <w:t> ；本年支出7,853.23万元，完成年初预算的113.6%，比年初预算增加938.65万元，决算数大于预算数主要原因是</w:t>
      </w:r>
      <w:r>
        <w:rPr>
          <w:rFonts w:hint="eastAsia" w:ascii="Times New Roman" w:hAnsi="Times New Roman" w:eastAsia="仿宋_GB2312" w:cs="Times New Roman"/>
          <w:color w:val="auto"/>
          <w:kern w:val="2"/>
          <w:sz w:val="32"/>
          <w:szCs w:val="32"/>
          <w:lang w:val="en-US" w:eastAsia="zh-CN" w:bidi="ar-SA"/>
        </w:rPr>
        <w:t>项目资金的增加</w:t>
      </w:r>
      <w:r>
        <w:rPr>
          <w:rFonts w:ascii="Times New Roman" w:eastAsia="仿宋_GB2312"/>
          <w:b w:val="0"/>
          <w:sz w:val="32"/>
          <w:szCs w:val="32"/>
        </w:rPr>
        <w:t> 。具体情况如下：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一般公共预算财政拨款本年收入完成年初预算的113.6%，比年初预算增加938.65万元，主要原因是</w:t>
      </w:r>
      <w:r>
        <w:rPr>
          <w:rFonts w:hint="eastAsia" w:ascii="Times New Roman" w:hAnsi="Times New Roman" w:eastAsia="仿宋_GB2312" w:cs="Times New Roman"/>
          <w:color w:val="auto"/>
          <w:kern w:val="2"/>
          <w:sz w:val="32"/>
          <w:szCs w:val="32"/>
          <w:lang w:val="en-US" w:eastAsia="zh-CN" w:bidi="ar-SA"/>
        </w:rPr>
        <w:t>项目资金的增加</w:t>
      </w:r>
      <w:r>
        <w:rPr>
          <w:rFonts w:ascii="Times New Roman" w:eastAsia="仿宋_GB2312"/>
          <w:b w:val="0"/>
          <w:sz w:val="32"/>
          <w:szCs w:val="32"/>
        </w:rPr>
        <w:t>；支出完成年初预算的113.6%，比年初预算增加938.65万元，主要原因是</w:t>
      </w:r>
      <w:r>
        <w:rPr>
          <w:rFonts w:hint="eastAsia" w:ascii="Times New Roman" w:hAnsi="Times New Roman" w:eastAsia="仿宋_GB2312" w:cs="Times New Roman"/>
          <w:color w:val="auto"/>
          <w:kern w:val="2"/>
          <w:sz w:val="32"/>
          <w:szCs w:val="32"/>
          <w:lang w:val="en-US" w:eastAsia="zh-CN" w:bidi="ar-SA"/>
        </w:rPr>
        <w:t>项目资金的增加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hAnsi="Times New Roman" w:eastAsia="仿宋_GB2312" w:cs="Times New Roman"/>
          <w:color w:val="auto"/>
          <w:kern w:val="2"/>
          <w:sz w:val="32"/>
          <w:szCs w:val="32"/>
          <w:lang w:val="en-US" w:eastAsia="zh-CN" w:bidi="ar-SA"/>
        </w:rPr>
        <w:t>项目资金的减少</w:t>
      </w:r>
      <w:r>
        <w:rPr>
          <w:rFonts w:ascii="Times New Roman" w:eastAsia="仿宋_GB2312"/>
          <w:b w:val="0"/>
          <w:sz w:val="32"/>
          <w:szCs w:val="32"/>
        </w:rPr>
        <w:t>；支出完成年初预算的0.0%，比年初预算增加0.00万元，主要原因是</w:t>
      </w:r>
      <w:r>
        <w:rPr>
          <w:rFonts w:hint="eastAsia" w:ascii="Times New Roman" w:hAnsi="Times New Roman" w:eastAsia="仿宋_GB2312" w:cs="Times New Roman"/>
          <w:color w:val="auto"/>
          <w:kern w:val="2"/>
          <w:sz w:val="32"/>
          <w:szCs w:val="32"/>
          <w:lang w:val="en-US" w:eastAsia="zh-CN" w:bidi="ar-SA"/>
        </w:rPr>
        <w:t>项目资金的减少</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国有资本经营预算财政拨款本年收入完成年初预算的0.0 %，比年初预算增加0.00万元，主要原因是</w:t>
      </w:r>
      <w:r>
        <w:rPr>
          <w:rFonts w:hint="eastAsia" w:ascii="Times New Roman" w:eastAsia="仿宋_GB2312"/>
          <w:b w:val="0"/>
          <w:sz w:val="32"/>
          <w:szCs w:val="32"/>
          <w:lang w:eastAsia="zh-CN"/>
        </w:rPr>
        <w:t>与上年持平</w:t>
      </w:r>
      <w:r>
        <w:rPr>
          <w:rFonts w:ascii="Times New Roman" w:eastAsia="仿宋_GB2312"/>
          <w:b w:val="0"/>
          <w:sz w:val="32"/>
          <w:szCs w:val="32"/>
        </w:rPr>
        <w:t>；支出完成年初预算的0.0%，比年初预算增加0.00万元，主要原因是</w:t>
      </w:r>
      <w:r>
        <w:rPr>
          <w:rFonts w:hint="eastAsia" w:ascii="Times New Roman" w:eastAsia="仿宋_GB2312"/>
          <w:b w:val="0"/>
          <w:sz w:val="32"/>
          <w:szCs w:val="32"/>
          <w:lang w:eastAsia="zh-CN"/>
        </w:rPr>
        <w:t>与上年持平</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2024年度财政拨款支出7,853.23万元，主要用于以下方面：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类）支出0.00万元，占0.0%，主要用于等支出；卫生健康（类）支出0.00万元，占0.0%，主要用于等支出；节能环保（类）支出0.00万元，占0.0%，主要用于等支出；城乡社区（类）支出130.00万元，占1.7%，主要用于等支出；农林水（类）支出1,849.49万元，占23.6%，主要用于等支出；交通运输（类）支出5,366.74万元，占68.3%，主要用于等支出；资源勘探信息等（类）支出0.00万元，占0.0%，主要用于等支出；商业服务业等（类）支出0.00万元，占0.0%，主要用于等支出；金融（类）支出0.00万元，占0.0%，主要用于等支出；援助其他地区（类）支出0.00万元，占0.0%</w:t>
      </w:r>
      <w:r>
        <w:rPr>
          <w:rFonts w:hint="eastAsia" w:ascii="Times New Roman" w:eastAsia="仿宋_GB2312"/>
          <w:b w:val="0"/>
          <w:sz w:val="32"/>
          <w:szCs w:val="32"/>
          <w:lang w:eastAsia="zh-CN"/>
        </w:rPr>
        <w:t>，</w:t>
      </w:r>
      <w:r>
        <w:rPr>
          <w:rFonts w:ascii="Times New Roman" w:eastAsia="仿宋_GB2312"/>
          <w:b w:val="0"/>
          <w:sz w:val="32"/>
          <w:szCs w:val="32"/>
        </w:rPr>
        <w:t>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507.00万元，占6.5%，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w:t>
      </w:r>
      <w:r>
        <w:rPr>
          <w:rFonts w:hint="eastAsia" w:ascii="Times New Roman" w:eastAsia="仿宋_GB2312"/>
          <w:b w:val="0"/>
          <w:sz w:val="32"/>
          <w:szCs w:val="32"/>
          <w:lang w:eastAsia="zh-CN"/>
        </w:rPr>
        <w:t>出</w:t>
      </w:r>
      <w:r>
        <w:rPr>
          <w:rFonts w:ascii="Times New Roman" w:eastAsia="仿宋_GB2312"/>
          <w:b w:val="0"/>
          <w:sz w:val="32"/>
          <w:szCs w:val="32"/>
        </w:rPr>
        <w:t>0.00万元，占0.0%，主要用于等支出；卫生健康（类）支出0.00万元，</w:t>
      </w:r>
      <w:r>
        <w:rPr>
          <w:rFonts w:hint="eastAsia" w:ascii="Times New Roman" w:eastAsia="仿宋_GB2312"/>
          <w:b w:val="0"/>
          <w:sz w:val="32"/>
          <w:szCs w:val="32"/>
          <w:lang w:eastAsia="zh-CN"/>
        </w:rPr>
        <w:t>占</w:t>
      </w:r>
      <w:r>
        <w:rPr>
          <w:rFonts w:ascii="Times New Roman" w:eastAsia="仿宋_GB2312"/>
          <w:b w:val="0"/>
          <w:sz w:val="32"/>
          <w:szCs w:val="32"/>
        </w:rPr>
        <w:t>0.0%，主要用于等支出；节能环保（类）</w:t>
      </w:r>
      <w:r>
        <w:rPr>
          <w:rFonts w:hint="eastAsia" w:ascii="Times New Roman" w:eastAsia="仿宋_GB2312"/>
          <w:b w:val="0"/>
          <w:sz w:val="32"/>
          <w:szCs w:val="32"/>
          <w:lang w:eastAsia="zh-CN"/>
        </w:rPr>
        <w:t>支出</w:t>
      </w:r>
      <w:r>
        <w:rPr>
          <w:rFonts w:ascii="Times New Roman" w:eastAsia="仿宋_GB2312"/>
          <w:b w:val="0"/>
          <w:sz w:val="32"/>
          <w:szCs w:val="32"/>
        </w:rPr>
        <w:t>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w:t>
      </w:r>
      <w:r>
        <w:rPr>
          <w:rFonts w:hint="eastAsia" w:ascii="Times New Roman" w:eastAsia="仿宋_GB2312"/>
          <w:b w:val="0"/>
          <w:sz w:val="32"/>
          <w:szCs w:val="32"/>
          <w:lang w:eastAsia="zh-CN"/>
        </w:rPr>
        <w:t>出</w:t>
      </w:r>
      <w:r>
        <w:rPr>
          <w:rFonts w:ascii="Times New Roman" w:eastAsia="仿宋_GB2312"/>
          <w:b w:val="0"/>
          <w:sz w:val="32"/>
          <w:szCs w:val="32"/>
        </w:rPr>
        <w:t>0.00万元，占0.00%，主要用于等支出。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w:t>
      </w:r>
      <w:r>
        <w:rPr>
          <w:rFonts w:hint="eastAsia" w:ascii="Times New Roman" w:eastAsia="仿宋_GB2312"/>
          <w:b w:val="0"/>
          <w:sz w:val="32"/>
          <w:szCs w:val="32"/>
          <w:lang w:eastAsia="zh-CN"/>
        </w:rPr>
        <w:t>支出</w:t>
      </w:r>
      <w:r>
        <w:rPr>
          <w:rFonts w:ascii="Times New Roman" w:eastAsia="仿宋_GB2312"/>
          <w:b w:val="0"/>
          <w:sz w:val="32"/>
          <w:szCs w:val="32"/>
        </w:rPr>
        <w:t>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1587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2024年度财政拨款基本支出2,092.57万元，其中：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1,986.86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公用经费105.71万元，主要包括办公费、印刷费、咨询费、手续费、水费、电费、邮电费、取 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本单位2024年度“三公”经费财政拨款支出预算为16.88万元，支出决算为13.36万元，完成预算的79.1%，较预算减少3.52万元，降低20.9%，主要原因是</w:t>
      </w:r>
      <w:r>
        <w:rPr>
          <w:rFonts w:hint="default" w:ascii="Times New Roman" w:hAnsi="Times New Roman" w:eastAsia="仿宋_GB2312" w:cs="Times New Roman"/>
          <w:color w:val="auto"/>
          <w:kern w:val="2"/>
          <w:sz w:val="32"/>
          <w:szCs w:val="32"/>
          <w:lang w:val="zh-CN" w:eastAsia="zh-CN" w:bidi="ar-SA"/>
        </w:rPr>
        <w:t>认真贯彻落实了中央八项规定精神和厉行节约的要求，从严控制了“三公”经费开支，全年实际支出比预算有所节约</w:t>
      </w:r>
      <w:r>
        <w:rPr>
          <w:rFonts w:ascii="Times New Roman" w:eastAsia="仿宋_GB2312"/>
          <w:b w:val="0"/>
          <w:sz w:val="32"/>
          <w:szCs w:val="32"/>
        </w:rPr>
        <w:t>；较2023年度决算减少3.32万元，降低19.9%，主要原因是</w:t>
      </w:r>
      <w:r>
        <w:rPr>
          <w:rFonts w:hint="default" w:ascii="Times New Roman" w:hAnsi="Times New Roman" w:eastAsia="仿宋_GB2312" w:cs="Times New Roman"/>
          <w:color w:val="auto"/>
          <w:kern w:val="2"/>
          <w:sz w:val="32"/>
          <w:szCs w:val="32"/>
          <w:lang w:val="zh-CN" w:eastAsia="zh-CN" w:bidi="ar-SA"/>
        </w:rPr>
        <w:t>认真贯彻落实了中央八项规定精神和厉行节约的要求，从严控制了“三公”经费开支，全年实际支出比预算有所节约</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1.因公出国（境）费支出情况。</w:t>
      </w:r>
      <w:r>
        <w:rPr>
          <w:rFonts w:ascii="Times New Roman" w:eastAsia="仿宋_GB2312"/>
          <w:b w:val="0"/>
          <w:sz w:val="32"/>
          <w:szCs w:val="32"/>
        </w:rPr>
        <w:t>本单位2024年度因公出国（境）费支出预算为0.00万元,支出决算0.00万元。完成预算的0.0%。因公出国（境）费支出较预算增加0.00万元，增长0.0%,主要原因是；较上年增加0.00万元，增长0.00%,主要原因是</w:t>
      </w:r>
      <w:r>
        <w:rPr>
          <w:rFonts w:hint="default" w:ascii="Times New Roman" w:hAnsi="Times New Roman" w:eastAsia="仿宋_GB2312" w:cs="Times New Roman"/>
          <w:color w:val="auto"/>
          <w:kern w:val="2"/>
          <w:sz w:val="32"/>
          <w:szCs w:val="32"/>
          <w:lang w:val="en-US" w:eastAsia="zh-CN" w:bidi="ar-SA"/>
        </w:rPr>
        <w:t>因公出国（境）费支出较预算</w:t>
      </w:r>
      <w:r>
        <w:rPr>
          <w:rFonts w:hint="eastAsia" w:ascii="Times New Roman" w:hAnsi="Times New Roman" w:eastAsia="仿宋_GB2312" w:cs="Times New Roman"/>
          <w:color w:val="auto"/>
          <w:kern w:val="2"/>
          <w:sz w:val="32"/>
          <w:szCs w:val="32"/>
          <w:lang w:val="zh-CN" w:eastAsia="zh-CN" w:bidi="ar-SA"/>
        </w:rPr>
        <w:t>持平</w:t>
      </w:r>
      <w:r>
        <w:rPr>
          <w:rFonts w:hint="default" w:ascii="Times New Roman" w:hAnsi="Times New Roman" w:eastAsia="仿宋_GB2312" w:cs="Times New Roman"/>
          <w:color w:val="auto"/>
          <w:kern w:val="2"/>
          <w:sz w:val="32"/>
          <w:szCs w:val="32"/>
          <w:lang w:val="en-US" w:eastAsia="zh-CN" w:bidi="ar-SA"/>
        </w:rPr>
        <w:t>；较上年</w:t>
      </w:r>
      <w:r>
        <w:rPr>
          <w:rFonts w:hint="eastAsia" w:ascii="Times New Roman" w:hAnsi="Times New Roman" w:eastAsia="仿宋_GB2312" w:cs="Times New Roman"/>
          <w:color w:val="auto"/>
          <w:kern w:val="2"/>
          <w:sz w:val="32"/>
          <w:szCs w:val="32"/>
          <w:lang w:val="zh-CN" w:eastAsia="zh-CN" w:bidi="ar-SA"/>
        </w:rPr>
        <w:t>持平</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2.公务用车购置及运行维护费支出情况。</w:t>
      </w:r>
      <w:r>
        <w:rPr>
          <w:rFonts w:ascii="Times New Roman" w:eastAsia="仿宋_GB2312"/>
          <w:b w:val="0"/>
          <w:sz w:val="32"/>
          <w:szCs w:val="32"/>
        </w:rPr>
        <w:t>本单位2024年度公务用车购置及运行维护费预算为15.60万元，支出决算13.36万元，完成预算的85.6%,较预算减少2.24万元，降低14.4%,主要原因是</w:t>
      </w:r>
      <w:r>
        <w:rPr>
          <w:rFonts w:hint="default" w:ascii="Times New Roman" w:hAnsi="Times New Roman" w:eastAsia="仿宋_GB2312" w:cs="Times New Roman"/>
          <w:color w:val="auto"/>
          <w:kern w:val="2"/>
          <w:sz w:val="32"/>
          <w:szCs w:val="32"/>
          <w:lang w:val="zh-CN" w:eastAsia="zh-CN" w:bidi="ar-SA"/>
        </w:rPr>
        <w:t>认真贯彻落实了中央八项规定精神和厉行节约的要求</w:t>
      </w:r>
      <w:r>
        <w:rPr>
          <w:rFonts w:ascii="Times New Roman" w:eastAsia="仿宋_GB2312"/>
          <w:b w:val="0"/>
          <w:sz w:val="32"/>
          <w:szCs w:val="32"/>
        </w:rPr>
        <w:t>；较上年减少3.32万元，降低19.9%,主要原因是</w:t>
      </w:r>
      <w:r>
        <w:rPr>
          <w:rFonts w:hint="default" w:ascii="Times New Roman" w:hAnsi="Times New Roman" w:eastAsia="仿宋_GB2312" w:cs="Times New Roman"/>
          <w:color w:val="auto"/>
          <w:kern w:val="2"/>
          <w:sz w:val="32"/>
          <w:szCs w:val="32"/>
          <w:lang w:val="zh-CN" w:eastAsia="zh-CN" w:bidi="ar-SA"/>
        </w:rPr>
        <w:t>认真贯彻落实了中央八项规定精神和厉行节约的要求</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本单位2024年度公务用车购置量0辆，发生“公务用车购置”经费支出0.00 万元。公务用车购置费支出较预算增加0.00万元，增长0.0%,主要原因是</w:t>
      </w:r>
      <w:r>
        <w:rPr>
          <w:rFonts w:hint="default" w:ascii="Times New Roman" w:hAnsi="Times New Roman" w:eastAsia="仿宋_GB2312" w:cs="Times New Roman"/>
          <w:color w:val="auto"/>
          <w:kern w:val="2"/>
          <w:sz w:val="32"/>
          <w:szCs w:val="32"/>
          <w:lang w:val="en-US" w:eastAsia="zh-CN" w:bidi="ar-SA"/>
        </w:rPr>
        <w:t>未发生‘公务用车购置</w:t>
      </w:r>
      <w:r>
        <w:rPr>
          <w:rFonts w:hint="default" w:ascii="Times New Roman" w:hAnsi="Times New Roman" w:eastAsia="仿宋_GB2312" w:cs="Times New Roman"/>
          <w:color w:val="auto"/>
          <w:kern w:val="2"/>
          <w:sz w:val="32"/>
          <w:szCs w:val="32"/>
          <w:lang w:val="zh-CN" w:eastAsia="zh-CN" w:bidi="ar-SA"/>
        </w:rPr>
        <w:t>；较上年</w:t>
      </w:r>
      <w:r>
        <w:rPr>
          <w:rFonts w:hint="eastAsia" w:ascii="Times New Roman" w:hAnsi="Times New Roman" w:eastAsia="仿宋_GB2312" w:cs="Times New Roman"/>
          <w:color w:val="auto"/>
          <w:kern w:val="2"/>
          <w:sz w:val="32"/>
          <w:szCs w:val="32"/>
          <w:lang w:val="zh-CN" w:eastAsia="zh-CN" w:bidi="ar-SA"/>
        </w:rPr>
        <w:t>持平</w:t>
      </w:r>
      <w:r>
        <w:rPr>
          <w:rFonts w:ascii="Times New Roman" w:eastAsia="仿宋_GB2312"/>
          <w:b w:val="0"/>
          <w:sz w:val="32"/>
          <w:szCs w:val="32"/>
        </w:rPr>
        <w:t>；较上年增加0.00万元，增长0.00%,主要原因是</w:t>
      </w:r>
      <w:r>
        <w:rPr>
          <w:rFonts w:hint="default" w:ascii="Times New Roman" w:hAnsi="Times New Roman" w:eastAsia="仿宋_GB2312" w:cs="Times New Roman"/>
          <w:color w:val="auto"/>
          <w:kern w:val="2"/>
          <w:sz w:val="32"/>
          <w:szCs w:val="32"/>
          <w:lang w:val="en-US" w:eastAsia="zh-CN" w:bidi="ar-SA"/>
        </w:rPr>
        <w:t>未发生‘公务用车购置</w:t>
      </w:r>
      <w:r>
        <w:rPr>
          <w:rFonts w:hint="default" w:ascii="Times New Roman" w:hAnsi="Times New Roman" w:eastAsia="仿宋_GB2312" w:cs="Times New Roman"/>
          <w:color w:val="auto"/>
          <w:kern w:val="2"/>
          <w:sz w:val="32"/>
          <w:szCs w:val="32"/>
          <w:lang w:val="zh-CN" w:eastAsia="zh-CN" w:bidi="ar-SA"/>
        </w:rPr>
        <w:t>；较上年</w:t>
      </w:r>
      <w:r>
        <w:rPr>
          <w:rFonts w:hint="eastAsia" w:ascii="Times New Roman" w:hAnsi="Times New Roman" w:eastAsia="仿宋_GB2312" w:cs="Times New Roman"/>
          <w:color w:val="auto"/>
          <w:kern w:val="2"/>
          <w:sz w:val="32"/>
          <w:szCs w:val="32"/>
          <w:lang w:val="zh-CN" w:eastAsia="zh-CN" w:bidi="ar-SA"/>
        </w:rPr>
        <w:t>持平</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hint="eastAsia" w:ascii="Times New Roman" w:hAnsi="Times New Roman" w:eastAsia="仿宋_GB2312" w:cs="Times New Roman"/>
          <w:color w:val="auto"/>
          <w:kern w:val="2"/>
          <w:sz w:val="32"/>
          <w:szCs w:val="32"/>
          <w:lang w:val="zh-CN" w:eastAsia="zh-CN" w:bidi="ar-SA"/>
        </w:rPr>
      </w:pPr>
      <w:r>
        <w:rPr>
          <w:rFonts w:ascii="Times New Roman" w:eastAsia="仿宋_GB2312"/>
          <w:b/>
          <w:sz w:val="32"/>
          <w:szCs w:val="32"/>
        </w:rPr>
        <w:t>公务用车运行维护费支出13.36万元：</w:t>
      </w:r>
      <w:r>
        <w:rPr>
          <w:rFonts w:ascii="Times New Roman" w:eastAsia="仿宋_GB2312"/>
          <w:b w:val="0"/>
          <w:sz w:val="32"/>
          <w:szCs w:val="32"/>
        </w:rPr>
        <w:t>本单位2024年度单位公务用车保有量</w:t>
      </w:r>
      <w:r>
        <w:rPr>
          <w:rFonts w:hint="eastAsia" w:ascii="Times New Roman" w:eastAsia="仿宋_GB2312"/>
          <w:b w:val="0"/>
          <w:sz w:val="32"/>
          <w:szCs w:val="32"/>
          <w:lang w:val="en-US" w:eastAsia="zh-CN"/>
        </w:rPr>
        <w:t>6</w:t>
      </w:r>
      <w:r>
        <w:rPr>
          <w:rFonts w:ascii="Times New Roman" w:eastAsia="仿宋_GB2312"/>
          <w:b w:val="0"/>
          <w:sz w:val="32"/>
          <w:szCs w:val="32"/>
        </w:rPr>
        <w:t>辆，发生运行维护费支出13.36万元。公车运行维护费支出较预算减少2.24万元，降低14.4%,主要原因是</w:t>
      </w:r>
      <w:r>
        <w:rPr>
          <w:rFonts w:hint="default" w:ascii="Times New Roman" w:hAnsi="Times New Roman" w:eastAsia="仿宋_GB2312" w:cs="Times New Roman"/>
          <w:color w:val="auto"/>
          <w:kern w:val="2"/>
          <w:sz w:val="32"/>
          <w:szCs w:val="32"/>
          <w:lang w:val="zh-CN" w:eastAsia="zh-CN" w:bidi="ar-SA"/>
        </w:rPr>
        <w:t>认真贯彻落实了中央八项规定精神和厉行节约的要求，从严控制了“三公”经费开支，全年实际支出比预算有所节约</w:t>
      </w:r>
      <w:r>
        <w:rPr>
          <w:rFonts w:ascii="Times New Roman" w:eastAsia="仿宋_GB2312"/>
          <w:b w:val="0"/>
          <w:sz w:val="32"/>
          <w:szCs w:val="32"/>
        </w:rPr>
        <w:t>；较上年减少3.32万元，降低19.9%，主要原因是</w:t>
      </w:r>
      <w:r>
        <w:rPr>
          <w:rFonts w:hint="default" w:ascii="Times New Roman" w:hAnsi="Times New Roman" w:eastAsia="仿宋_GB2312" w:cs="Times New Roman"/>
          <w:color w:val="auto"/>
          <w:kern w:val="2"/>
          <w:sz w:val="32"/>
          <w:szCs w:val="32"/>
          <w:lang w:val="zh-CN" w:eastAsia="zh-CN" w:bidi="ar-SA"/>
        </w:rPr>
        <w:t>认真贯彻落实了中央八项规定精神和厉行节约的要求</w:t>
      </w:r>
      <w:r>
        <w:rPr>
          <w:rFonts w:hint="eastAsia" w:ascii="Times New Roman" w:hAnsi="Times New Roman" w:eastAsia="仿宋_GB2312" w:cs="Times New Roman"/>
          <w:color w:val="auto"/>
          <w:kern w:val="2"/>
          <w:sz w:val="32"/>
          <w:szCs w:val="32"/>
          <w:lang w:val="zh-CN" w:eastAsia="zh-CN" w:bidi="ar-SA"/>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本单位2024年度公务接待费支出预算为1.28万元，支出决算0.00万元，完成预算的0.0%。公务接待费支出较预算减少1.28万元，降低100.0%,主要原因是</w:t>
      </w:r>
      <w:r>
        <w:rPr>
          <w:rFonts w:hint="eastAsia" w:ascii="Times New Roman" w:eastAsia="仿宋_GB2312"/>
          <w:b w:val="0"/>
          <w:sz w:val="32"/>
          <w:szCs w:val="32"/>
          <w:lang w:eastAsia="zh-CN"/>
        </w:rPr>
        <w:t>厉行节约</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厉行节约</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本单位2024年度机关运行经费支出105.71万元，较2023年度减少38.84万元，降低26.9%。主要原因是</w:t>
      </w:r>
      <w:r>
        <w:rPr>
          <w:rFonts w:hint="default" w:ascii="Times New Roman" w:hAnsi="Times New Roman" w:eastAsia="仿宋_GB2312" w:cs="Times New Roman"/>
          <w:color w:val="auto"/>
          <w:kern w:val="2"/>
          <w:sz w:val="32"/>
          <w:szCs w:val="32"/>
          <w:lang w:val="zh-CN" w:eastAsia="zh-CN" w:bidi="ar-SA"/>
        </w:rPr>
        <w:t>认真贯彻落实了中央八项规定精神和厉行节约的要求</w:t>
      </w:r>
      <w:r>
        <w:rPr>
          <w:rFonts w:hint="eastAsia" w:ascii="Times New Roman" w:hAnsi="Times New Roman" w:eastAsia="仿宋_GB2312" w:cs="Times New Roman"/>
          <w:color w:val="auto"/>
          <w:kern w:val="2"/>
          <w:sz w:val="32"/>
          <w:szCs w:val="32"/>
          <w:lang w:val="zh-CN" w:eastAsia="zh-CN" w:bidi="ar-SA"/>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2024年度政府采购支出总额7,186.69万元，从采购类型来看，政府采购货物支出6,828.96万元、政府采购工程支出0.00万元、政府采购服务支出357.73万元。授予中小企业合同金额5,288.26万元，占政府采购支出总额的73.6%，其中授予小微企业合同金额5,288.26万元，占政府采购支出总额的73.6%。</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截至2024年12月31日，本单位共有车辆47辆，比上年增加4辆，主要是</w:t>
      </w:r>
      <w:r>
        <w:rPr>
          <w:rFonts w:hint="eastAsia" w:ascii="Times New Roman" w:eastAsia="仿宋_GB2312"/>
          <w:b w:val="0"/>
          <w:color w:val="auto"/>
          <w:sz w:val="32"/>
          <w:szCs w:val="32"/>
          <w:lang w:eastAsia="zh-CN"/>
        </w:rPr>
        <w:t>业务用车</w:t>
      </w:r>
      <w:r>
        <w:rPr>
          <w:rFonts w:ascii="Times New Roman" w:eastAsia="仿宋_GB2312"/>
          <w:b w:val="0"/>
          <w:color w:val="auto"/>
          <w:sz w:val="32"/>
          <w:szCs w:val="32"/>
        </w:rPr>
        <w:t>。其中，副部（省）级及以上领导用车0辆，主要负责人用车0辆，机要通信用车7辆，应急保障用车0辆，执法执勤用车0辆，特种专业技术用车0辆，离退休干部用车0辆，其他用车40辆，其他用车主要是</w:t>
      </w:r>
      <w:r>
        <w:rPr>
          <w:rFonts w:hint="eastAsia" w:ascii="Times New Roman" w:eastAsia="仿宋_GB2312"/>
          <w:b w:val="0"/>
          <w:color w:val="auto"/>
          <w:sz w:val="32"/>
          <w:szCs w:val="32"/>
          <w:lang w:eastAsia="zh-CN"/>
        </w:rPr>
        <w:t>业务用车</w:t>
      </w:r>
      <w:bookmarkStart w:id="0" w:name="_GoBack"/>
      <w:bookmarkEnd w:id="0"/>
      <w:r>
        <w:rPr>
          <w:rFonts w:ascii="Times New Roman" w:eastAsia="仿宋_GB2312"/>
          <w:b w:val="0"/>
          <w:color w:val="auto"/>
          <w:sz w:val="32"/>
          <w:szCs w:val="32"/>
        </w:rPr>
        <w:t>。单位价值100万元（含）以上设备（不含车辆）0台（套）。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九、关于2024年度绩效评价情况的说明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根据预算绩效管理要求，本单位组织对2024年度本级预算项目支出全面开展绩效自评，共涉及资金</w:t>
      </w:r>
      <w:r>
        <w:rPr>
          <w:rFonts w:hint="eastAsia" w:ascii="Times New Roman" w:eastAsia="仿宋_GB2312"/>
          <w:b w:val="0"/>
          <w:color w:val="auto"/>
          <w:sz w:val="32"/>
          <w:szCs w:val="32"/>
          <w:lang w:val="en-US" w:eastAsia="zh-CN"/>
        </w:rPr>
        <w:t>5760.662499</w:t>
      </w:r>
      <w:r>
        <w:rPr>
          <w:rFonts w:ascii="Times New Roman" w:eastAsia="仿宋_GB2312"/>
          <w:b w:val="0"/>
          <w:color w:val="auto"/>
          <w:sz w:val="32"/>
          <w:szCs w:val="32"/>
        </w:rPr>
        <w:t>万元。其中，一般公共预算项目</w:t>
      </w:r>
      <w:r>
        <w:rPr>
          <w:rFonts w:hint="eastAsia" w:ascii="Times New Roman" w:eastAsia="仿宋_GB2312"/>
          <w:b w:val="0"/>
          <w:color w:val="auto"/>
          <w:sz w:val="32"/>
          <w:szCs w:val="32"/>
          <w:lang w:val="en-US" w:eastAsia="zh-CN"/>
        </w:rPr>
        <w:t>15</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5760.662499</w:t>
      </w:r>
      <w:r>
        <w:rPr>
          <w:rFonts w:ascii="Times New Roman" w:eastAsia="仿宋_GB2312"/>
          <w:b w:val="0"/>
          <w:color w:val="auto"/>
          <w:sz w:val="32"/>
          <w:szCs w:val="32"/>
        </w:rPr>
        <w:t>万元，占一般公共预算项目支出总额的</w:t>
      </w:r>
      <w:r>
        <w:rPr>
          <w:rFonts w:hint="eastAsia" w:ascii="Times New Roman" w:eastAsia="仿宋_GB2312"/>
          <w:b w:val="0"/>
          <w:color w:val="auto"/>
          <w:sz w:val="32"/>
          <w:szCs w:val="32"/>
          <w:lang w:val="en-US" w:eastAsia="zh-CN"/>
        </w:rPr>
        <w:t>100.0</w:t>
      </w:r>
      <w:r>
        <w:rPr>
          <w:rFonts w:ascii="Times New Roman" w:eastAsia="仿宋_GB2312"/>
          <w:b w:val="0"/>
          <w:color w:val="auto"/>
          <w:sz w:val="32"/>
          <w:szCs w:val="32"/>
        </w:rPr>
        <w:t>%；政府性基金预算项目</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万元，占政府性基金预算项目支出总额的</w:t>
      </w:r>
      <w:r>
        <w:rPr>
          <w:rFonts w:hint="eastAsia" w:ascii="Times New Roman" w:eastAsia="仿宋_GB2312"/>
          <w:b w:val="0"/>
          <w:color w:val="auto"/>
          <w:sz w:val="32"/>
          <w:szCs w:val="32"/>
          <w:lang w:val="en-US" w:eastAsia="zh-CN"/>
        </w:rPr>
        <w:t>0.0</w:t>
      </w:r>
      <w:r>
        <w:rPr>
          <w:rFonts w:ascii="Times New Roman" w:eastAsia="仿宋_GB2312"/>
          <w:b w:val="0"/>
          <w:color w:val="auto"/>
          <w:sz w:val="32"/>
          <w:szCs w:val="32"/>
        </w:rPr>
        <w:t>%；国有资本经营预算项目</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个，涉及资金</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万元，占国有资本经营预算项目支出总额的</w:t>
      </w:r>
      <w:r>
        <w:rPr>
          <w:rFonts w:hint="eastAsia" w:ascii="Times New Roman" w:eastAsia="仿宋_GB2312"/>
          <w:b w:val="0"/>
          <w:color w:val="auto"/>
          <w:sz w:val="32"/>
          <w:szCs w:val="32"/>
          <w:lang w:val="en-US" w:eastAsia="zh-CN"/>
        </w:rPr>
        <w:t>0.0</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组织对</w:t>
      </w:r>
      <w:r>
        <w:rPr>
          <w:rFonts w:hint="eastAsia" w:ascii="Times New Roman" w:eastAsia="仿宋_GB2312"/>
          <w:b w:val="0"/>
          <w:color w:val="auto"/>
          <w:sz w:val="32"/>
          <w:szCs w:val="32"/>
          <w:lang w:val="en-US" w:eastAsia="zh-CN"/>
        </w:rPr>
        <w:t>1</w:t>
      </w:r>
      <w:r>
        <w:rPr>
          <w:rFonts w:ascii="Times New Roman" w:eastAsia="仿宋_GB2312"/>
          <w:b w:val="0"/>
          <w:color w:val="auto"/>
          <w:sz w:val="32"/>
          <w:szCs w:val="32"/>
        </w:rPr>
        <w:t>个项目开展了部门重点评价，涉及一般公共预算支出</w:t>
      </w:r>
      <w:r>
        <w:rPr>
          <w:rFonts w:hint="eastAsia" w:ascii="Times New Roman" w:eastAsia="仿宋_GB2312"/>
          <w:b w:val="0"/>
          <w:color w:val="auto"/>
          <w:sz w:val="32"/>
          <w:szCs w:val="32"/>
          <w:lang w:val="en-US" w:eastAsia="zh-CN"/>
        </w:rPr>
        <w:t>40</w:t>
      </w:r>
      <w:r>
        <w:rPr>
          <w:rFonts w:ascii="Times New Roman" w:eastAsia="仿宋_GB2312"/>
          <w:b w:val="0"/>
          <w:color w:val="auto"/>
          <w:sz w:val="32"/>
          <w:szCs w:val="32"/>
        </w:rPr>
        <w:t>万元，政府性基金预算支出</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万元，国有资本经营预算支出</w:t>
      </w:r>
      <w:r>
        <w:rPr>
          <w:rFonts w:hint="eastAsia" w:ascii="Times New Roman" w:eastAsia="仿宋_GB2312"/>
          <w:b w:val="0"/>
          <w:color w:val="auto"/>
          <w:sz w:val="32"/>
          <w:szCs w:val="32"/>
          <w:lang w:val="en-US" w:eastAsia="zh-CN"/>
        </w:rPr>
        <w:t>0</w:t>
      </w:r>
      <w:r>
        <w:rPr>
          <w:rFonts w:ascii="Times New Roman" w:eastAsia="仿宋_GB2312"/>
          <w:b w:val="0"/>
          <w:color w:val="auto"/>
          <w:sz w:val="32"/>
          <w:szCs w:val="32"/>
        </w:rPr>
        <w:t>万元，从评价情况来看，</w:t>
      </w:r>
      <w:r>
        <w:rPr>
          <w:rFonts w:hint="default" w:ascii="Times New Roman" w:hAnsi="Times New Roman" w:eastAsia="仿宋_GB2312" w:cs="Times New Roman"/>
          <w:color w:val="auto"/>
          <w:kern w:val="2"/>
          <w:sz w:val="32"/>
          <w:szCs w:val="32"/>
          <w:lang w:val="zh-CN" w:eastAsia="zh-CN" w:bidi="ar-SA"/>
        </w:rPr>
        <w:t>资金已全部支出</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shd w:val="clear" w:color="auto" w:fill="auto"/>
        </w:rPr>
      </w:pPr>
      <w:r>
        <w:rPr>
          <w:rFonts w:ascii="Times New Roman" w:eastAsia="仿宋_GB2312"/>
          <w:b w:val="0"/>
          <w:color w:val="auto"/>
          <w:sz w:val="32"/>
          <w:szCs w:val="32"/>
          <w:shd w:val="clear" w:color="auto" w:fill="auto"/>
        </w:rPr>
        <w:t>本单位在今年部门决算公开中反映</w:t>
      </w:r>
      <w:r>
        <w:rPr>
          <w:rFonts w:hint="eastAsia" w:ascii="Times New Roman" w:eastAsia="仿宋_GB2312"/>
          <w:b w:val="0"/>
          <w:color w:val="auto"/>
          <w:sz w:val="32"/>
          <w:szCs w:val="32"/>
          <w:shd w:val="clear" w:color="auto" w:fill="auto"/>
          <w:lang w:val="en-US" w:eastAsia="zh-CN"/>
        </w:rPr>
        <w:t>1</w:t>
      </w:r>
      <w:r>
        <w:rPr>
          <w:rFonts w:ascii="Times New Roman" w:eastAsia="仿宋_GB2312"/>
          <w:b w:val="0"/>
          <w:color w:val="auto"/>
          <w:sz w:val="32"/>
          <w:szCs w:val="32"/>
          <w:shd w:val="clear" w:color="auto" w:fill="auto"/>
        </w:rPr>
        <w:t>个项目绩效自评结果。</w:t>
      </w:r>
    </w:p>
    <w:p>
      <w:pPr>
        <w:widowControl/>
        <w:spacing w:before="0" w:beforeLines="0" w:beforeAutospacing="0" w:after="0" w:afterLines="0" w:afterAutospacing="0" w:line="360" w:lineRule="auto"/>
        <w:ind w:firstLine="640" w:firstLineChars="200"/>
        <w:jc w:val="left"/>
        <w:rPr>
          <w:rFonts w:hint="eastAsia" w:ascii="仿宋" w:hAnsi="仿宋" w:eastAsia="仿宋" w:cs="仿宋"/>
          <w:color w:val="auto"/>
          <w:kern w:val="0"/>
          <w:sz w:val="32"/>
          <w:szCs w:val="32"/>
          <w:shd w:val="clear" w:color="auto" w:fill="auto"/>
          <w:lang w:eastAsia="zh-CN"/>
        </w:rPr>
      </w:pPr>
      <w:r>
        <w:rPr>
          <w:rFonts w:ascii="Times New Roman" w:eastAsia="仿宋_GB2312"/>
          <w:b w:val="0"/>
          <w:color w:val="auto"/>
          <w:sz w:val="32"/>
          <w:szCs w:val="32"/>
          <w:shd w:val="clear" w:color="auto" w:fill="auto"/>
        </w:rPr>
        <w:t>项目绩效自评情况：根据年初设定的绩效目标</w:t>
      </w:r>
      <w:r>
        <w:rPr>
          <w:rFonts w:hint="eastAsia" w:ascii="Times New Roman" w:eastAsia="仿宋_GB2312"/>
          <w:b w:val="0"/>
          <w:color w:val="auto"/>
          <w:sz w:val="32"/>
          <w:szCs w:val="32"/>
          <w:shd w:val="clear" w:color="auto" w:fill="auto"/>
          <w:lang w:val="en-US" w:eastAsia="zh-CN"/>
        </w:rPr>
        <w:t>,</w:t>
      </w:r>
      <w:r>
        <w:rPr>
          <w:rFonts w:hint="eastAsia" w:ascii="Times New Roman" w:eastAsia="仿宋_GB2312"/>
          <w:b w:val="0"/>
          <w:color w:val="auto"/>
          <w:sz w:val="32"/>
          <w:szCs w:val="32"/>
          <w:shd w:val="clear" w:color="auto" w:fill="auto"/>
        </w:rPr>
        <w:t>石家庄行唐县无繁公路市同治超站治超资金</w:t>
      </w:r>
      <w:r>
        <w:rPr>
          <w:rFonts w:ascii="Times New Roman" w:eastAsia="仿宋_GB2312"/>
          <w:b w:val="0"/>
          <w:color w:val="auto"/>
          <w:sz w:val="32"/>
          <w:szCs w:val="32"/>
          <w:shd w:val="clear" w:color="auto" w:fill="auto"/>
        </w:rPr>
        <w:t>项目绩效自评得分为</w:t>
      </w:r>
      <w:r>
        <w:rPr>
          <w:rFonts w:hint="eastAsia" w:ascii="Times New Roman" w:eastAsia="仿宋_GB2312"/>
          <w:b w:val="0"/>
          <w:color w:val="auto"/>
          <w:sz w:val="32"/>
          <w:szCs w:val="32"/>
          <w:shd w:val="clear" w:color="auto" w:fill="auto"/>
          <w:lang w:val="en-US" w:eastAsia="zh-CN"/>
        </w:rPr>
        <w:t>100</w:t>
      </w:r>
      <w:r>
        <w:rPr>
          <w:rFonts w:ascii="Times New Roman" w:eastAsia="仿宋_GB2312"/>
          <w:b w:val="0"/>
          <w:color w:val="auto"/>
          <w:sz w:val="32"/>
          <w:szCs w:val="32"/>
          <w:shd w:val="clear" w:color="auto" w:fill="auto"/>
        </w:rPr>
        <w:t>分（绩效自评表附后）。全年预算数为</w:t>
      </w:r>
      <w:r>
        <w:rPr>
          <w:rFonts w:hint="eastAsia" w:ascii="Times New Roman" w:eastAsia="仿宋_GB2312"/>
          <w:b w:val="0"/>
          <w:color w:val="auto"/>
          <w:sz w:val="32"/>
          <w:szCs w:val="32"/>
          <w:shd w:val="clear" w:color="auto" w:fill="auto"/>
          <w:lang w:val="en-US" w:eastAsia="zh-CN"/>
        </w:rPr>
        <w:t>40</w:t>
      </w:r>
      <w:r>
        <w:rPr>
          <w:rFonts w:ascii="Times New Roman" w:eastAsia="仿宋_GB2312"/>
          <w:b w:val="0"/>
          <w:color w:val="auto"/>
          <w:sz w:val="32"/>
          <w:szCs w:val="32"/>
          <w:shd w:val="clear" w:color="auto" w:fill="auto"/>
        </w:rPr>
        <w:t>万元，执行数为</w:t>
      </w:r>
      <w:r>
        <w:rPr>
          <w:rFonts w:hint="eastAsia" w:ascii="Times New Roman" w:eastAsia="仿宋_GB2312"/>
          <w:b w:val="0"/>
          <w:color w:val="auto"/>
          <w:sz w:val="32"/>
          <w:szCs w:val="32"/>
          <w:shd w:val="clear" w:color="auto" w:fill="auto"/>
          <w:lang w:val="en-US" w:eastAsia="zh-CN"/>
        </w:rPr>
        <w:t>40</w:t>
      </w:r>
      <w:r>
        <w:rPr>
          <w:rFonts w:ascii="Times New Roman" w:eastAsia="仿宋_GB2312"/>
          <w:b w:val="0"/>
          <w:color w:val="auto"/>
          <w:sz w:val="32"/>
          <w:szCs w:val="32"/>
          <w:shd w:val="clear" w:color="auto" w:fill="auto"/>
        </w:rPr>
        <w:t>万元，完成预算的</w:t>
      </w:r>
      <w:r>
        <w:rPr>
          <w:rFonts w:hint="eastAsia" w:ascii="Times New Roman" w:eastAsia="仿宋_GB2312"/>
          <w:b w:val="0"/>
          <w:color w:val="auto"/>
          <w:sz w:val="32"/>
          <w:szCs w:val="32"/>
          <w:shd w:val="clear" w:color="auto" w:fill="auto"/>
          <w:lang w:val="en-US" w:eastAsia="zh-CN"/>
        </w:rPr>
        <w:t>100.0</w:t>
      </w:r>
      <w:r>
        <w:rPr>
          <w:rFonts w:ascii="Times New Roman" w:eastAsia="仿宋_GB2312"/>
          <w:b w:val="0"/>
          <w:color w:val="auto"/>
          <w:sz w:val="32"/>
          <w:szCs w:val="32"/>
          <w:shd w:val="clear" w:color="auto" w:fill="auto"/>
        </w:rPr>
        <w:t>%。项目绩效目标完成情况：一是</w:t>
      </w:r>
      <w:r>
        <w:rPr>
          <w:rFonts w:hint="eastAsia" w:ascii="仿宋" w:hAnsi="仿宋" w:eastAsia="仿宋" w:cs="仿宋"/>
          <w:color w:val="auto"/>
          <w:kern w:val="0"/>
          <w:sz w:val="32"/>
          <w:szCs w:val="32"/>
          <w:shd w:val="clear" w:color="auto" w:fill="auto"/>
        </w:rPr>
        <w:t>用于完善治超站点建设及日常运行维护</w:t>
      </w:r>
      <w:r>
        <w:rPr>
          <w:rFonts w:ascii="Times New Roman" w:eastAsia="仿宋_GB2312"/>
          <w:b w:val="0"/>
          <w:color w:val="auto"/>
          <w:sz w:val="32"/>
          <w:szCs w:val="32"/>
          <w:shd w:val="clear" w:color="auto" w:fill="auto"/>
        </w:rPr>
        <w:t>；二是</w:t>
      </w:r>
      <w:r>
        <w:rPr>
          <w:rFonts w:hint="eastAsia" w:ascii="仿宋" w:hAnsi="仿宋" w:eastAsia="仿宋" w:cs="仿宋"/>
          <w:color w:val="auto"/>
          <w:kern w:val="0"/>
          <w:sz w:val="32"/>
          <w:szCs w:val="32"/>
          <w:shd w:val="clear" w:color="auto" w:fill="auto"/>
        </w:rPr>
        <w:t>治超站建设及工作顺利开展</w:t>
      </w:r>
      <w:r>
        <w:rPr>
          <w:rFonts w:hint="eastAsia" w:ascii="仿宋" w:hAnsi="仿宋" w:eastAsia="仿宋" w:cs="仿宋"/>
          <w:color w:val="auto"/>
          <w:kern w:val="0"/>
          <w:sz w:val="32"/>
          <w:szCs w:val="32"/>
          <w:shd w:val="clear" w:color="auto" w:fill="auto"/>
          <w:lang w:eastAsia="zh-CN"/>
        </w:rPr>
        <w:t>。</w:t>
      </w:r>
    </w:p>
    <w:p>
      <w:pPr>
        <w:widowControl/>
        <w:spacing w:before="0" w:beforeLines="0" w:beforeAutospacing="0" w:after="0" w:afterLines="0" w:afterAutospacing="0" w:line="360" w:lineRule="auto"/>
        <w:ind w:firstLine="640" w:firstLineChars="200"/>
        <w:jc w:val="left"/>
        <w:rPr>
          <w:rFonts w:hint="eastAsia" w:ascii="仿宋" w:hAnsi="仿宋" w:eastAsia="仿宋" w:cs="仿宋"/>
          <w:color w:val="auto"/>
          <w:kern w:val="0"/>
          <w:sz w:val="32"/>
          <w:szCs w:val="32"/>
          <w:shd w:val="clear" w:color="auto" w:fill="auto"/>
          <w:lang w:eastAsia="zh-CN"/>
        </w:rPr>
      </w:pPr>
    </w:p>
    <w:p>
      <w:pPr>
        <w:widowControl/>
        <w:numPr>
          <w:numId w:val="0"/>
        </w:numPr>
        <w:spacing w:before="0" w:beforeLines="0" w:beforeAutospacing="0" w:after="0" w:afterLines="0" w:afterAutospacing="0" w:line="360" w:lineRule="auto"/>
        <w:jc w:val="left"/>
        <w:rPr>
          <w:rFonts w:hint="eastAsia" w:ascii="Times New Roman" w:eastAsia="仿宋_GB2312"/>
          <w:b/>
          <w:color w:val="0000FF"/>
          <w:sz w:val="32"/>
          <w:szCs w:val="32"/>
          <w:lang w:val="en-US" w:eastAsia="zh-CN"/>
        </w:rPr>
      </w:pPr>
      <w:r>
        <w:rPr>
          <w:rFonts w:hint="eastAsia" w:ascii="Times New Roman" w:eastAsia="仿宋_GB2312"/>
          <w:b/>
          <w:color w:val="0000FF"/>
          <w:sz w:val="32"/>
          <w:szCs w:val="32"/>
          <w:lang w:val="en-US" w:eastAsia="zh-CN"/>
        </w:rPr>
        <w:t xml:space="preserve">    </w:t>
      </w:r>
    </w:p>
    <w:tbl>
      <w:tblPr>
        <w:tblW w:w="8490" w:type="dxa"/>
        <w:tblInd w:w="0" w:type="dxa"/>
        <w:shd w:val="clear"/>
        <w:tblLayout w:type="fixed"/>
        <w:tblCellMar>
          <w:top w:w="0" w:type="dxa"/>
          <w:left w:w="0" w:type="dxa"/>
          <w:bottom w:w="0" w:type="dxa"/>
          <w:right w:w="0" w:type="dxa"/>
        </w:tblCellMar>
      </w:tblPr>
      <w:tblGrid>
        <w:gridCol w:w="1536"/>
        <w:gridCol w:w="804"/>
        <w:gridCol w:w="598"/>
        <w:gridCol w:w="550"/>
        <w:gridCol w:w="60"/>
        <w:gridCol w:w="453"/>
        <w:gridCol w:w="145"/>
        <w:gridCol w:w="894"/>
        <w:gridCol w:w="990"/>
        <w:gridCol w:w="1030"/>
        <w:gridCol w:w="1430"/>
      </w:tblGrid>
      <w:tr>
        <w:tblPrEx>
          <w:shd w:val="clear"/>
          <w:tblLayout w:type="fixed"/>
          <w:tblCellMar>
            <w:top w:w="0" w:type="dxa"/>
            <w:left w:w="0" w:type="dxa"/>
            <w:bottom w:w="0" w:type="dxa"/>
            <w:right w:w="0" w:type="dxa"/>
          </w:tblCellMar>
        </w:tblPrEx>
        <w:trPr>
          <w:trHeight w:val="540" w:hRule="atLeast"/>
        </w:trPr>
        <w:tc>
          <w:tcPr>
            <w:tcW w:w="8490" w:type="dxa"/>
            <w:gridSpan w:val="11"/>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eastAsia" w:ascii="方正小标宋_GBK" w:hAnsi="方正小标宋_GBK" w:eastAsia="方正小标宋_GBK" w:cs="方正小标宋_GBK"/>
                <w:i w:val="0"/>
                <w:color w:val="000000"/>
                <w:kern w:val="0"/>
                <w:sz w:val="44"/>
                <w:szCs w:val="44"/>
                <w:u w:val="none"/>
                <w:bdr w:val="none" w:color="auto" w:sz="0" w:space="0"/>
                <w:lang w:val="en-US" w:eastAsia="zh-CN" w:bidi="ar"/>
              </w:rPr>
              <w:t>县级部门预算项目绩效自评表</w:t>
            </w:r>
          </w:p>
        </w:tc>
      </w:tr>
      <w:tr>
        <w:tblPrEx>
          <w:tblLayout w:type="fixed"/>
          <w:tblCellMar>
            <w:top w:w="0" w:type="dxa"/>
            <w:left w:w="0" w:type="dxa"/>
            <w:bottom w:w="0" w:type="dxa"/>
            <w:right w:w="0" w:type="dxa"/>
          </w:tblCellMar>
        </w:tblPrEx>
        <w:trPr>
          <w:trHeight w:val="315" w:hRule="atLeast"/>
        </w:trPr>
        <w:tc>
          <w:tcPr>
            <w:tcW w:w="8490" w:type="dxa"/>
            <w:gridSpan w:val="11"/>
            <w:tcBorders>
              <w:top w:val="nil"/>
              <w:left w:val="nil"/>
              <w:bottom w:val="nil"/>
              <w:right w:val="nil"/>
            </w:tcBorders>
            <w:shd w:val="clear"/>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 2024年度）</w:t>
            </w:r>
          </w:p>
        </w:tc>
      </w:tr>
      <w:tr>
        <w:tblPrEx>
          <w:tblLayout w:type="fixed"/>
          <w:tblCellMar>
            <w:top w:w="0" w:type="dxa"/>
            <w:left w:w="0" w:type="dxa"/>
            <w:bottom w:w="0" w:type="dxa"/>
            <w:right w:w="0" w:type="dxa"/>
          </w:tblCellMar>
        </w:tblPrEx>
        <w:trPr>
          <w:trHeight w:val="360" w:hRule="atLeast"/>
        </w:trPr>
        <w:tc>
          <w:tcPr>
            <w:tcW w:w="1536"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填报单位：</w:t>
            </w:r>
          </w:p>
        </w:tc>
        <w:tc>
          <w:tcPr>
            <w:tcW w:w="1402" w:type="dxa"/>
            <w:gridSpan w:val="2"/>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行唐县交通运输局</w:t>
            </w:r>
          </w:p>
        </w:tc>
        <w:tc>
          <w:tcPr>
            <w:tcW w:w="1208" w:type="dxa"/>
            <w:gridSpan w:val="4"/>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94"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0"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0"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30"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金额单位：万元</w:t>
            </w:r>
          </w:p>
        </w:tc>
      </w:tr>
      <w:tr>
        <w:tblPrEx>
          <w:tblLayout w:type="fixed"/>
          <w:tblCellMar>
            <w:top w:w="0" w:type="dxa"/>
            <w:left w:w="0" w:type="dxa"/>
            <w:bottom w:w="0" w:type="dxa"/>
            <w:right w:w="0" w:type="dxa"/>
          </w:tblCellMar>
        </w:tblPrEx>
        <w:trPr>
          <w:trHeight w:val="1120" w:hRule="atLeast"/>
        </w:trPr>
        <w:tc>
          <w:tcPr>
            <w:tcW w:w="1536" w:type="dxa"/>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一、</w:t>
            </w:r>
            <w:r>
              <w:rPr>
                <w:rFonts w:ascii="Calibri" w:hAnsi="Calibri" w:eastAsia="宋体" w:cs="Calibri"/>
                <w:i w:val="0"/>
                <w:color w:val="000000"/>
                <w:kern w:val="0"/>
                <w:sz w:val="20"/>
                <w:szCs w:val="20"/>
                <w:u w:val="none"/>
                <w:bdr w:val="none" w:color="auto" w:sz="0" w:space="0"/>
                <w:lang w:val="en-US" w:eastAsia="zh-CN" w:bidi="ar"/>
              </w:rPr>
              <w:t xml:space="preserve"> </w:t>
            </w:r>
            <w:r>
              <w:rPr>
                <w:rFonts w:hint="eastAsia" w:ascii="宋体" w:hAnsi="宋体" w:eastAsia="宋体" w:cs="宋体"/>
                <w:i w:val="0"/>
                <w:color w:val="000000"/>
                <w:kern w:val="0"/>
                <w:sz w:val="20"/>
                <w:szCs w:val="20"/>
                <w:u w:val="none"/>
                <w:bdr w:val="none" w:color="auto" w:sz="0" w:space="0"/>
                <w:lang w:val="en-US" w:eastAsia="zh-CN" w:bidi="ar"/>
              </w:rPr>
              <w:t>基本情况</w:t>
            </w:r>
          </w:p>
        </w:tc>
        <w:tc>
          <w:tcPr>
            <w:tcW w:w="80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项目名称</w:t>
            </w:r>
          </w:p>
        </w:tc>
        <w:tc>
          <w:tcPr>
            <w:tcW w:w="1806"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石家庄行唐县无繁公路市同治超站治超资金</w:t>
            </w:r>
          </w:p>
        </w:tc>
        <w:tc>
          <w:tcPr>
            <w:tcW w:w="89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实施(主管）单位</w:t>
            </w:r>
          </w:p>
        </w:tc>
        <w:tc>
          <w:tcPr>
            <w:tcW w:w="3450" w:type="dxa"/>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行唐县交通运输局</w:t>
            </w:r>
          </w:p>
        </w:tc>
      </w:tr>
      <w:tr>
        <w:tblPrEx>
          <w:tblLayout w:type="fixed"/>
          <w:tblCellMar>
            <w:top w:w="0" w:type="dxa"/>
            <w:left w:w="0" w:type="dxa"/>
            <w:bottom w:w="0" w:type="dxa"/>
            <w:right w:w="0" w:type="dxa"/>
          </w:tblCellMar>
        </w:tblPrEx>
        <w:trPr>
          <w:trHeight w:val="480" w:hRule="atLeast"/>
        </w:trPr>
        <w:tc>
          <w:tcPr>
            <w:tcW w:w="1536"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二、预算执行情况</w:t>
            </w:r>
          </w:p>
        </w:tc>
        <w:tc>
          <w:tcPr>
            <w:tcW w:w="1402"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预算安排情况（调整后）</w:t>
            </w:r>
          </w:p>
        </w:tc>
        <w:tc>
          <w:tcPr>
            <w:tcW w:w="2102"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资金到位情况</w:t>
            </w:r>
          </w:p>
        </w:tc>
        <w:tc>
          <w:tcPr>
            <w:tcW w:w="2020" w:type="dxa"/>
            <w:gridSpan w:val="2"/>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资金执行情况</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预算执行进度</w:t>
            </w:r>
          </w:p>
        </w:tc>
      </w:tr>
      <w:tr>
        <w:tblPrEx>
          <w:tblLayout w:type="fixed"/>
          <w:tblCellMar>
            <w:top w:w="0" w:type="dxa"/>
            <w:left w:w="0" w:type="dxa"/>
            <w:bottom w:w="0" w:type="dxa"/>
            <w:right w:w="0" w:type="dxa"/>
          </w:tblCellMar>
        </w:tblPrEx>
        <w:trPr>
          <w:trHeight w:val="420" w:hRule="atLeast"/>
        </w:trPr>
        <w:tc>
          <w:tcPr>
            <w:tcW w:w="153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预算数：</w:t>
            </w:r>
          </w:p>
        </w:tc>
        <w:tc>
          <w:tcPr>
            <w:tcW w:w="5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40</w:t>
            </w:r>
          </w:p>
        </w:tc>
        <w:tc>
          <w:tcPr>
            <w:tcW w:w="1208"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到位数：</w:t>
            </w:r>
          </w:p>
        </w:tc>
        <w:tc>
          <w:tcPr>
            <w:tcW w:w="89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执行数：</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40</w:t>
            </w:r>
          </w:p>
        </w:tc>
        <w:tc>
          <w:tcPr>
            <w:tcW w:w="143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100%</w:t>
            </w:r>
          </w:p>
        </w:tc>
      </w:tr>
      <w:tr>
        <w:tblPrEx>
          <w:tblLayout w:type="fixed"/>
          <w:tblCellMar>
            <w:top w:w="0" w:type="dxa"/>
            <w:left w:w="0" w:type="dxa"/>
            <w:bottom w:w="0" w:type="dxa"/>
            <w:right w:w="0" w:type="dxa"/>
          </w:tblCellMar>
        </w:tblPrEx>
        <w:trPr>
          <w:trHeight w:val="680" w:hRule="atLeast"/>
        </w:trPr>
        <w:tc>
          <w:tcPr>
            <w:tcW w:w="153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其中：                 财政资金</w:t>
            </w:r>
          </w:p>
        </w:tc>
        <w:tc>
          <w:tcPr>
            <w:tcW w:w="5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40</w:t>
            </w:r>
          </w:p>
        </w:tc>
        <w:tc>
          <w:tcPr>
            <w:tcW w:w="1208"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其中：                      财政资金</w:t>
            </w:r>
          </w:p>
        </w:tc>
        <w:tc>
          <w:tcPr>
            <w:tcW w:w="89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其中：                     财政资金</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40</w:t>
            </w:r>
          </w:p>
        </w:tc>
        <w:tc>
          <w:tcPr>
            <w:tcW w:w="143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05" w:hRule="atLeast"/>
        </w:trPr>
        <w:tc>
          <w:tcPr>
            <w:tcW w:w="153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其他</w:t>
            </w:r>
          </w:p>
        </w:tc>
        <w:tc>
          <w:tcPr>
            <w:tcW w:w="5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1208"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其他</w:t>
            </w:r>
          </w:p>
        </w:tc>
        <w:tc>
          <w:tcPr>
            <w:tcW w:w="89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其他</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465" w:hRule="atLeast"/>
        </w:trPr>
        <w:tc>
          <w:tcPr>
            <w:tcW w:w="1536"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三、目标完成情况</w:t>
            </w:r>
          </w:p>
        </w:tc>
        <w:tc>
          <w:tcPr>
            <w:tcW w:w="2610" w:type="dxa"/>
            <w:gridSpan w:val="6"/>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年度预期目标</w:t>
            </w:r>
          </w:p>
        </w:tc>
        <w:tc>
          <w:tcPr>
            <w:tcW w:w="2914" w:type="dxa"/>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具体完成情况</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总体完成率</w:t>
            </w:r>
          </w:p>
        </w:tc>
      </w:tr>
      <w:tr>
        <w:tblPrEx>
          <w:tblLayout w:type="fixed"/>
          <w:tblCellMar>
            <w:top w:w="0" w:type="dxa"/>
            <w:left w:w="0" w:type="dxa"/>
            <w:bottom w:w="0" w:type="dxa"/>
            <w:right w:w="0" w:type="dxa"/>
          </w:tblCellMar>
        </w:tblPrEx>
        <w:trPr>
          <w:trHeight w:val="120" w:hRule="atLeast"/>
        </w:trPr>
        <w:tc>
          <w:tcPr>
            <w:tcW w:w="153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10" w:type="dxa"/>
            <w:gridSpan w:val="6"/>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按照广泛宣传、统一行动、多方合作，对车辆超限超载进行综合治理，坚决打击车辆超限超载违法行为，确保治超工作开展顺利，全额用于治超站点。为了保护公路路面没确保公路使用年限。</w:t>
            </w:r>
          </w:p>
        </w:tc>
        <w:tc>
          <w:tcPr>
            <w:tcW w:w="2914" w:type="dxa"/>
            <w:gridSpan w:val="3"/>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已完成</w:t>
            </w:r>
          </w:p>
        </w:tc>
        <w:tc>
          <w:tcPr>
            <w:tcW w:w="1430" w:type="dxa"/>
            <w:vMerge w:val="restart"/>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100%</w:t>
            </w:r>
          </w:p>
        </w:tc>
      </w:tr>
      <w:tr>
        <w:tblPrEx>
          <w:tblLayout w:type="fixed"/>
          <w:tblCellMar>
            <w:top w:w="0" w:type="dxa"/>
            <w:left w:w="0" w:type="dxa"/>
            <w:bottom w:w="0" w:type="dxa"/>
            <w:right w:w="0" w:type="dxa"/>
          </w:tblCellMar>
        </w:tblPrEx>
        <w:trPr>
          <w:trHeight w:val="220" w:hRule="atLeast"/>
        </w:trPr>
        <w:tc>
          <w:tcPr>
            <w:tcW w:w="153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10" w:type="dxa"/>
            <w:gridSpan w:val="6"/>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2914" w:type="dxa"/>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1080" w:hRule="atLeast"/>
        </w:trPr>
        <w:tc>
          <w:tcPr>
            <w:tcW w:w="1536"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10" w:type="dxa"/>
            <w:gridSpan w:val="6"/>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2914" w:type="dxa"/>
            <w:gridSpan w:val="3"/>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30" w:type="dxa"/>
            <w:vMerge w:val="continue"/>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Layout w:type="fixed"/>
          <w:tblCellMar>
            <w:top w:w="0" w:type="dxa"/>
            <w:left w:w="0" w:type="dxa"/>
            <w:bottom w:w="0" w:type="dxa"/>
            <w:right w:w="0" w:type="dxa"/>
          </w:tblCellMar>
        </w:tblPrEx>
        <w:trPr>
          <w:trHeight w:val="540" w:hRule="atLeast"/>
        </w:trPr>
        <w:tc>
          <w:tcPr>
            <w:tcW w:w="1536" w:type="dxa"/>
            <w:vMerge w:val="restart"/>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四、</w:t>
            </w:r>
            <w:r>
              <w:rPr>
                <w:rFonts w:ascii="Calibri" w:hAnsi="Calibri" w:eastAsia="宋体" w:cs="Calibri"/>
                <w:i w:val="0"/>
                <w:color w:val="000000"/>
                <w:kern w:val="0"/>
                <w:sz w:val="20"/>
                <w:szCs w:val="20"/>
                <w:u w:val="none"/>
                <w:bdr w:val="none" w:color="auto" w:sz="0" w:space="0"/>
                <w:lang w:val="en-US" w:eastAsia="zh-CN" w:bidi="ar"/>
              </w:rPr>
              <w:t xml:space="preserve"> </w:t>
            </w:r>
            <w:r>
              <w:rPr>
                <w:rFonts w:hint="eastAsia" w:ascii="宋体" w:hAnsi="宋体" w:eastAsia="宋体" w:cs="宋体"/>
                <w:i w:val="0"/>
                <w:color w:val="000000"/>
                <w:kern w:val="0"/>
                <w:sz w:val="20"/>
                <w:szCs w:val="20"/>
                <w:u w:val="none"/>
                <w:bdr w:val="none" w:color="auto" w:sz="0" w:space="0"/>
                <w:lang w:val="en-US" w:eastAsia="zh-CN" w:bidi="ar"/>
              </w:rPr>
              <w:t>年度绩效指标完成情况</w:t>
            </w:r>
          </w:p>
        </w:tc>
        <w:tc>
          <w:tcPr>
            <w:tcW w:w="80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一级指标</w:t>
            </w:r>
          </w:p>
        </w:tc>
        <w:tc>
          <w:tcPr>
            <w:tcW w:w="5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二级指标</w:t>
            </w:r>
          </w:p>
        </w:tc>
        <w:tc>
          <w:tcPr>
            <w:tcW w:w="2102"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三级指标</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预期指标值</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实际完成值</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自评得分</w:t>
            </w:r>
          </w:p>
        </w:tc>
      </w:tr>
      <w:tr>
        <w:tblPrEx>
          <w:tblLayout w:type="fixed"/>
          <w:tblCellMar>
            <w:top w:w="0" w:type="dxa"/>
            <w:left w:w="0" w:type="dxa"/>
            <w:bottom w:w="0" w:type="dxa"/>
            <w:right w:w="0" w:type="dxa"/>
          </w:tblCellMar>
        </w:tblPrEx>
        <w:trPr>
          <w:trHeight w:val="66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restart"/>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产出指标（40）</w:t>
            </w:r>
          </w:p>
        </w:tc>
        <w:tc>
          <w:tcPr>
            <w:tcW w:w="598" w:type="dxa"/>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数量指标</w:t>
            </w:r>
          </w:p>
        </w:tc>
        <w:tc>
          <w:tcPr>
            <w:tcW w:w="2102"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用于治超站</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88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质量指标</w:t>
            </w:r>
          </w:p>
        </w:tc>
        <w:tc>
          <w:tcPr>
            <w:tcW w:w="2102"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结项鉴定优秀等级项目数量占结项总数</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99%</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58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时效指标</w:t>
            </w:r>
          </w:p>
        </w:tc>
        <w:tc>
          <w:tcPr>
            <w:tcW w:w="2102"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各项任务完成及时率（%）</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95%</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86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continue"/>
            <w:tcBorders>
              <w:top w:val="single" w:color="000000" w:sz="4" w:space="0"/>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9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成本指标</w:t>
            </w:r>
          </w:p>
        </w:tc>
        <w:tc>
          <w:tcPr>
            <w:tcW w:w="2102" w:type="dxa"/>
            <w:gridSpan w:val="5"/>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实际支出金额占项目预算金额的比率</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100%</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74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预算执行率指标</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（10分）</w:t>
            </w:r>
          </w:p>
        </w:tc>
        <w:tc>
          <w:tcPr>
            <w:tcW w:w="1208" w:type="dxa"/>
            <w:gridSpan w:val="3"/>
            <w:tcBorders>
              <w:top w:val="nil"/>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预算执行率</w:t>
            </w:r>
          </w:p>
        </w:tc>
        <w:tc>
          <w:tcPr>
            <w:tcW w:w="1492" w:type="dxa"/>
            <w:gridSpan w:val="3"/>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确保治超工作顺利开展</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≥95%</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48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restart"/>
            <w:tcBorders>
              <w:top w:val="nil"/>
              <w:left w:val="single" w:color="000000" w:sz="4" w:space="0"/>
              <w:bottom w:val="nil"/>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效益指标（40）</w:t>
            </w:r>
          </w:p>
        </w:tc>
        <w:tc>
          <w:tcPr>
            <w:tcW w:w="1148" w:type="dxa"/>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经济效益指标</w:t>
            </w:r>
          </w:p>
        </w:tc>
        <w:tc>
          <w:tcPr>
            <w:tcW w:w="1552"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工作开展顺利</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96%</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56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48" w:type="dxa"/>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社会效益指标</w:t>
            </w:r>
          </w:p>
        </w:tc>
        <w:tc>
          <w:tcPr>
            <w:tcW w:w="1552"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对当地扬尘治理明显改善</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效果明显</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27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48" w:type="dxa"/>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生态效益指标</w:t>
            </w:r>
          </w:p>
        </w:tc>
        <w:tc>
          <w:tcPr>
            <w:tcW w:w="1552"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达到标准</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≥95%</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36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vMerge w:val="continue"/>
            <w:tcBorders>
              <w:top w:val="nil"/>
              <w:left w:val="single" w:color="000000" w:sz="4" w:space="0"/>
              <w:bottom w:val="nil"/>
              <w:right w:val="single" w:color="000000" w:sz="4" w:space="0"/>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48" w:type="dxa"/>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可持续影响指标</w:t>
            </w:r>
          </w:p>
        </w:tc>
        <w:tc>
          <w:tcPr>
            <w:tcW w:w="1552"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基本公共服务水平</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明显提升</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78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满意度指标</w:t>
            </w:r>
            <w:r>
              <w:rPr>
                <w:rFonts w:hint="eastAsia" w:ascii="宋体" w:hAnsi="宋体" w:eastAsia="宋体" w:cs="宋体"/>
                <w:i w:val="0"/>
                <w:color w:val="000000"/>
                <w:kern w:val="0"/>
                <w:sz w:val="20"/>
                <w:szCs w:val="20"/>
                <w:u w:val="none"/>
                <w:bdr w:val="none" w:color="auto" w:sz="0" w:space="0"/>
                <w:lang w:val="en-US" w:eastAsia="zh-CN" w:bidi="ar"/>
              </w:rPr>
              <w:br w:type="textWrapping"/>
            </w:r>
            <w:r>
              <w:rPr>
                <w:rFonts w:hint="eastAsia" w:ascii="宋体" w:hAnsi="宋体" w:eastAsia="宋体" w:cs="宋体"/>
                <w:i w:val="0"/>
                <w:color w:val="000000"/>
                <w:kern w:val="0"/>
                <w:sz w:val="20"/>
                <w:szCs w:val="20"/>
                <w:u w:val="none"/>
                <w:bdr w:val="none" w:color="auto" w:sz="0" w:space="0"/>
                <w:lang w:val="en-US" w:eastAsia="zh-CN" w:bidi="ar"/>
              </w:rPr>
              <w:t>（10分）</w:t>
            </w:r>
          </w:p>
        </w:tc>
        <w:tc>
          <w:tcPr>
            <w:tcW w:w="1148" w:type="dxa"/>
            <w:gridSpan w:val="2"/>
            <w:tcBorders>
              <w:top w:val="single" w:color="000000" w:sz="4" w:space="0"/>
              <w:left w:val="nil"/>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满意度指标</w:t>
            </w:r>
          </w:p>
        </w:tc>
        <w:tc>
          <w:tcPr>
            <w:tcW w:w="1552" w:type="dxa"/>
            <w:gridSpan w:val="4"/>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群众满意度</w:t>
            </w:r>
          </w:p>
        </w:tc>
        <w:tc>
          <w:tcPr>
            <w:tcW w:w="99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群众满意数量占总数的比例</w:t>
            </w:r>
          </w:p>
        </w:tc>
        <w:tc>
          <w:tcPr>
            <w:tcW w:w="10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≥98%</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w:t>
            </w:r>
          </w:p>
        </w:tc>
      </w:tr>
      <w:tr>
        <w:tblPrEx>
          <w:tblLayout w:type="fixed"/>
          <w:tblCellMar>
            <w:top w:w="0" w:type="dxa"/>
            <w:left w:w="0" w:type="dxa"/>
            <w:bottom w:w="0" w:type="dxa"/>
            <w:right w:w="0" w:type="dxa"/>
          </w:tblCellMar>
        </w:tblPrEx>
        <w:trPr>
          <w:trHeight w:val="240" w:hRule="atLeast"/>
        </w:trPr>
        <w:tc>
          <w:tcPr>
            <w:tcW w:w="1536" w:type="dxa"/>
            <w:vMerge w:val="continue"/>
            <w:tcBorders>
              <w:top w:val="single" w:color="000000" w:sz="4" w:space="0"/>
              <w:left w:val="single" w:color="000000" w:sz="4" w:space="0"/>
              <w:bottom w:val="single" w:color="000000" w:sz="4" w:space="0"/>
              <w:right w:val="nil"/>
            </w:tcBorders>
            <w:shd w:val="clear"/>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24" w:type="dxa"/>
            <w:gridSpan w:val="9"/>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总分</w:t>
            </w:r>
          </w:p>
        </w:tc>
        <w:tc>
          <w:tcPr>
            <w:tcW w:w="143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bdr w:val="none" w:color="auto" w:sz="0" w:space="0"/>
                <w:lang w:val="en-US" w:eastAsia="zh-CN" w:bidi="ar"/>
              </w:rPr>
              <w:t>100</w:t>
            </w:r>
          </w:p>
        </w:tc>
      </w:tr>
      <w:tr>
        <w:tblPrEx>
          <w:tblLayout w:type="fixed"/>
          <w:tblCellMar>
            <w:top w:w="0" w:type="dxa"/>
            <w:left w:w="0" w:type="dxa"/>
            <w:bottom w:w="0" w:type="dxa"/>
            <w:right w:w="0" w:type="dxa"/>
          </w:tblCellMar>
        </w:tblPrEx>
        <w:trPr>
          <w:trHeight w:val="760" w:hRule="atLeast"/>
        </w:trPr>
        <w:tc>
          <w:tcPr>
            <w:tcW w:w="1536" w:type="dxa"/>
            <w:tcBorders>
              <w:top w:val="nil"/>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五、</w:t>
            </w:r>
            <w:r>
              <w:rPr>
                <w:rFonts w:ascii="Calibri" w:hAnsi="Calibri" w:eastAsia="宋体" w:cs="Calibri"/>
                <w:i w:val="0"/>
                <w:color w:val="000000"/>
                <w:kern w:val="0"/>
                <w:sz w:val="20"/>
                <w:szCs w:val="20"/>
                <w:u w:val="none"/>
                <w:bdr w:val="none" w:color="auto" w:sz="0" w:space="0"/>
                <w:lang w:val="en-US" w:eastAsia="zh-CN" w:bidi="ar"/>
              </w:rPr>
              <w:t xml:space="preserve"> </w:t>
            </w:r>
            <w:r>
              <w:rPr>
                <w:rFonts w:hint="eastAsia" w:ascii="宋体" w:hAnsi="宋体" w:eastAsia="宋体" w:cs="宋体"/>
                <w:i w:val="0"/>
                <w:color w:val="000000"/>
                <w:kern w:val="0"/>
                <w:sz w:val="20"/>
                <w:szCs w:val="20"/>
                <w:u w:val="none"/>
                <w:bdr w:val="none" w:color="auto" w:sz="0" w:space="0"/>
                <w:lang w:val="en-US" w:eastAsia="zh-CN" w:bidi="ar"/>
              </w:rPr>
              <w:t>存在问题、原因及下一步整改措施</w:t>
            </w:r>
          </w:p>
        </w:tc>
        <w:tc>
          <w:tcPr>
            <w:tcW w:w="6954" w:type="dxa"/>
            <w:gridSpan w:val="10"/>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无</w:t>
            </w:r>
          </w:p>
        </w:tc>
      </w:tr>
      <w:tr>
        <w:tblPrEx>
          <w:tblLayout w:type="fixed"/>
          <w:tblCellMar>
            <w:top w:w="0" w:type="dxa"/>
            <w:left w:w="0" w:type="dxa"/>
            <w:bottom w:w="0" w:type="dxa"/>
            <w:right w:w="0" w:type="dxa"/>
          </w:tblCellMar>
        </w:tblPrEx>
        <w:trPr>
          <w:trHeight w:val="360" w:hRule="atLeast"/>
        </w:trPr>
        <w:tc>
          <w:tcPr>
            <w:tcW w:w="1536"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填报人：</w:t>
            </w:r>
          </w:p>
        </w:tc>
        <w:tc>
          <w:tcPr>
            <w:tcW w:w="804"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周会芝</w:t>
            </w:r>
          </w:p>
        </w:tc>
        <w:tc>
          <w:tcPr>
            <w:tcW w:w="1148" w:type="dxa"/>
            <w:gridSpan w:val="2"/>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3" w:type="dxa"/>
            <w:gridSpan w:val="2"/>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9" w:type="dxa"/>
            <w:gridSpan w:val="2"/>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90" w:type="dxa"/>
            <w:tcBorders>
              <w:top w:val="nil"/>
              <w:left w:val="nil"/>
              <w:bottom w:val="nil"/>
              <w:right w:val="nil"/>
            </w:tcBorders>
            <w:shd w:val="clear"/>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30"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联系电话：</w:t>
            </w:r>
          </w:p>
        </w:tc>
        <w:tc>
          <w:tcPr>
            <w:tcW w:w="1430" w:type="dxa"/>
            <w:tcBorders>
              <w:top w:val="nil"/>
              <w:left w:val="nil"/>
              <w:bottom w:val="nil"/>
              <w:right w:val="nil"/>
            </w:tcBorders>
            <w:shd w:val="clear"/>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bdr w:val="none" w:color="auto" w:sz="0" w:space="0"/>
                <w:lang w:val="en-US" w:eastAsia="zh-CN" w:bidi="ar"/>
              </w:rPr>
              <w:t>15830187989</w:t>
            </w:r>
          </w:p>
        </w:tc>
      </w:tr>
    </w:tbl>
    <w:p>
      <w:pPr>
        <w:widowControl/>
        <w:numPr>
          <w:numId w:val="0"/>
        </w:numPr>
        <w:spacing w:before="0" w:beforeLines="0" w:beforeAutospacing="0" w:after="0" w:afterLines="0" w:afterAutospacing="0" w:line="360" w:lineRule="auto"/>
        <w:jc w:val="left"/>
        <w:rPr>
          <w:rFonts w:hint="default" w:ascii="Times New Roman" w:eastAsia="仿宋_GB2312"/>
          <w:b/>
          <w:color w:val="0000FF"/>
          <w:sz w:val="32"/>
          <w:szCs w:val="32"/>
          <w:lang w:val="en-US" w:eastAsia="zh-CN"/>
        </w:rPr>
      </w:pPr>
    </w:p>
    <w:p>
      <w:pPr>
        <w:widowControl/>
        <w:numPr>
          <w:ilvl w:val="0"/>
          <w:numId w:val="3"/>
        </w:numPr>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color w:val="auto"/>
          <w:sz w:val="32"/>
          <w:szCs w:val="32"/>
        </w:rPr>
        <w:t>部门评价项目绩效评价结果</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1.本单位2024年度政府性基金预算财政拨款收入支出决算表（公开07表）、国有资本经营预算财政拨款支出决算表（公开08表）无相应收支，故空表列示。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92197173-A4F8-4027-941B-8088B015A2DD}"/>
  </w:font>
  <w:font w:name="黑体">
    <w:panose1 w:val="02010609060101010101"/>
    <w:charset w:val="86"/>
    <w:family w:val="auto"/>
    <w:pitch w:val="default"/>
    <w:sig w:usb0="800002BF" w:usb1="38CF7CFA" w:usb2="00000016" w:usb3="00000000" w:csb0="00040001" w:csb1="00000000"/>
    <w:embedRegular r:id="rId2" w:fontKey="{E118C6DF-0464-4EA1-88F5-111BC343297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343144CE-1C55-4972-BA4E-74BC143355FA}"/>
  </w:font>
  <w:font w:name="仿宋">
    <w:panose1 w:val="02010609060101010101"/>
    <w:charset w:val="86"/>
    <w:family w:val="modern"/>
    <w:pitch w:val="default"/>
    <w:sig w:usb0="800002BF" w:usb1="38CF7CFA" w:usb2="00000016" w:usb3="00000000" w:csb0="00040001" w:csb1="00000000"/>
    <w:embedRegular r:id="rId4" w:fontKey="{5439B7D2-3D03-478C-B543-6FF7CCF0A97B}"/>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5" w:fontKey="{E3ADA77E-D0EA-4E4D-B725-0B1CFEB9DC28}"/>
  </w:font>
  <w:font w:name="方正小标宋_GBK">
    <w:panose1 w:val="03000509000000000000"/>
    <w:charset w:val="86"/>
    <w:family w:val="script"/>
    <w:pitch w:val="default"/>
    <w:sig w:usb0="00000001" w:usb1="080E0000" w:usb2="00000000" w:usb3="00000000" w:csb0="00040000" w:csb1="00000000"/>
    <w:embedRegular r:id="rId6" w:fontKey="{3722A104-9AC1-42F6-B1F9-21FF722D217F}"/>
  </w:font>
  <w:font w:name="仿宋_GB2312">
    <w:panose1 w:val="02010609030101010101"/>
    <w:charset w:val="86"/>
    <w:family w:val="auto"/>
    <w:pitch w:val="default"/>
    <w:sig w:usb0="00000001" w:usb1="080E0000" w:usb2="00000000" w:usb3="00000000" w:csb0="00040000" w:csb1="00000000"/>
    <w:embedRegular r:id="rId7" w:fontKey="{2F071E45-7856-44C1-95E6-75C3145BBED5}"/>
  </w:font>
  <w:font w:name="ArialUnicodeMS">
    <w:altName w:val="Malgun Gothic"/>
    <w:panose1 w:val="00000000000000000000"/>
    <w:charset w:val="81"/>
    <w:family w:val="auto"/>
    <w:pitch w:val="default"/>
    <w:sig w:usb0="00000000" w:usb1="00000000" w:usb2="00000010" w:usb3="00000000" w:csb0="00080001" w:csb1="00000000"/>
    <w:embedRegular r:id="rId8" w:fontKey="{AE17568F-28D4-4259-A3EC-63603D55373E}"/>
  </w:font>
  <w:font w:name="方正仿宋_GB2312">
    <w:panose1 w:val="02000000000000000000"/>
    <w:charset w:val="86"/>
    <w:family w:val="auto"/>
    <w:pitch w:val="default"/>
    <w:sig w:usb0="00000000" w:usb1="00000000" w:usb2="00000000" w:usb3="00000000" w:csb0="00000000" w:csb1="00000000"/>
    <w:embedRegular r:id="rId9" w:fontKey="{152FFF92-91FF-4E3A-B733-880ADB10D52E}"/>
  </w:font>
  <w:font w:name="Malgun Gothic">
    <w:panose1 w:val="020B0503020000020004"/>
    <w:charset w:val="81"/>
    <w:family w:val="auto"/>
    <w:pitch w:val="default"/>
    <w:sig w:usb0="900002AF" w:usb1="01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9AD5D27"/>
    <w:multiLevelType w:val="singleLevel"/>
    <w:tmpl w:val="A9AD5D27"/>
    <w:lvl w:ilvl="0" w:tentative="0">
      <w:start w:val="1"/>
      <w:numFmt w:val="decimal"/>
      <w:suff w:val="nothing"/>
      <w:lvlText w:val="%1、"/>
      <w:lvlJc w:val="left"/>
    </w:lvl>
  </w:abstractNum>
  <w:abstractNum w:abstractNumId="1">
    <w:nsid w:val="04FB5AE3"/>
    <w:multiLevelType w:val="singleLevel"/>
    <w:tmpl w:val="04FB5AE3"/>
    <w:lvl w:ilvl="0" w:tentative="0">
      <w:start w:val="3"/>
      <w:numFmt w:val="chineseCounting"/>
      <w:suff w:val="nothing"/>
      <w:lvlText w:val="（%1）"/>
      <w:lvlJc w:val="left"/>
      <w:rPr>
        <w:rFonts w:hint="eastAsia"/>
      </w:rPr>
    </w:lvl>
  </w:abstractNum>
  <w:abstractNum w:abstractNumId="2">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2D6273"/>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61416A9"/>
    <w:rsid w:val="061D60A6"/>
    <w:rsid w:val="06236884"/>
    <w:rsid w:val="06B07006"/>
    <w:rsid w:val="06FC7C2A"/>
    <w:rsid w:val="07533AFE"/>
    <w:rsid w:val="07AC18F2"/>
    <w:rsid w:val="07B3657A"/>
    <w:rsid w:val="07C857D0"/>
    <w:rsid w:val="083F3A0A"/>
    <w:rsid w:val="08AB5AAF"/>
    <w:rsid w:val="09012C64"/>
    <w:rsid w:val="093B2E99"/>
    <w:rsid w:val="095D7943"/>
    <w:rsid w:val="09C006C6"/>
    <w:rsid w:val="0A10621F"/>
    <w:rsid w:val="0A1972D9"/>
    <w:rsid w:val="0A464C4F"/>
    <w:rsid w:val="0A6729A3"/>
    <w:rsid w:val="0A694877"/>
    <w:rsid w:val="0AA954BE"/>
    <w:rsid w:val="0AE70639"/>
    <w:rsid w:val="0B4F5E6D"/>
    <w:rsid w:val="0B753AE2"/>
    <w:rsid w:val="0BB67D0A"/>
    <w:rsid w:val="0BC56230"/>
    <w:rsid w:val="0BCF21BD"/>
    <w:rsid w:val="0C4E53E8"/>
    <w:rsid w:val="0C6712D6"/>
    <w:rsid w:val="0C9F7900"/>
    <w:rsid w:val="0CB23317"/>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DA4349"/>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6E587D"/>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2D1522"/>
    <w:rsid w:val="622E0574"/>
    <w:rsid w:val="6268304D"/>
    <w:rsid w:val="62683B6B"/>
    <w:rsid w:val="6275761C"/>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11116.47</c:v>
                </c:pt>
                <c:pt idx="1">
                  <c:v>7853.23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78532314.61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20925689.62</c:v>
                </c:pt>
                <c:pt idx="1">
                  <c:v>57606624.99</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11116.47</c:v>
                </c:pt>
                <c:pt idx="1">
                  <c:v>11116.47</c:v>
                </c:pt>
                <c:pt idx="2">
                  <c:v>11083.7</c:v>
                </c:pt>
                <c:pt idx="3">
                  <c:v>11083.7</c:v>
                </c:pt>
                <c:pt idx="4">
                  <c:v>32.77</c:v>
                </c:pt>
                <c:pt idx="5">
                  <c:v>32.77</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7853.23</c:v>
                </c:pt>
                <c:pt idx="1">
                  <c:v>7853.23</c:v>
                </c:pt>
                <c:pt idx="2">
                  <c:v>7853.23</c:v>
                </c:pt>
                <c:pt idx="3">
                  <c:v>7853.23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6914.58</c:v>
                </c:pt>
                <c:pt idx="1">
                  <c:v>6914.58</c:v>
                </c:pt>
                <c:pt idx="2">
                  <c:v>6914.58</c:v>
                </c:pt>
                <c:pt idx="3">
                  <c:v>6914.58</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7853.23</c:v>
                </c:pt>
                <c:pt idx="1">
                  <c:v>7853.23</c:v>
                </c:pt>
                <c:pt idx="2">
                  <c:v>7853.23</c:v>
                </c:pt>
                <c:pt idx="3">
                  <c:v>7853.23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0</c:v>
                </c:pt>
                <c:pt idx="1">
                  <c:v>0</c:v>
                </c:pt>
                <c:pt idx="2">
                  <c:v>0</c:v>
                </c:pt>
                <c:pt idx="3">
                  <c:v>0</c:v>
                </c:pt>
                <c:pt idx="4">
                  <c:v>0</c:v>
                </c:pt>
                <c:pt idx="5">
                  <c:v>0</c:v>
                </c:pt>
                <c:pt idx="6">
                  <c:v>0</c:v>
                </c:pt>
                <c:pt idx="7">
                  <c:v>0</c:v>
                </c:pt>
                <c:pt idx="8">
                  <c:v>0</c:v>
                </c:pt>
                <c:pt idx="9">
                  <c:v>0</c:v>
                </c:pt>
                <c:pt idx="10">
                  <c:v>130</c:v>
                </c:pt>
                <c:pt idx="11">
                  <c:v>1849.49</c:v>
                </c:pt>
                <c:pt idx="12">
                  <c:v>5366.74</c:v>
                </c:pt>
                <c:pt idx="13">
                  <c:v>0</c:v>
                </c:pt>
                <c:pt idx="14">
                  <c:v>0</c:v>
                </c:pt>
                <c:pt idx="15">
                  <c:v>0</c:v>
                </c:pt>
                <c:pt idx="16">
                  <c:v>0</c:v>
                </c:pt>
                <c:pt idx="17">
                  <c:v>0</c:v>
                </c:pt>
                <c:pt idx="18">
                  <c:v>0</c:v>
                </c:pt>
                <c:pt idx="19">
                  <c:v>0</c:v>
                </c:pt>
                <c:pt idx="20">
                  <c:v>0</c:v>
                </c:pt>
                <c:pt idx="21">
                  <c:v>507</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25</Pages>
  <Words>611</Words>
  <Characters>2169</Characters>
  <Lines>86</Lines>
  <Paragraphs>24</Paragraphs>
  <TotalTime>23</TotalTime>
  <ScaleCrop>false</ScaleCrop>
  <LinksUpToDate>false</LinksUpToDate>
  <CharactersWithSpaces>2170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2025-09-24T03:08:52Z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B9D4097774744A28A58B1072CF95DB35_13</vt:lpwstr>
  </property>
  <property fmtid="{D5CDD505-2E9C-101B-9397-08002B2CF9AE}" pid="4" name="KSOTemplateUUID">
    <vt:lpwstr>v1.0_mb_S7ajbG3IpAnL1wSthNCxfw==</vt:lpwstr>
  </property>
  <property fmtid="{D5CDD505-2E9C-101B-9397-08002B2CF9AE}" pid="5" name="KSOTemplateDocerSaveRecord">
    <vt:lpwstr>eyJoZGlkIjoiYjA3YzVjY2RhYzM1OWI4MmYzZjdlYWUzZWM2YTQyNTYiLCJ1c2VySWQiOiIxNTIwMzY1OTkzIn0=</vt:lpwstr>
  </property>
</Properties>
</file>