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xlsx" ContentType="application/vnd.openxmlformats-officedocument.spreadsheetml.sheet"/>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spacing w:line="600" w:lineRule="auto"/>
        <w:jc w:val="both"/>
        <w:rPr>
          <w:rFonts w:ascii="楷体_GB2312" w:eastAsia="楷体_GB2312" w:cs="楷体_GB2312" w:hAnsi="楷体_GB2312" w:hint="eastAsia"/>
          <w:color w:val="000000"/>
          <w:sz w:val="40"/>
          <w:szCs w:val="40"/>
        </w:rPr>
      </w:pPr>
      <w:bookmarkStart w:id="0" w:name="_GoBack"/>
      <w:bookmarkEnd w:id="0"/>
      <w:r>
        <w:drawing>
          <wp:anchor distT="0" distB="0" distL="114300" distR="114300" simplePos="0" relativeHeight="2" behindDoc="1" locked="0" layoutInCell="1" hidden="0" allowOverlap="1">
            <wp:simplePos x="0" y="0"/>
            <wp:positionH relativeFrom="column">
              <wp:posOffset>-1692910</wp:posOffset>
            </wp:positionH>
            <wp:positionV relativeFrom="paragraph">
              <wp:posOffset>-1319530</wp:posOffset>
            </wp:positionV>
            <wp:extent cx="8646795" cy="11107419"/>
            <wp:effectExtent l="0" t="0" r="0" b="0"/>
            <wp:wrapNone/>
            <wp:docPr id="1" name="图片 15" descr="7b0a202020202266696c746572223a202230220a7d0a"/>
            <wp:cNvGraphicFramePr>
              <a:graphicFrameLocks noChangeAspect="1"/>
            </wp:cNvGraphicFramePr>
            <a:graphic>
              <a:graphicData uri="http://schemas.openxmlformats.org/drawingml/2006/picture">
                <pic:pic>
                  <pic:nvPicPr>
                    <pic:cNvPr id="3" name="图片 15 3"/>
                    <pic:cNvPicPr/>
                  </pic:nvPicPr>
                  <pic:blipFill>
                    <a:blip r:embed="rId3">
                      <a:lum bright="5999"/>
                    </a:blip>
                    <a:srcRect t="559" b="3637"/>
                    <a:stretch>
                      <a:fillRect/>
                    </a:stretch>
                  </pic:blipFill>
                  <pic:spPr>
                    <a:xfrm rot="0">
                      <a:off x="0" y="0"/>
                      <a:ext cx="8646795" cy="11107419"/>
                    </a:xfrm>
                    <a:prstGeom prst="rect"/>
                    <a:noFill/>
                    <a:ln w="9525" cmpd="sng" cap="flat">
                      <a:noFill/>
                      <a:prstDash val="solid"/>
                      <a:miter/>
                    </a:ln>
                  </pic:spPr>
                </pic:pic>
              </a:graphicData>
            </a:graphic>
          </wp:anchor>
        </w:drawing>
      </w:r>
      <w:r>
        <mc:AlternateContent>
          <mc:Choice Requires="wps">
            <w:drawing>
              <wp:anchor distT="0" distB="0" distL="114298" distR="114298" simplePos="0" relativeHeight="31" behindDoc="0" locked="0" layoutInCell="1" hidden="0" allowOverlap="1">
                <wp:simplePos x="0" y="0"/>
                <wp:positionH relativeFrom="column">
                  <wp:posOffset>-546735</wp:posOffset>
                </wp:positionH>
                <wp:positionV relativeFrom="paragraph">
                  <wp:posOffset>253365</wp:posOffset>
                </wp:positionV>
                <wp:extent cx="6431279" cy="2862579"/>
                <wp:effectExtent l="0" t="0" r="0" b="0"/>
                <wp:wrapNone/>
                <wp:docPr id="4" name="文本框 1" descr="7b0a2020202022776f7264617274223a20227b5c2269645c223a32353030323136362c5c227469645c223a5c225c227d220a7d0a"/>
                <wp:cNvGraphicFramePr>
                  <a:graphicFrameLocks noChangeAspect="0"/>
                </wp:cNvGraphicFramePr>
                <a:graphic>
                  <a:graphicData uri="http://schemas.microsoft.com/office/word/2010/wordprocessingShape">
                    <wps:wsp>
                      <wps:cNvSpPr/>
                      <wps:spPr>
                        <a:xfrm rot="0">
                          <a:off x="0" y="0"/>
                          <a:ext cx="6431279" cy="2862579"/>
                        </a:xfrm>
                        <a:prstGeom prst="rect"/>
                        <a:noFill/>
                        <a:ln w="9525" cmpd="sng" cap="flat">
                          <a:noFill/>
                          <a:prstDash val="solid"/>
                          <a:round/>
                        </a:ln>
                      </wps:spPr>
                      <wps:txbx id="5">
                        <w:txbxContent>
                          <w:p>
                            <w:pPr>
                              <w:spacing w:line="1400" w:lineRule="exact"/>
                              <w:jc w:val="left"/>
                              <w:rPr>
                                <w:rFonts w:ascii="方正小标宋_GBK" w:eastAsia="方正小标宋_GBK" w:cs="方正小标宋_GBK" w:hAnsi="方正小标宋_GBK"/>
                                <w:b/>
                                <w:bCs/>
                                <w:color w:val="0D0D0D"/>
                                <w:sz w:val="112"/>
                                <w:szCs w:val="112"/>
                                <w14:textFill>
                                  <w14:solidFill>
                                    <w14:srgbClr w14:val="0D0D0D"/>
                                  </w14:solidFill>
                                </w14:textFill>
                              </w:rPr>
                            </w:pPr>
                            <w:r>
                              <w:rPr>
                                <w:rFonts w:ascii="方正小标宋_GBK" w:eastAsia="方正小标宋_GBK" w:cs="方正小标宋_GBK" w:hAnsi="方正小标宋_GBK" w:hint="eastAsia"/>
                                <w:b/>
                                <w:bCs/>
                                <w:color w:val="0D0D0D"/>
                                <w:sz w:val="112"/>
                                <w:szCs w:val="112"/>
                                <w14:textFill>
                                  <w14:solidFill>
                                    <w14:srgbClr w14:val="0D0D0D"/>
                                  </w14:solidFill>
                                </w14:textFill>
                              </w:rPr>
                              <w:t>2024年度</w:t>
                            </w:r>
                          </w:p>
                          <w:p>
                            <w:pPr>
                              <w:spacing w:line="1400" w:lineRule="exact"/>
                              <w:jc w:val="left"/>
                              <w:rPr>
                                <w:rFonts w:ascii="方正小标宋_GBK" w:eastAsia="方正小标宋_GBK" w:cs="方正小标宋_GBK" w:hAnsi="方正小标宋_GBK"/>
                                <w:b/>
                                <w:bCs/>
                                <w:color w:val="0D0D0D"/>
                                <w:sz w:val="112"/>
                                <w:szCs w:val="112"/>
                                <w14:textFill>
                                  <w14:solidFill>
                                    <w14:srgbClr w14:val="0D0D0D"/>
                                  </w14:solidFill>
                                </w14:textFill>
                              </w:rPr>
                            </w:pPr>
                            <w:r>
                              <w:rPr>
                                <w:rFonts w:ascii="方正小标宋_GBK" w:eastAsia="方正小标宋_GBK" w:cs="方正小标宋_GBK" w:hAnsi="方正小标宋_GBK"/>
                                <w:b/>
                                <w:bCs/>
                                <w:color w:val="0D0D0D"/>
                                <w:sz w:val="112"/>
                                <w:szCs w:val="112"/>
                                <w14:textFill>
                                  <w14:solidFill>
                                    <w14:srgbClr w14:val="0D0D0D"/>
                                  </w14:solidFill>
                                </w14:textFill>
                              </w:rPr>
                              <w:t>单位</w:t>
                            </w:r>
                            <w:r>
                              <w:rPr>
                                <w:rFonts w:ascii="方正小标宋_GBK" w:eastAsia="方正小标宋_GBK" w:cs="方正小标宋_GBK" w:hAnsi="方正小标宋_GBK" w:hint="eastAsia"/>
                                <w:b/>
                                <w:bCs/>
                                <w:color w:val="0D0D0D"/>
                                <w:sz w:val="112"/>
                                <w:szCs w:val="112"/>
                                <w14:textFill>
                                  <w14:solidFill>
                                    <w14:srgbClr w14:val="0D0D0D"/>
                                  </w14:solidFill>
                                </w14:textFill>
                              </w:rPr>
                              <w:t>决算公开文本</w:t>
                            </w:r>
                          </w:p>
                        </w:txbxContent>
                      </wps:txbx>
                      <wps:bodyPr vert="horz" wrap="square" lIns="91440" tIns="45720" rIns="91440" bIns="45720" anchor="t" anchorCtr="0" upright="1">
                        <a:noAutofit/>
                      </wps:bodyPr>
                    </wps:wsp>
                  </a:graphicData>
                </a:graphic>
              </wp:anchor>
            </w:drawing>
          </mc:Choice>
          <mc:Fallback>
            <w:pict>
              <v:shape type="#_x0000_t202" id="文本框 1 6" o:spid="_x0000_s6" filled="f" stroked="f" alt="7b0a2020202022776f7264617274223a20227b5c2269645c223a32353030323136362c5c227469645c223a5c225c227d220a7d0a" style="position:absolute;margin-left:-43.05pt;margin-top:19.95pt;width:506.4pt;height:225.4pt;z-index:31;mso-position-horizontal:absolute;mso-position-vertical:absolute;mso-wrap-distance-left:8.999863pt;mso-wrap-distance-right:8.999863pt;mso-wrap-style:square;">
                <v:stroke color="#000000"/>
                <v:textbox id="849" inset="2.54mm,1.27mm,2.54mm,1.27mm" o:insetmode="custom" style="layout-flow:horizontal;v-text-anchor:top;">
                  <w:txbxContent>
                    <w:p>
                      <w:pPr>
                        <w:spacing w:line="1400" w:lineRule="exact"/>
                        <w:jc w:val="left"/>
                        <w:rPr>
                          <w:rFonts w:ascii="方正小标宋_GBK" w:eastAsia="方正小标宋_GBK" w:cs="方正小标宋_GBK" w:hAnsi="方正小标宋_GBK"/>
                          <w:b/>
                          <w:bCs/>
                          <w:color w:val="0D0D0D"/>
                          <w:sz w:val="112"/>
                          <w:szCs w:val="112"/>
                          <w14:textFill>
                            <w14:solidFill>
                              <w14:srgbClr w14:val="0D0D0D"/>
                            </w14:solidFill>
                          </w14:textFill>
                        </w:rPr>
                      </w:pPr>
                      <w:r>
                        <w:rPr>
                          <w:rFonts w:ascii="方正小标宋_GBK" w:eastAsia="方正小标宋_GBK" w:cs="方正小标宋_GBK" w:hAnsi="方正小标宋_GBK" w:hint="eastAsia"/>
                          <w:b/>
                          <w:bCs/>
                          <w:color w:val="0D0D0D"/>
                          <w:sz w:val="112"/>
                          <w:szCs w:val="112"/>
                          <w14:textFill>
                            <w14:solidFill>
                              <w14:srgbClr w14:val="0D0D0D"/>
                            </w14:solidFill>
                          </w14:textFill>
                        </w:rPr>
                        <w:t>2024年度</w:t>
                      </w:r>
                    </w:p>
                    <w:p>
                      <w:pPr>
                        <w:spacing w:line="1400" w:lineRule="exact"/>
                        <w:jc w:val="left"/>
                        <w:rPr>
                          <w:rFonts w:ascii="方正小标宋_GBK" w:eastAsia="方正小标宋_GBK" w:cs="方正小标宋_GBK" w:hAnsi="方正小标宋_GBK"/>
                          <w:b/>
                          <w:bCs/>
                          <w:color w:val="0D0D0D"/>
                          <w:sz w:val="112"/>
                          <w:szCs w:val="112"/>
                          <w14:textFill>
                            <w14:solidFill>
                              <w14:srgbClr w14:val="0D0D0D"/>
                            </w14:solidFill>
                          </w14:textFill>
                        </w:rPr>
                      </w:pPr>
                      <w:r>
                        <w:rPr>
                          <w:rFonts w:ascii="方正小标宋_GBK" w:eastAsia="方正小标宋_GBK" w:cs="方正小标宋_GBK" w:hAnsi="方正小标宋_GBK"/>
                          <w:b/>
                          <w:bCs/>
                          <w:color w:val="0D0D0D"/>
                          <w:sz w:val="112"/>
                          <w:szCs w:val="112"/>
                          <w14:textFill>
                            <w14:solidFill>
                              <w14:srgbClr w14:val="0D0D0D"/>
                            </w14:solidFill>
                          </w14:textFill>
                        </w:rPr>
                        <w:t>单位</w:t>
                      </w:r>
                      <w:r>
                        <w:rPr>
                          <w:rFonts w:ascii="方正小标宋_GBK" w:eastAsia="方正小标宋_GBK" w:cs="方正小标宋_GBK" w:hAnsi="方正小标宋_GBK" w:hint="eastAsia"/>
                          <w:b/>
                          <w:bCs/>
                          <w:color w:val="0D0D0D"/>
                          <w:sz w:val="112"/>
                          <w:szCs w:val="112"/>
                          <w14:textFill>
                            <w14:solidFill>
                              <w14:srgbClr w14:val="0D0D0D"/>
                            </w14:solidFill>
                          </w14:textFill>
                        </w:rPr>
                        <w:t>决算公开文本</w:t>
                      </w:r>
                    </w:p>
                  </w:txbxContent>
                </v:textbox>
              </v:shape>
            </w:pict>
          </mc:Fallback>
        </mc:AlternateContent>
      </w:r>
    </w:p>
    <w:p>
      <w:pPr>
        <w:spacing w:line="600" w:lineRule="auto"/>
        <w:jc w:val="both"/>
        <w:rPr>
          <w:rFonts w:ascii="楷体_GB2312" w:eastAsia="楷体_GB2312" w:cs="楷体_GB2312" w:hAnsi="楷体_GB2312" w:hint="eastAsia"/>
          <w:color w:val="000000"/>
          <w:sz w:val="40"/>
          <w:szCs w:val="40"/>
        </w:rPr>
      </w:pPr>
    </w:p>
    <w:p>
      <w:pPr>
        <w:spacing w:line="600" w:lineRule="auto"/>
        <w:jc w:val="both"/>
        <w:rPr>
          <w:rFonts w:ascii="楷体_GB2312" w:eastAsia="楷体_GB2312" w:cs="楷体_GB2312" w:hAnsi="楷体_GB2312" w:hint="eastAsia"/>
          <w:color w:val="000000"/>
          <w:sz w:val="40"/>
          <w:szCs w:val="40"/>
        </w:rPr>
      </w:pPr>
    </w:p>
    <w:p>
      <w:pPr>
        <w:spacing w:line="600" w:lineRule="auto"/>
        <w:jc w:val="both"/>
        <w:rPr>
          <w:rFonts w:ascii="楷体_GB2312" w:eastAsia="楷体_GB2312" w:cs="楷体_GB2312" w:hAnsi="楷体_GB2312" w:hint="eastAsia"/>
          <w:color w:val="000000"/>
          <w:sz w:val="40"/>
          <w:szCs w:val="40"/>
        </w:rPr>
      </w:pPr>
    </w:p>
    <w:p>
      <w:pPr>
        <w:spacing w:line="600" w:lineRule="auto"/>
        <w:jc w:val="both"/>
        <w:rPr>
          <w:rFonts w:ascii="楷体_GB2312" w:eastAsia="楷体_GB2312" w:cs="楷体_GB2312" w:hAnsi="楷体_GB2312" w:hint="eastAsia"/>
          <w:color w:val="000000"/>
          <w:sz w:val="40"/>
          <w:szCs w:val="40"/>
        </w:rPr>
      </w:pPr>
    </w:p>
    <w:p>
      <w:pPr>
        <w:spacing w:line="600" w:lineRule="auto"/>
        <w:jc w:val="both"/>
        <w:rPr>
          <w:rFonts w:ascii="楷体_GB2312" w:eastAsia="楷体_GB2312" w:cs="楷体_GB2312" w:hAnsi="楷体_GB2312" w:hint="eastAsia"/>
          <w:color w:val="000000"/>
          <w:sz w:val="40"/>
          <w:szCs w:val="40"/>
        </w:rPr>
      </w:pPr>
    </w:p>
    <w:p>
      <w:pPr>
        <w:spacing w:line="600" w:lineRule="auto"/>
        <w:jc w:val="both"/>
        <w:rPr>
          <w:rFonts w:ascii="楷体_GB2312" w:eastAsia="楷体_GB2312" w:cs="楷体_GB2312" w:hAnsi="楷体_GB2312" w:hint="eastAsia"/>
          <w:color w:val="000000"/>
          <w:sz w:val="40"/>
          <w:szCs w:val="40"/>
        </w:rPr>
      </w:pPr>
    </w:p>
    <w:p>
      <w:pPr>
        <w:spacing w:line="600" w:lineRule="auto"/>
        <w:jc w:val="both"/>
        <w:rPr>
          <w:rFonts w:ascii="楷体_GB2312" w:eastAsia="楷体_GB2312" w:cs="楷体_GB2312" w:hAnsi="楷体_GB2312" w:hint="eastAsia"/>
          <w:color w:val="000000"/>
          <w:sz w:val="40"/>
          <w:szCs w:val="40"/>
        </w:rPr>
      </w:pPr>
    </w:p>
    <w:p>
      <w:pPr>
        <w:spacing w:line="600" w:lineRule="auto"/>
        <w:jc w:val="both"/>
        <w:rPr>
          <w:rFonts w:ascii="楷体_GB2312" w:eastAsia="楷体_GB2312" w:cs="楷体_GB2312" w:hAnsi="楷体_GB2312" w:hint="eastAsia"/>
          <w:color w:val="000000"/>
          <w:sz w:val="40"/>
          <w:szCs w:val="40"/>
        </w:rPr>
      </w:pPr>
    </w:p>
    <w:p>
      <w:pPr>
        <w:spacing w:line="600" w:lineRule="auto"/>
        <w:jc w:val="both"/>
        <w:rPr>
          <w:rFonts w:ascii="楷体_GB2312" w:eastAsia="楷体_GB2312" w:cs="楷体_GB2312" w:hAnsi="楷体_GB2312" w:hint="eastAsia"/>
          <w:color w:val="000000"/>
          <w:sz w:val="40"/>
          <w:szCs w:val="40"/>
        </w:rPr>
      </w:pPr>
    </w:p>
    <w:p>
      <w:pPr>
        <w:spacing w:line="600" w:lineRule="auto"/>
        <w:jc w:val="both"/>
        <w:rPr>
          <w:rFonts w:ascii="楷体_GB2312" w:eastAsia="楷体_GB2312" w:cs="楷体_GB2312" w:hAnsi="楷体_GB2312" w:hint="eastAsia"/>
          <w:color w:val="000000"/>
          <w:sz w:val="40"/>
          <w:szCs w:val="40"/>
        </w:rPr>
      </w:pPr>
    </w:p>
    <w:p>
      <w:pPr>
        <w:spacing w:line="600" w:lineRule="auto"/>
        <w:jc w:val="both"/>
        <w:rPr>
          <w:rFonts w:ascii="楷体_GB2312" w:eastAsia="楷体_GB2312" w:cs="楷体_GB2312" w:hAnsi="楷体_GB2312" w:hint="eastAsia"/>
          <w:color w:val="000000"/>
          <w:sz w:val="40"/>
          <w:szCs w:val="40"/>
        </w:rPr>
      </w:pPr>
    </w:p>
    <w:p>
      <w:pPr>
        <w:spacing w:line="600" w:lineRule="auto"/>
        <w:jc w:val="left"/>
        <w:rPr>
          <w:rFonts w:ascii="楷体_GB2312" w:eastAsia="楷体_GB2312" w:cs="楷体_GB2312" w:hAnsi="楷体_GB2312" w:hint="eastAsia"/>
          <w:color w:val="000000"/>
          <w:sz w:val="40"/>
          <w:szCs w:val="40"/>
          <w:lang w:val="en-US" w:eastAsia="zh-CN"/>
        </w:rPr>
      </w:pPr>
      <w:r>
        <w:rPr>
          <w:rFonts w:ascii="黑体" w:eastAsia="黑体" w:cs="黑体" w:hAnsi="黑体" w:hint="eastAsia"/>
          <w:color w:val="000000"/>
          <w:sz w:val="40"/>
          <w:szCs w:val="40"/>
        </w:rPr>
        <w:t>预算代码</w:t>
      </w:r>
      <w:r>
        <w:rPr>
          <w:rFonts w:ascii="楷体_GB2312" w:eastAsia="楷体_GB2312" w:cs="楷体_GB2312" w:hAnsi="楷体_GB2312" w:hint="eastAsia"/>
          <w:color w:val="000000"/>
          <w:sz w:val="40"/>
          <w:szCs w:val="40"/>
        </w:rPr>
        <w:t>：</w:t>
      </w:r>
      <w:r>
        <w:rPr>
          <w:rFonts w:ascii="楷体_GB2312" w:eastAsia="楷体_GB2312" w:cs="楷体_GB2312" w:hAnsi="楷体_GB2312" w:hint="eastAsia"/>
          <w:color w:val="000000"/>
          <w:sz w:val="40"/>
          <w:szCs w:val="40"/>
          <w:lang w:val="en-US" w:eastAsia="zh-CN"/>
        </w:rPr>
        <w:t>348001</w:t>
      </w:r>
    </w:p>
    <w:p>
      <w:pPr>
        <w:spacing w:line="600" w:lineRule="auto"/>
        <w:jc w:val="left"/>
        <w:rPr>
          <w:rFonts w:ascii="楷体_GB2312" w:eastAsia="楷体_GB2312" w:cs="楷体_GB2312" w:hAnsi="楷体_GB2312" w:hint="eastAsia"/>
          <w:color w:val="000000"/>
          <w:sz w:val="40"/>
          <w:szCs w:val="40"/>
        </w:rPr>
      </w:pPr>
      <w:r>
        <w:rPr>
          <w:rFonts w:ascii="黑体" w:eastAsia="黑体" w:cs="黑体" w:hAnsi="黑体" w:hint="eastAsia"/>
          <w:color w:val="000000"/>
          <w:sz w:val="40"/>
          <w:szCs w:val="40"/>
        </w:rPr>
        <w:t>单位名称</w:t>
      </w:r>
      <w:r>
        <w:rPr>
          <w:rFonts w:ascii="楷体_GB2312" w:eastAsia="楷体_GB2312" w:cs="楷体_GB2312" w:hAnsi="楷体_GB2312" w:hint="eastAsia"/>
          <w:color w:val="000000"/>
          <w:sz w:val="40"/>
          <w:szCs w:val="40"/>
        </w:rPr>
        <w:t>：行唐县交通运输局(本级)</w:t>
      </w:r>
    </w:p>
    <w:p>
      <w:pPr>
        <w:spacing w:line="600" w:lineRule="auto"/>
        <w:jc w:val="both"/>
        <w:rPr>
          <w:rFonts w:ascii="楷体_GB2312" w:eastAsia="楷体_GB2312" w:cs="楷体_GB2312" w:hAnsi="楷体_GB2312" w:hint="eastAsia"/>
          <w:color w:val="000000"/>
          <w:sz w:val="40"/>
          <w:szCs w:val="40"/>
        </w:rPr>
        <w:sectPr>
          <w:footerReference w:type="default" r:id="rId2"/>
          <w:pgSz w:w="11906" w:h="16838"/>
          <w:pgMar w:top="2098" w:right="1417" w:bottom="1871" w:left="1417" w:header="851" w:footer="992" w:gutter="0"/>
          <w:docGrid w:type="lines" w:linePitch="312" w:charSpace="0"/>
        </w:sectPr>
      </w:pPr>
    </w:p>
    <w:p>
      <w:pPr>
        <w:spacing w:line="600" w:lineRule="auto"/>
        <w:jc w:val="center"/>
        <w:rPr>
          <w:rFonts w:ascii="楷体_GB2312" w:eastAsia="楷体_GB2312" w:cs="楷体_GB2312" w:hAnsi="楷体_GB2312" w:hint="eastAsia"/>
          <w:color w:val="000000"/>
          <w:sz w:val="40"/>
          <w:szCs w:val="40"/>
        </w:rPr>
      </w:pPr>
    </w:p>
    <w:p>
      <w:pPr>
        <w:rPr>
          <w:rFonts w:ascii="黑体" w:eastAsia="黑体" w:cs="黑体" w:hAnsi="黑体" w:hint="eastAsia"/>
          <w:b/>
          <w:bCs/>
          <w:sz w:val="32"/>
          <w:szCs w:val="36"/>
          <w:highlight w:val="yellow"/>
        </w:rPr>
      </w:pPr>
    </w:p>
    <w:p>
      <w:pPr>
        <w:widowControl/>
        <w:spacing w:before="0" w:beforeAutospacing="0" w:after="0" w:afterAutospacing="0" w:line="360" w:lineRule="auto"/>
        <w:jc w:val="center"/>
        <w:rPr>
          <w:rFonts w:ascii="Times New Roman" w:eastAsia="方正小标宋_GBK" w:hAnsi="Times New Roman"/>
          <w:sz w:val="72"/>
          <w:szCs w:val="72"/>
        </w:rPr>
      </w:pPr>
      <w:r>
        <w:rPr>
          <w:rFonts w:ascii="Times New Roman" w:eastAsia="方正小标宋_GBK" w:hAnsi="Times New Roman"/>
          <w:b w:val="0"/>
          <w:sz w:val="72"/>
          <w:szCs w:val="72"/>
        </w:rPr>
        <w:t>行唐县交通运输局(本级)</w:t>
      </w:r>
    </w:p>
    <w:p>
      <w:pPr>
        <w:widowControl/>
        <w:spacing w:before="0" w:beforeAutospacing="0" w:after="0" w:afterAutospacing="0" w:line="360" w:lineRule="auto"/>
        <w:jc w:val="center"/>
        <w:rPr>
          <w:rFonts w:ascii="Times New Roman" w:eastAsia="方正小标宋_GBK" w:hAnsi="Times New Roman"/>
          <w:sz w:val="72"/>
          <w:szCs w:val="72"/>
        </w:rPr>
      </w:pPr>
      <w:r>
        <w:rPr>
          <w:rFonts w:ascii="Times New Roman" w:eastAsia="仿宋_GB2312" w:hAnsi="Times New Roman"/>
          <w:b w:val="0"/>
          <w:sz w:val="72"/>
          <w:szCs w:val="72"/>
        </w:rPr>
        <w:t>2024</w:t>
      </w:r>
      <w:r>
        <w:rPr>
          <w:rFonts w:ascii="Times New Roman" w:eastAsia="方正小标宋_GBK" w:hAnsi="Times New Roman"/>
          <w:b w:val="0"/>
          <w:sz w:val="72"/>
          <w:szCs w:val="72"/>
        </w:rPr>
        <w:t>年度单位决算公开文本</w:t>
      </w:r>
    </w:p>
    <w:p>
      <w:pPr>
        <w:spacing w:line="360" w:lineRule="auto"/>
        <w:jc w:val="center"/>
        <w:rPr>
          <w:rFonts w:ascii="黑体" w:eastAsia="黑体" w:cs="黑体" w:hAnsi="黑体"/>
          <w:sz w:val="56"/>
          <w:szCs w:val="72"/>
        </w:rPr>
      </w:pPr>
    </w:p>
    <w:p>
      <w:pPr>
        <w:spacing w:line="600" w:lineRule="auto"/>
        <w:jc w:val="center"/>
        <w:rPr>
          <w:rFonts w:ascii="黑体" w:eastAsia="黑体" w:cs="黑体" w:hAnsi="黑体"/>
          <w:sz w:val="56"/>
          <w:szCs w:val="72"/>
        </w:rPr>
      </w:pPr>
    </w:p>
    <w:p>
      <w:pPr>
        <w:spacing w:line="600" w:lineRule="auto"/>
        <w:jc w:val="center"/>
        <w:rPr>
          <w:rFonts w:ascii="黑体" w:eastAsia="黑体" w:cs="黑体" w:hAnsi="黑体"/>
          <w:sz w:val="56"/>
          <w:szCs w:val="72"/>
        </w:rPr>
      </w:pPr>
    </w:p>
    <w:p>
      <w:pPr>
        <w:spacing w:line="480" w:lineRule="auto"/>
        <w:jc w:val="both"/>
        <w:rPr>
          <w:rFonts w:ascii="黑体" w:eastAsia="黑体" w:cs="黑体" w:hAnsi="黑体"/>
          <w:sz w:val="56"/>
          <w:szCs w:val="72"/>
        </w:rPr>
      </w:pPr>
    </w:p>
    <w:p>
      <w:pPr>
        <w:widowControl/>
        <w:spacing w:before="0" w:beforeAutospacing="0" w:after="0" w:afterAutospacing="0" w:line="360" w:lineRule="auto"/>
        <w:jc w:val="center"/>
        <w:rPr>
          <w:rFonts w:ascii="Times New Roman" w:eastAsia="楷体_GB2312" w:hAnsi="Times New Roman"/>
          <w:sz w:val="44"/>
          <w:szCs w:val="44"/>
        </w:rPr>
      </w:pPr>
      <w:r>
        <w:rPr>
          <w:rFonts w:ascii="Times New Roman" w:eastAsia="楷体_GB2312" w:hAnsi="Times New Roman"/>
          <w:b w:val="0"/>
          <w:sz w:val="44"/>
          <w:szCs w:val="44"/>
        </w:rPr>
        <w:t>行唐县交通运输局(本级)(单位名称，加盖公章）</w:t>
      </w:r>
    </w:p>
    <w:p>
      <w:pPr>
        <w:widowControl/>
        <w:spacing w:before="0" w:beforeAutospacing="0" w:after="0" w:afterAutospacing="0" w:line="360" w:lineRule="auto"/>
        <w:jc w:val="center"/>
        <w:rPr>
          <w:rFonts w:ascii="Times New Roman" w:eastAsia="楷体_GB2312" w:hAnsi="Times New Roman"/>
          <w:sz w:val="44"/>
          <w:szCs w:val="44"/>
        </w:rPr>
      </w:pPr>
      <w:r>
        <w:rPr>
          <w:rFonts w:ascii="Times New Roman" w:eastAsia="楷体_GB2312" w:hAnsi="Times New Roman"/>
          <w:b w:val="0"/>
          <w:sz w:val="44"/>
          <w:szCs w:val="44"/>
        </w:rPr>
        <w:t>二〇二五年八月</w:t>
      </w:r>
    </w:p>
    <w:p>
      <w:pPr>
        <w:snapToGrid w:val="0"/>
        <w:jc w:val="left"/>
        <w:rPr>
          <w:rFonts w:ascii="楷体_GB2312" w:eastAsia="楷体_GB2312" w:cs="楷体_GB2312" w:hAnsi="楷体_GB2312" w:hint="eastAsia"/>
          <w:color w:val="000000"/>
          <w:kern w:val="0"/>
          <w:sz w:val="44"/>
          <w:szCs w:val="44"/>
          <w14:shadow w14:sx="100000" w14:sy="100000" w14:blurRad="38100" w14:dir="2700000" w14:dist="19050" w14:algn="tl">
            <w14:srgbClr w14:val="000000">
              <w14:alpha w14:val="60000"/>
            </w14:srgbClr>
          </w14:shadow>
          <w14:textFill>
            <w14:solidFill>
              <w14:srgbClr w14:val="000000"/>
            </w14:solidFill>
          </w14:textFill>
          <w:lang w:val="en-US" w:eastAsia="zh-CN"/>
        </w:rPr>
      </w:pPr>
    </w:p>
    <w:p>
      <w:pPr>
        <w:snapToGrid w:val="0"/>
        <w:jc w:val="left"/>
        <w:rPr>
          <w:rFonts w:ascii="楷体_GB2312" w:eastAsia="楷体_GB2312" w:cs="楷体_GB2312" w:hAnsi="楷体_GB2312"/>
          <w:color w:val="000000"/>
          <w:kern w:val="0"/>
          <w:sz w:val="44"/>
          <w:szCs w:val="44"/>
          <w14:shadow w14:sx="100000" w14:sy="100000" w14:blurRad="38100" w14:dir="2700000" w14:dist="19050" w14:algn="tl">
            <w14:srgbClr w14:val="000000">
              <w14:alpha w14:val="60000"/>
            </w14:srgbClr>
          </w14:shadow>
          <w14:textFill>
            <w14:solidFill>
              <w14:srgbClr w14:val="000000"/>
            </w14:solidFill>
          </w14:textFill>
          <w:lang w:val="en-US" w:eastAsia="zh-CN"/>
        </w:rPr>
        <w:sectPr>
          <w:footerReference w:type="default" r:id="rId4"/>
          <w:pgSz w:w="11906" w:h="16838"/>
          <w:pgMar w:top="1531" w:right="1984" w:bottom="1531" w:left="2098" w:header="851" w:footer="992" w:gutter="0"/>
          <w:pgNumType w:start="1"/>
          <w:docGrid w:type="lines" w:linePitch="312" w:charSpace="0"/>
        </w:sectPr>
      </w:pPr>
    </w:p>
    <w:p>
      <w:pPr>
        <w:widowControl/>
        <w:spacing w:line="600" w:lineRule="exact"/>
        <w:jc w:val="left"/>
        <w:rPr>
          <w:rFonts w:ascii="黑体" w:eastAsia="黑体" w:cs="黑体" w:hAnsi="黑体"/>
          <w:bCs/>
          <w:sz w:val="32"/>
          <w:szCs w:val="32"/>
        </w:rPr>
      </w:pPr>
    </w:p>
    <w:p>
      <w:pPr>
        <w:tabs>
          <w:tab w:val="left" w:pos="2728"/>
        </w:tabs>
        <w:jc w:val="center"/>
        <w:rPr>
          <w:rFonts w:ascii="黑体" w:eastAsia="黑体" w:cs="Times New Roman" w:hAnsi="Times New Roman"/>
          <w:sz w:val="48"/>
          <w:szCs w:val="48"/>
        </w:rPr>
      </w:pPr>
    </w:p>
    <w:p>
      <w:pPr>
        <w:widowControl/>
        <w:spacing w:before="0" w:beforeAutospacing="0" w:after="0" w:afterAutospacing="0" w:line="360" w:lineRule="auto"/>
        <w:jc w:val="center"/>
        <w:outlineLvl w:val="0"/>
        <w:rPr>
          <w:rFonts w:ascii="Times New Roman" w:eastAsia="黑体" w:hAnsi="Times New Roman"/>
          <w:sz w:val="44"/>
          <w:szCs w:val="44"/>
        </w:rPr>
      </w:pPr>
      <w:r>
        <w:rPr>
          <w:rFonts w:ascii="Times New Roman" w:eastAsia="黑体" w:hAnsi="Times New Roman"/>
          <w:b w:val="0"/>
          <w:sz w:val="44"/>
          <w:szCs w:val="44"/>
        </w:rPr>
        <w:t>目    录</w:t>
      </w:r>
    </w:p>
    <w:p>
      <w:pPr>
        <w:widowControl/>
        <w:spacing w:after="160" w:line="580" w:lineRule="exact"/>
        <w:ind w:firstLineChars="200" w:firstLine="640"/>
        <w:rPr>
          <w:rFonts w:ascii="Times New Roman" w:eastAsia="黑体" w:cs="Times New Roman" w:hAnsi="Times New Roman"/>
          <w:sz w:val="32"/>
          <w:szCs w:val="32"/>
        </w:rPr>
      </w:pPr>
    </w:p>
    <w:p>
      <w:pPr>
        <w:widowControl/>
        <w:spacing w:before="0" w:beforeAutospacing="0" w:after="0" w:afterAutospacing="0" w:line="360" w:lineRule="auto"/>
        <w:jc w:val="left"/>
        <w:rPr>
          <w:rFonts w:ascii="Times New Roman" w:eastAsia="黑体" w:hAnsi="Times New Roman"/>
          <w:sz w:val="32"/>
          <w:szCs w:val="32"/>
        </w:rPr>
      </w:pPr>
      <w:r>
        <w:rPr>
          <w:rFonts w:ascii="Times New Roman" w:eastAsia="黑体" w:hAnsi="Times New Roman"/>
          <w:b w:val="0"/>
          <w:sz w:val="32"/>
          <w:szCs w:val="32"/>
        </w:rPr>
        <w:t>第一部分   单位概况</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一、单位职责</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二、机构设置</w:t>
      </w:r>
    </w:p>
    <w:p>
      <w:pPr>
        <w:widowControl/>
        <w:spacing w:before="0" w:beforeAutospacing="0" w:after="0" w:afterAutospacing="0" w:line="360" w:lineRule="auto"/>
        <w:jc w:val="left"/>
        <w:outlineLvl w:val="0"/>
        <w:rPr>
          <w:rFonts w:ascii="Times New Roman" w:eastAsia="黑体" w:hAnsi="Times New Roman"/>
          <w:sz w:val="32"/>
          <w:szCs w:val="32"/>
        </w:rPr>
      </w:pPr>
      <w:r>
        <w:rPr>
          <w:rFonts w:ascii="Times New Roman" w:eastAsia="黑体" w:hAnsi="Times New Roman"/>
          <w:b w:val="0"/>
          <w:sz w:val="32"/>
          <w:szCs w:val="32"/>
        </w:rPr>
        <w:t>第二部分   2024年度单位决算报表</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一、收入支出决算总表</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二、收入决算表</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三、支出决算表</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四、财政拨款收入支出决算总表</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五、一般公共预算财政拨款支出决算表</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六、一般公共预算财政拨款基本支出决算明细表</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七、政府性基金预算财政拨款收入支出决算表</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八、国有资本经营预算财政拨款支出决算表</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九、财政拨款“三公”经费支出决算表</w:t>
      </w:r>
    </w:p>
    <w:p>
      <w:pPr>
        <w:widowControl/>
        <w:spacing w:before="0" w:beforeAutospacing="0" w:after="0" w:afterAutospacing="0" w:line="360" w:lineRule="auto"/>
        <w:jc w:val="left"/>
        <w:rPr>
          <w:rFonts w:ascii="Times New Roman" w:eastAsia="黑体" w:hAnsi="Times New Roman"/>
          <w:sz w:val="32"/>
          <w:szCs w:val="32"/>
        </w:rPr>
      </w:pPr>
      <w:r>
        <w:rPr>
          <w:rFonts w:ascii="Times New Roman" w:eastAsia="黑体" w:hAnsi="Times New Roman"/>
          <w:b w:val="0"/>
          <w:sz w:val="32"/>
          <w:szCs w:val="32"/>
        </w:rPr>
        <w:t>第三部分   2024年度单位决算情况说明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一、收入支出决算总体情况说明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二、收入决算情况说明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三、支出决算情况说明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四、财政拨款收入支出决算总体情况说明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五、财政拨款“三公”经费支出决算情况说明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六、机关运行经费支出说明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七、政府采购支出说明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八、国有资产占用情况说明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九、关于2024年度绩效评价情况的说明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十、其他需要说明的情况</w:t>
      </w:r>
    </w:p>
    <w:p>
      <w:pPr>
        <w:widowControl/>
        <w:spacing w:before="0" w:beforeAutospacing="0" w:after="0" w:afterAutospacing="0" w:line="360" w:lineRule="auto"/>
        <w:jc w:val="left"/>
        <w:rPr>
          <w:rFonts w:ascii="Times New Roman" w:eastAsia="黑体" w:hAnsi="Times New Roman"/>
          <w:sz w:val="32"/>
          <w:szCs w:val="32"/>
        </w:rPr>
      </w:pPr>
      <w:r>
        <w:rPr>
          <w:rFonts w:ascii="Times New Roman" w:eastAsia="黑体" w:hAnsi="Times New Roman"/>
          <w:b w:val="0"/>
          <w:sz w:val="32"/>
          <w:szCs w:val="32"/>
        </w:rPr>
        <w:t>第四部分   名词解释</w:t>
      </w:r>
    </w:p>
    <w:p>
      <w:pPr>
        <w:widowControl/>
        <w:spacing w:after="160" w:line="580" w:lineRule="exact"/>
        <w:rPr>
          <w:rFonts w:ascii="Times New Roman" w:eastAsia="黑体" w:cs="Times New Roman" w:hAnsi="Times New Roman" w:hint="eastAsia"/>
          <w:sz w:val="32"/>
          <w:szCs w:val="32"/>
          <w:lang w:val="en-US" w:eastAsia="zh-CN"/>
        </w:rPr>
        <w:sectPr>
          <w:headerReference w:type="default" r:id="rId5"/>
          <w:headerReference w:type="first" r:id="rId6"/>
          <w:footerReference w:type="default" r:id="rId7"/>
          <w:footerReference w:type="first" r:id="rId8"/>
          <w:pgSz w:w="11906" w:h="16838"/>
          <w:pgMar w:top="1474" w:right="1531" w:bottom="1474" w:left="1531" w:header="851" w:footer="992" w:gutter="0"/>
          <w:titlePg/>
          <w:docGrid w:type="lines" w:linePitch="312" w:charSpace="0"/>
        </w:sectPr>
      </w:pPr>
    </w:p>
    <w:p>
      <w:pPr>
        <w:widowControl/>
        <w:spacing w:before="0" w:beforeAutospacing="0" w:after="0" w:afterAutospacing="0" w:line="360" w:lineRule="auto"/>
        <w:jc w:val="center"/>
        <w:outlineLvl w:val="0"/>
        <w:rPr>
          <w:rFonts w:ascii="Times New Roman" w:eastAsia="黑体" w:hAnsi="Times New Roman"/>
          <w:sz w:val="44"/>
          <w:szCs w:val="44"/>
        </w:rPr>
      </w:pPr>
      <w:r>
        <w:rPr>
          <w:rFonts w:ascii="Times New Roman" w:eastAsia="黑体" w:hAnsi="Times New Roman"/>
          <w:b w:val="0"/>
          <w:sz w:val="44"/>
          <w:szCs w:val="44"/>
        </w:rPr>
        <w:t>第一部分   单位概况</w:t>
      </w:r>
    </w:p>
    <w:p>
      <w:pPr>
        <w:widowControl/>
        <w:spacing w:before="0" w:beforeAutospacing="0" w:after="0" w:afterAutospacing="0" w:line="360" w:lineRule="auto"/>
        <w:jc w:val="left"/>
        <w:outlineLvl w:val="1"/>
        <w:rPr>
          <w:rFonts w:ascii="Times New Roman" w:eastAsia="黑体" w:hAnsi="Times New Roman"/>
          <w:sz w:val="32"/>
          <w:szCs w:val="32"/>
        </w:rPr>
      </w:pPr>
      <w:r>
        <w:rPr>
          <w:rFonts w:ascii="Times New Roman" w:eastAsia="黑体" w:hAnsi="Times New Roman"/>
          <w:b w:val="0"/>
          <w:sz w:val="32"/>
          <w:szCs w:val="32"/>
        </w:rPr>
        <w:t>一、单位职责</w:t>
      </w:r>
    </w:p>
    <w:p>
      <w:pPr>
        <w:pStyle w:val="19"/>
        <w:keepNext w:val="0"/>
        <w:keepLines w:val="0"/>
        <w:widowControl/>
        <w:numPr>
          <w:ilvl w:val="0"/>
          <w:numId w:val="1"/>
        </w:numPr>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Chars="200" w:firstLine="640"/>
        <w:jc w:val="left"/>
        <w:rPr>
          <w:rFonts w:ascii="仿宋_GB2312" w:eastAsia="仿宋_GB2312" w:cs="仿宋_GB2312" w:hAnsi="仿宋_GB2312"/>
          <w:i w:val="0"/>
          <w:iCs w:val="0"/>
          <w:caps w:val="0"/>
          <w:smallCaps w:val="0"/>
          <w:color w:val="auto"/>
          <w:spacing w:val="0"/>
          <w:sz w:val="32"/>
          <w:szCs w:val="32"/>
          <w:shd w:val="clear" w:color="auto" w:fill="FFFFFF"/>
          <w:highlight w:val="auto"/>
        </w:rPr>
      </w:pPr>
      <w:r>
        <w:rPr>
          <w:rFonts w:ascii="仿宋_GB2312" w:eastAsia="仿宋_GB2312" w:cs="仿宋_GB2312" w:hAnsi="仿宋_GB2312"/>
          <w:i w:val="0"/>
          <w:iCs w:val="0"/>
          <w:caps w:val="0"/>
          <w:smallCaps w:val="0"/>
          <w:color w:val="auto"/>
          <w:spacing w:val="0"/>
          <w:sz w:val="32"/>
          <w:szCs w:val="32"/>
          <w:shd w:val="clear" w:color="auto" w:fill="FFFFFF"/>
          <w:highlight w:val="auto"/>
        </w:rPr>
        <w:t xml:space="preserve">认真贯彻执行上级有关交通运输行业的发展战略和法律法规。 </w:t>
      </w:r>
    </w:p>
    <w:p>
      <w:pPr>
        <w:pStyle w:val="19"/>
        <w:keepNext w:val="0"/>
        <w:keepLines w:val="0"/>
        <w:widowControl/>
        <w:numPr>
          <w:ilvl w:val="0"/>
          <w:numId w:val="1"/>
        </w:numPr>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Chars="200" w:firstLine="640"/>
        <w:jc w:val="left"/>
        <w:rPr>
          <w:rFonts w:ascii="仿宋_GB2312" w:eastAsia="仿宋_GB2312" w:cs="仿宋_GB2312" w:hAnsi="仿宋_GB2312"/>
          <w:i w:val="0"/>
          <w:iCs w:val="0"/>
          <w:caps w:val="0"/>
          <w:smallCaps w:val="0"/>
          <w:color w:val="auto"/>
          <w:spacing w:val="0"/>
          <w:sz w:val="32"/>
          <w:szCs w:val="32"/>
          <w:shd w:val="clear" w:color="auto" w:fill="FFFFFF"/>
          <w:highlight w:val="auto"/>
        </w:rPr>
      </w:pPr>
      <w:r>
        <w:rPr>
          <w:rFonts w:ascii="仿宋_GB2312" w:eastAsia="仿宋_GB2312" w:cs="仿宋_GB2312" w:hAnsi="仿宋_GB2312"/>
          <w:i w:val="0"/>
          <w:iCs w:val="0"/>
          <w:caps w:val="0"/>
          <w:smallCaps w:val="0"/>
          <w:color w:val="auto"/>
          <w:spacing w:val="0"/>
          <w:sz w:val="32"/>
          <w:szCs w:val="32"/>
          <w:shd w:val="clear" w:color="auto" w:fill="FFFFFF"/>
          <w:highlight w:val="auto"/>
        </w:rPr>
        <w:t>会同有关</w:t>
      </w:r>
      <w:r>
        <w:rPr>
          <w:rFonts w:ascii="仿宋_GB2312" w:eastAsia="仿宋_GB2312" w:cs="仿宋_GB2312" w:hAnsi="仿宋_GB2312"/>
          <w:i w:val="0"/>
          <w:iCs w:val="0"/>
          <w:caps w:val="0"/>
          <w:smallCaps w:val="0"/>
          <w:color w:val="auto"/>
          <w:spacing w:val="0"/>
          <w:sz w:val="32"/>
          <w:szCs w:val="32"/>
          <w:shd w:val="clear" w:color="auto" w:fill="FFFFFF"/>
        </w:rPr>
        <w:t>单位</w:t>
      </w:r>
      <w:r>
        <w:rPr>
          <w:rFonts w:ascii="仿宋_GB2312" w:eastAsia="仿宋_GB2312" w:cs="仿宋_GB2312" w:hAnsi="仿宋_GB2312"/>
          <w:i w:val="0"/>
          <w:iCs w:val="0"/>
          <w:caps w:val="0"/>
          <w:smallCaps w:val="0"/>
          <w:color w:val="auto"/>
          <w:spacing w:val="0"/>
          <w:sz w:val="32"/>
          <w:szCs w:val="32"/>
          <w:shd w:val="clear" w:color="auto" w:fill="FFFFFF"/>
          <w:highlight w:val="auto"/>
        </w:rPr>
        <w:t>编制全县综合运输体系发展规划并组织实施。协调规划全县综合运输体系建设，组织协调相关运输方式的合理布局和有效衔接；建立完善交通运输行业联运服务体系；拟订全县公路建设、城市公共交通建设和道路（含水路，下同）运输中长期发展规划，拟订县域内公路建设与养护年度指令性计划并组织实施；负责交通运输枢纽规划和管理。</w:t>
      </w:r>
    </w:p>
    <w:p>
      <w:pPr>
        <w:pStyle w:val="19"/>
        <w:keepNext w:val="0"/>
        <w:keepLines w:val="0"/>
        <w:widowControl/>
        <w:numPr>
          <w:ilvl w:val="0"/>
          <w:numId w:val="1"/>
        </w:numPr>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Chars="200" w:firstLine="640"/>
        <w:jc w:val="left"/>
        <w:rPr>
          <w:rFonts w:ascii="仿宋_GB2312" w:eastAsia="仿宋_GB2312" w:cs="仿宋_GB2312" w:hAnsi="仿宋_GB2312"/>
          <w:i w:val="0"/>
          <w:iCs w:val="0"/>
          <w:caps w:val="0"/>
          <w:smallCaps w:val="0"/>
          <w:color w:val="auto"/>
          <w:spacing w:val="0"/>
          <w:sz w:val="32"/>
          <w:szCs w:val="32"/>
          <w:shd w:val="clear" w:color="auto" w:fill="FFFFFF"/>
          <w:highlight w:val="auto"/>
        </w:rPr>
      </w:pPr>
      <w:r>
        <w:rPr>
          <w:rFonts w:ascii="仿宋_GB2312" w:eastAsia="仿宋_GB2312" w:cs="仿宋_GB2312" w:hAnsi="仿宋_GB2312"/>
          <w:i w:val="0"/>
          <w:iCs w:val="0"/>
          <w:caps w:val="0"/>
          <w:smallCaps w:val="0"/>
          <w:color w:val="auto"/>
          <w:spacing w:val="0"/>
          <w:sz w:val="32"/>
          <w:szCs w:val="32"/>
          <w:shd w:val="clear" w:color="auto" w:fill="FFFFFF"/>
          <w:highlight w:val="auto"/>
        </w:rPr>
        <w:t>承担全县公路建设市场监管责任。负责全县公路的规划、建设 、养护、管理，依法维护路产路权、保护公路设施；依法查处超限运输车辆；负责交通运输工程建设、工程质量和安全生产的监管；负责全县交通基本建设项目招投标活动的监督管理；配合做好国防交通有关工作。</w:t>
      </w:r>
    </w:p>
    <w:p>
      <w:pPr>
        <w:pStyle w:val="19"/>
        <w:keepNext w:val="0"/>
        <w:keepLines w:val="0"/>
        <w:widowControl/>
        <w:numPr>
          <w:ilvl w:val="0"/>
          <w:numId w:val="1"/>
        </w:numPr>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Chars="200" w:firstLine="640"/>
        <w:jc w:val="left"/>
        <w:rPr>
          <w:rFonts w:ascii="仿宋_GB2312" w:eastAsia="仿宋_GB2312" w:cs="仿宋_GB2312" w:hAnsi="仿宋_GB2312"/>
          <w:i w:val="0"/>
          <w:iCs w:val="0"/>
          <w:caps w:val="0"/>
          <w:smallCaps w:val="0"/>
          <w:color w:val="auto"/>
          <w:spacing w:val="0"/>
          <w:sz w:val="32"/>
          <w:szCs w:val="32"/>
          <w:shd w:val="clear" w:color="auto" w:fill="FFFFFF"/>
          <w:highlight w:val="auto"/>
        </w:rPr>
      </w:pPr>
      <w:r>
        <w:rPr>
          <w:rFonts w:ascii="仿宋_GB2312" w:eastAsia="仿宋_GB2312" w:cs="仿宋_GB2312" w:hAnsi="仿宋_GB2312"/>
          <w:i w:val="0"/>
          <w:iCs w:val="0"/>
          <w:caps w:val="0"/>
          <w:smallCaps w:val="0"/>
          <w:color w:val="auto"/>
          <w:spacing w:val="0"/>
          <w:sz w:val="32"/>
          <w:szCs w:val="32"/>
          <w:shd w:val="clear" w:color="auto" w:fill="FFFFFF"/>
          <w:highlight w:val="auto"/>
        </w:rPr>
        <w:t>承担道路运输市场监管责任。负责道路运输经营、道路运输相关业务和城市公共交通等行业管理工作；依法保护和支持合法经营，取缔非法运输；负责城乡客运及有关设施规划和管理。</w:t>
      </w:r>
    </w:p>
    <w:p>
      <w:pPr>
        <w:pStyle w:val="19"/>
        <w:keepNext w:val="0"/>
        <w:keepLines w:val="0"/>
        <w:widowControl/>
        <w:numPr>
          <w:ilvl w:val="0"/>
          <w:numId w:val="1"/>
        </w:numPr>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Chars="200" w:firstLine="640"/>
        <w:jc w:val="left"/>
        <w:rPr>
          <w:rFonts w:ascii="仿宋_GB2312" w:eastAsia="仿宋_GB2312" w:cs="仿宋_GB2312" w:hAnsi="仿宋_GB2312"/>
          <w:i w:val="0"/>
          <w:iCs w:val="0"/>
          <w:caps w:val="0"/>
          <w:smallCaps w:val="0"/>
          <w:color w:val="auto"/>
          <w:spacing w:val="0"/>
          <w:sz w:val="32"/>
          <w:szCs w:val="32"/>
          <w:shd w:val="clear" w:color="auto" w:fill="FFFFFF"/>
          <w:highlight w:val="auto"/>
        </w:rPr>
      </w:pPr>
      <w:r>
        <w:rPr>
          <w:rFonts w:ascii="仿宋_GB2312" w:eastAsia="仿宋_GB2312" w:cs="仿宋_GB2312" w:hAnsi="仿宋_GB2312"/>
          <w:i w:val="0"/>
          <w:iCs w:val="0"/>
          <w:caps w:val="0"/>
          <w:smallCaps w:val="0"/>
          <w:color w:val="auto"/>
          <w:spacing w:val="0"/>
          <w:sz w:val="32"/>
          <w:szCs w:val="32"/>
          <w:shd w:val="clear" w:color="auto" w:fill="FFFFFF"/>
          <w:highlight w:val="auto"/>
        </w:rPr>
        <w:t>承担管辖水域水上交通安全监管责任。负责全县渔船检验和监督管理工作，会同有关</w:t>
      </w:r>
      <w:r>
        <w:rPr>
          <w:rFonts w:ascii="仿宋_GB2312" w:eastAsia="仿宋_GB2312" w:cs="仿宋_GB2312" w:hAnsi="仿宋_GB2312"/>
          <w:i w:val="0"/>
          <w:iCs w:val="0"/>
          <w:caps w:val="0"/>
          <w:smallCaps w:val="0"/>
          <w:color w:val="auto"/>
          <w:spacing w:val="0"/>
          <w:sz w:val="32"/>
          <w:szCs w:val="32"/>
          <w:shd w:val="clear" w:color="auto" w:fill="FFFFFF"/>
        </w:rPr>
        <w:t>单位</w:t>
      </w:r>
      <w:r>
        <w:rPr>
          <w:rFonts w:ascii="仿宋_GB2312" w:eastAsia="仿宋_GB2312" w:cs="仿宋_GB2312" w:hAnsi="仿宋_GB2312"/>
          <w:i w:val="0"/>
          <w:iCs w:val="0"/>
          <w:caps w:val="0"/>
          <w:smallCaps w:val="0"/>
          <w:color w:val="auto"/>
          <w:spacing w:val="0"/>
          <w:sz w:val="32"/>
          <w:szCs w:val="32"/>
          <w:shd w:val="clear" w:color="auto" w:fill="FFFFFF"/>
          <w:highlight w:val="auto"/>
        </w:rPr>
        <w:t>，依法组织或参与事故调查处理。</w:t>
      </w:r>
    </w:p>
    <w:p>
      <w:pPr>
        <w:pStyle w:val="19"/>
        <w:keepNext w:val="0"/>
        <w:keepLines w:val="0"/>
        <w:widowControl/>
        <w:numPr>
          <w:ilvl w:val="0"/>
          <w:numId w:val="1"/>
        </w:numPr>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Chars="200" w:firstLine="640"/>
        <w:jc w:val="left"/>
        <w:rPr>
          <w:rFonts w:ascii="仿宋_GB2312" w:eastAsia="仿宋_GB2312" w:cs="仿宋_GB2312" w:hAnsi="仿宋_GB2312"/>
          <w:i w:val="0"/>
          <w:iCs w:val="0"/>
          <w:caps w:val="0"/>
          <w:smallCaps w:val="0"/>
          <w:color w:val="auto"/>
          <w:spacing w:val="0"/>
          <w:sz w:val="32"/>
          <w:szCs w:val="32"/>
          <w:shd w:val="clear" w:color="auto" w:fill="FFFFFF"/>
          <w:highlight w:val="auto"/>
        </w:rPr>
      </w:pPr>
      <w:r>
        <w:rPr>
          <w:rFonts w:ascii="仿宋_GB2312" w:eastAsia="仿宋_GB2312" w:cs="仿宋_GB2312" w:hAnsi="仿宋_GB2312"/>
          <w:i w:val="0"/>
          <w:iCs w:val="0"/>
          <w:caps w:val="0"/>
          <w:smallCaps w:val="0"/>
          <w:color w:val="auto"/>
          <w:spacing w:val="0"/>
          <w:sz w:val="32"/>
          <w:szCs w:val="32"/>
          <w:shd w:val="clear" w:color="auto" w:fill="FFFFFF"/>
          <w:highlight w:val="auto"/>
        </w:rPr>
        <w:t>负责提出全县交通运输行业固定资产投资规模和方向、县财政性资金安排意见；负责监督县本级交通运输系统国有资产经营管理工作；负责全县交通运输资金的管理、使用和投资开发工作；指导负责交通系统内部审计工作；承担交通运输行业财政预算资金的绩效监督和管理工作。</w:t>
      </w:r>
    </w:p>
    <w:p>
      <w:pPr>
        <w:pStyle w:val="19"/>
        <w:keepNext w:val="0"/>
        <w:keepLines w:val="0"/>
        <w:widowControl/>
        <w:numPr>
          <w:ilvl w:val="0"/>
          <w:numId w:val="1"/>
        </w:numPr>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Chars="200" w:firstLine="640"/>
        <w:jc w:val="left"/>
        <w:rPr>
          <w:rFonts w:ascii="仿宋_GB2312" w:eastAsia="仿宋_GB2312" w:cs="仿宋_GB2312" w:hAnsi="仿宋_GB2312"/>
          <w:i w:val="0"/>
          <w:iCs w:val="0"/>
          <w:caps w:val="0"/>
          <w:smallCaps w:val="0"/>
          <w:color w:val="auto"/>
          <w:spacing w:val="0"/>
          <w:sz w:val="32"/>
          <w:szCs w:val="32"/>
          <w:shd w:val="clear" w:color="auto" w:fill="FFFFFF"/>
          <w:highlight w:val="auto"/>
        </w:rPr>
      </w:pPr>
      <w:r>
        <w:rPr>
          <w:rFonts w:ascii="仿宋_GB2312" w:eastAsia="仿宋_GB2312" w:cs="仿宋_GB2312" w:hAnsi="仿宋_GB2312"/>
          <w:i w:val="0"/>
          <w:iCs w:val="0"/>
          <w:caps w:val="0"/>
          <w:smallCaps w:val="0"/>
          <w:color w:val="auto"/>
          <w:spacing w:val="0"/>
          <w:sz w:val="32"/>
          <w:szCs w:val="32"/>
          <w:shd w:val="clear" w:color="auto" w:fill="FFFFFF"/>
          <w:highlight w:val="auto"/>
        </w:rPr>
        <w:t xml:space="preserve">制订全县交通运输行业科技发展规划，组织行业科技创新应用，推动行业科技进步。负责交通运输行业信息化建设，监测分析运行情况，开展相关统计工作。指导交通运输行业环境保护和节能减排。 </w:t>
      </w:r>
    </w:p>
    <w:p>
      <w:pPr>
        <w:pStyle w:val="19"/>
        <w:keepNext w:val="0"/>
        <w:keepLines w:val="0"/>
        <w:widowControl/>
        <w:numPr>
          <w:ilvl w:val="0"/>
          <w:numId w:val="1"/>
        </w:numPr>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Chars="200" w:firstLine="640"/>
        <w:jc w:val="left"/>
        <w:rPr>
          <w:rFonts w:ascii="仿宋_GB2312" w:eastAsia="仿宋_GB2312" w:cs="仿宋_GB2312" w:hAnsi="仿宋_GB2312"/>
          <w:i w:val="0"/>
          <w:iCs w:val="0"/>
          <w:caps w:val="0"/>
          <w:smallCaps w:val="0"/>
          <w:color w:val="auto"/>
          <w:spacing w:val="0"/>
          <w:sz w:val="32"/>
          <w:szCs w:val="32"/>
          <w:shd w:val="clear" w:color="auto" w:fill="FFFFFF"/>
          <w:highlight w:val="auto"/>
        </w:rPr>
      </w:pPr>
      <w:r>
        <w:rPr>
          <w:rFonts w:ascii="仿宋_GB2312" w:eastAsia="仿宋_GB2312" w:cs="仿宋_GB2312" w:hAnsi="仿宋_GB2312"/>
          <w:i w:val="0"/>
          <w:iCs w:val="0"/>
          <w:caps w:val="0"/>
          <w:smallCaps w:val="0"/>
          <w:color w:val="auto"/>
          <w:spacing w:val="0"/>
          <w:sz w:val="32"/>
          <w:szCs w:val="32"/>
          <w:shd w:val="clear" w:color="auto" w:fill="FFFFFF"/>
          <w:highlight w:val="auto"/>
        </w:rPr>
        <w:t xml:space="preserve">负责全县交通运输综合行政执法和队伍建设有关工作；统筹协调交通运输综合行政执法工作；负责交通运输行业体制改革工作。 </w:t>
      </w:r>
    </w:p>
    <w:p>
      <w:pPr>
        <w:pStyle w:val="19"/>
        <w:keepNext w:val="0"/>
        <w:keepLines w:val="0"/>
        <w:widowControl/>
        <w:numPr>
          <w:ilvl w:val="0"/>
          <w:numId w:val="1"/>
        </w:numPr>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Chars="200" w:firstLine="640"/>
        <w:jc w:val="left"/>
        <w:rPr>
          <w:rFonts w:ascii="仿宋_GB2312" w:eastAsia="仿宋_GB2312" w:cs="仿宋_GB2312" w:hAnsi="仿宋_GB2312"/>
          <w:i w:val="0"/>
          <w:iCs w:val="0"/>
          <w:caps w:val="0"/>
          <w:smallCaps w:val="0"/>
          <w:color w:val="auto"/>
          <w:spacing w:val="0"/>
          <w:sz w:val="32"/>
          <w:szCs w:val="32"/>
          <w:shd w:val="clear" w:color="auto" w:fill="FFFFFF"/>
          <w:highlight w:val="auto"/>
        </w:rPr>
      </w:pPr>
      <w:r>
        <w:rPr>
          <w:rFonts w:ascii="仿宋_GB2312" w:eastAsia="仿宋_GB2312" w:cs="仿宋_GB2312" w:hAnsi="仿宋_GB2312"/>
          <w:i w:val="0"/>
          <w:iCs w:val="0"/>
          <w:caps w:val="0"/>
          <w:smallCaps w:val="0"/>
          <w:color w:val="auto"/>
          <w:spacing w:val="0"/>
          <w:sz w:val="32"/>
          <w:szCs w:val="32"/>
          <w:shd w:val="clear" w:color="auto" w:fill="FFFFFF"/>
          <w:highlight w:val="auto"/>
        </w:rPr>
        <w:t>负责交通运输系统安全生产和应急管理工作；按规定组织协调国家、省、市、县重点物资和紧急客货运输。</w:t>
      </w:r>
    </w:p>
    <w:p>
      <w:pPr>
        <w:pStyle w:val="19"/>
        <w:keepNext w:val="0"/>
        <w:keepLines w:val="0"/>
        <w:widowControl/>
        <w:numPr>
          <w:ilvl w:val="0"/>
          <w:numId w:val="1"/>
        </w:numPr>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Chars="200" w:firstLine="640"/>
        <w:jc w:val="left"/>
        <w:rPr>
          <w:rFonts w:ascii="仿宋_GB2312" w:eastAsia="仿宋_GB2312" w:cs="仿宋_GB2312" w:hAnsi="仿宋_GB2312"/>
          <w:i w:val="0"/>
          <w:iCs w:val="0"/>
          <w:caps w:val="0"/>
          <w:smallCaps w:val="0"/>
          <w:color w:val="auto"/>
          <w:spacing w:val="0"/>
          <w:sz w:val="32"/>
          <w:szCs w:val="32"/>
          <w:shd w:val="clear" w:color="auto" w:fill="FFFFFF"/>
          <w:highlight w:val="auto"/>
        </w:rPr>
      </w:pPr>
      <w:r>
        <w:rPr>
          <w:rFonts w:ascii="仿宋_GB2312" w:eastAsia="仿宋_GB2312" w:cs="仿宋_GB2312" w:hAnsi="仿宋_GB2312"/>
          <w:i w:val="0"/>
          <w:iCs w:val="0"/>
          <w:caps w:val="0"/>
          <w:smallCaps w:val="0"/>
          <w:color w:val="auto"/>
          <w:spacing w:val="0"/>
          <w:sz w:val="32"/>
          <w:szCs w:val="32"/>
          <w:shd w:val="clear" w:color="auto" w:fill="FFFFFF"/>
          <w:highlight w:val="auto"/>
        </w:rPr>
        <w:t>推进京津冀协同发展交通一体化工作。</w:t>
      </w:r>
    </w:p>
    <w:p>
      <w:pPr>
        <w:pStyle w:val="19"/>
        <w:keepNext w:val="0"/>
        <w:keepLines w:val="0"/>
        <w:widowControl/>
        <w:numPr>
          <w:ilvl w:val="0"/>
          <w:numId w:val="1"/>
        </w:numPr>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Chars="200" w:firstLine="640"/>
        <w:jc w:val="left"/>
        <w:rPr>
          <w:rFonts w:ascii="仿宋_GB2312" w:eastAsia="仿宋_GB2312" w:cs="仿宋_GB2312" w:hAnsi="仿宋_GB2312"/>
          <w:i w:val="0"/>
          <w:iCs w:val="0"/>
          <w:caps w:val="0"/>
          <w:smallCaps w:val="0"/>
          <w:color w:val="auto"/>
          <w:spacing w:val="0"/>
          <w:sz w:val="32"/>
          <w:szCs w:val="32"/>
          <w:shd w:val="clear" w:color="auto" w:fill="FFFFFF"/>
          <w:highlight w:val="auto"/>
        </w:rPr>
      </w:pPr>
      <w:r>
        <w:rPr>
          <w:rFonts w:ascii="仿宋_GB2312" w:eastAsia="仿宋_GB2312" w:cs="仿宋_GB2312" w:hAnsi="仿宋_GB2312"/>
          <w:i w:val="0"/>
          <w:iCs w:val="0"/>
          <w:caps w:val="0"/>
          <w:smallCaps w:val="0"/>
          <w:color w:val="auto"/>
          <w:spacing w:val="0"/>
          <w:sz w:val="32"/>
          <w:szCs w:val="32"/>
          <w:shd w:val="clear" w:color="auto" w:fill="FFFFFF"/>
          <w:highlight w:val="auto"/>
        </w:rPr>
        <w:t>指导各乡镇交通运输相关工作。</w:t>
      </w:r>
    </w:p>
    <w:p>
      <w:pPr>
        <w:pStyle w:val="19"/>
        <w:keepNext w:val="0"/>
        <w:keepLines w:val="0"/>
        <w:widowControl/>
        <w:numPr>
          <w:ilvl w:val="0"/>
          <w:numId w:val="1"/>
        </w:numPr>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Chars="200" w:firstLine="640"/>
        <w:jc w:val="left"/>
        <w:rPr>
          <w:rFonts w:ascii="仿宋_GB2312" w:eastAsia="仿宋_GB2312" w:cs="仿宋_GB2312" w:hAnsi="仿宋_GB2312"/>
          <w:i w:val="0"/>
          <w:iCs w:val="0"/>
          <w:caps w:val="0"/>
          <w:smallCaps w:val="0"/>
          <w:color w:val="auto"/>
          <w:spacing w:val="0"/>
          <w:sz w:val="32"/>
          <w:szCs w:val="32"/>
          <w:shd w:val="clear" w:color="auto" w:fill="FFFFFF"/>
          <w:highlight w:val="auto"/>
        </w:rPr>
      </w:pPr>
      <w:r>
        <w:rPr>
          <w:rFonts w:ascii="仿宋_GB2312" w:eastAsia="仿宋_GB2312" w:cs="仿宋_GB2312" w:hAnsi="仿宋_GB2312"/>
          <w:i w:val="0"/>
          <w:iCs w:val="0"/>
          <w:caps w:val="0"/>
          <w:smallCaps w:val="0"/>
          <w:color w:val="auto"/>
          <w:spacing w:val="0"/>
          <w:sz w:val="32"/>
          <w:szCs w:val="32"/>
          <w:shd w:val="clear" w:color="auto" w:fill="FFFFFF"/>
          <w:highlight w:val="auto"/>
        </w:rPr>
        <w:t>完成县委、县政府交办的其他任务。</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p>
    <w:p>
      <w:pPr>
        <w:widowControl/>
        <w:spacing w:before="0" w:beforeAutospacing="0" w:after="0" w:afterAutospacing="0" w:line="360" w:lineRule="auto"/>
        <w:jc w:val="left"/>
        <w:outlineLvl w:val="1"/>
        <w:rPr>
          <w:rFonts w:ascii="Times New Roman" w:eastAsia="黑体" w:hAnsi="Times New Roman"/>
          <w:sz w:val="32"/>
          <w:szCs w:val="32"/>
        </w:rPr>
      </w:pPr>
      <w:r>
        <w:rPr>
          <w:rFonts w:ascii="Times New Roman" w:eastAsia="黑体" w:hAnsi="Times New Roman"/>
          <w:b w:val="0"/>
          <w:sz w:val="32"/>
          <w:szCs w:val="32"/>
        </w:rPr>
        <w:t>二、机构设置</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从决算编报单位构成看，纳入2024年度本单位决算汇编范围的独立核算单位（以下简称“单位”）共</w:t>
      </w:r>
      <w:r>
        <w:rPr>
          <w:rFonts w:ascii="Times New Roman" w:eastAsia="仿宋_GB2312" w:hAnsi="Times New Roman" w:hint="eastAsia"/>
          <w:b w:val="0"/>
          <w:sz w:val="32"/>
          <w:szCs w:val="32"/>
          <w:lang w:val="en-US" w:eastAsia="zh-CN"/>
        </w:rPr>
        <w:t>1</w:t>
      </w:r>
      <w:r>
        <w:rPr>
          <w:rFonts w:ascii="Times New Roman" w:eastAsia="仿宋_GB2312" w:hAnsi="Times New Roman"/>
          <w:b w:val="0"/>
          <w:sz w:val="32"/>
          <w:szCs w:val="32"/>
        </w:rPr>
        <w:t>个，具体情况如下：</w:t>
      </w:r>
    </w:p>
    <w:tbl>
      <w:tblPr>
        <w:tblpPr w:leftFromText="180" w:rightFromText="180" w:vertAnchor="text" w:horzAnchor="page" w:tblpXSpec="center" w:tblpY="10"/>
        <w:tblOverlap w:val="never"/>
        <w:tblW w:w="9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985"/>
        <w:gridCol w:w="3485"/>
        <w:gridCol w:w="2445"/>
        <w:gridCol w:w="2665"/>
      </w:tblGrid>
      <w:tr>
        <w:trPr>
          <w:trHeight w:val="811"/>
        </w:trPr>
        <w:tc>
          <w:tcPr>
            <w:tcW w:w="985" w:type="dxa"/>
            <w:vAlign w:val="center"/>
          </w:tcPr>
          <w:p>
            <w:pPr>
              <w:spacing w:line="560" w:lineRule="exact"/>
              <w:jc w:val="center"/>
              <w:rPr>
                <w:rFonts w:ascii="仿宋_GB2312" w:eastAsia="仿宋_GB2312" w:cs="ArialUnicodeMS" w:hAnsi="Calibri"/>
                <w:b/>
                <w:bCs/>
                <w:kern w:val="0"/>
                <w:sz w:val="28"/>
                <w:szCs w:val="28"/>
              </w:rPr>
            </w:pPr>
            <w:r>
              <w:rPr>
                <w:rFonts w:ascii="仿宋_GB2312" w:eastAsia="仿宋_GB2312" w:cs="ArialUnicodeMS" w:hAnsi="Calibri" w:hint="eastAsia"/>
                <w:b/>
                <w:bCs/>
                <w:kern w:val="0"/>
                <w:sz w:val="28"/>
                <w:szCs w:val="28"/>
              </w:rPr>
              <w:t>序号</w:t>
            </w:r>
          </w:p>
        </w:tc>
        <w:tc>
          <w:tcPr>
            <w:tcW w:w="3485" w:type="dxa"/>
            <w:vAlign w:val="center"/>
          </w:tcPr>
          <w:p>
            <w:pPr>
              <w:spacing w:line="560" w:lineRule="exact"/>
              <w:jc w:val="center"/>
              <w:rPr>
                <w:rFonts w:ascii="仿宋_GB2312" w:eastAsia="仿宋_GB2312" w:cs="ArialUnicodeMS" w:hAnsi="Calibri"/>
                <w:b/>
                <w:bCs/>
                <w:kern w:val="0"/>
                <w:sz w:val="28"/>
                <w:szCs w:val="28"/>
              </w:rPr>
            </w:pPr>
            <w:r>
              <w:rPr>
                <w:rFonts w:ascii="仿宋_GB2312" w:eastAsia="仿宋_GB2312" w:cs="ArialUnicodeMS" w:hAnsi="Calibri" w:hint="eastAsia"/>
                <w:b/>
                <w:bCs/>
                <w:kern w:val="0"/>
                <w:sz w:val="28"/>
                <w:szCs w:val="28"/>
              </w:rPr>
              <w:t>单位名称</w:t>
            </w:r>
          </w:p>
        </w:tc>
        <w:tc>
          <w:tcPr>
            <w:tcW w:w="2445" w:type="dxa"/>
            <w:vAlign w:val="center"/>
          </w:tcPr>
          <w:p>
            <w:pPr>
              <w:spacing w:line="560" w:lineRule="exact"/>
              <w:jc w:val="center"/>
              <w:rPr>
                <w:rFonts w:ascii="仿宋_GB2312" w:eastAsia="仿宋_GB2312" w:cs="ArialUnicodeMS" w:hAnsi="Calibri"/>
                <w:b/>
                <w:bCs/>
                <w:kern w:val="0"/>
                <w:sz w:val="28"/>
                <w:szCs w:val="28"/>
              </w:rPr>
            </w:pPr>
            <w:r>
              <w:rPr>
                <w:rFonts w:ascii="仿宋_GB2312" w:eastAsia="仿宋_GB2312" w:cs="ArialUnicodeMS" w:hAnsi="Calibri" w:hint="eastAsia"/>
                <w:b/>
                <w:bCs/>
                <w:kern w:val="0"/>
                <w:sz w:val="28"/>
                <w:szCs w:val="28"/>
              </w:rPr>
              <w:t>单位基本性质</w:t>
            </w:r>
          </w:p>
        </w:tc>
        <w:tc>
          <w:tcPr>
            <w:tcW w:w="2665" w:type="dxa"/>
            <w:vAlign w:val="center"/>
          </w:tcPr>
          <w:p>
            <w:pPr>
              <w:spacing w:line="560" w:lineRule="exact"/>
              <w:jc w:val="center"/>
              <w:rPr>
                <w:rFonts w:ascii="仿宋_GB2312" w:eastAsia="仿宋_GB2312" w:cs="ArialUnicodeMS" w:hAnsi="Calibri"/>
                <w:b/>
                <w:bCs/>
                <w:kern w:val="0"/>
                <w:sz w:val="28"/>
                <w:szCs w:val="28"/>
              </w:rPr>
            </w:pPr>
            <w:r>
              <w:rPr>
                <w:rFonts w:ascii="仿宋_GB2312" w:eastAsia="仿宋_GB2312" w:cs="ArialUnicodeMS" w:hAnsi="Calibri" w:hint="eastAsia"/>
                <w:b/>
                <w:bCs/>
                <w:kern w:val="0"/>
                <w:sz w:val="28"/>
                <w:szCs w:val="28"/>
              </w:rPr>
              <w:t>经费形式</w:t>
            </w:r>
          </w:p>
        </w:tc>
      </w:tr>
      <w:tr>
        <w:trPr>
          <w:trHeight w:val="596"/>
        </w:trPr>
        <w:tc>
          <w:tcPr>
            <w:tcW w:w="985" w:type="dxa"/>
            <w:tcBorders>
              <w:top w:val="single" w:sz="4" w:space="0" w:color="auto"/>
              <w:left w:val="single" w:sz="4" w:space="0" w:color="auto"/>
              <w:right w:val="single" w:sz="4" w:space="0" w:color="auto"/>
            </w:tcBorders>
          </w:tcPr>
          <w:p>
            <w:pPr>
              <w:spacing w:line="560" w:lineRule="exact"/>
              <w:jc w:val="center"/>
              <w:rPr>
                <w:rFonts w:ascii="仿宋_GB2312" w:eastAsia="仿宋_GB2312" w:cs="ArialUnicodeMS" w:hAnsi="Calibri"/>
                <w:kern w:val="0"/>
                <w:sz w:val="28"/>
                <w:szCs w:val="28"/>
              </w:rPr>
            </w:pPr>
            <w:r>
              <w:rPr>
                <w:rFonts w:ascii="仿宋_GB2312" w:eastAsia="仿宋_GB2312" w:cs="ArialUnicodeMS" w:hAnsi="Calibri" w:hint="eastAsia"/>
                <w:kern w:val="0"/>
                <w:sz w:val="28"/>
                <w:szCs w:val="28"/>
                <w:lang w:val="en-US" w:eastAsia="zh-CN"/>
              </w:rPr>
              <w:t>1</w:t>
            </w:r>
          </w:p>
        </w:tc>
        <w:tc>
          <w:tcPr>
            <w:tcW w:w="3485" w:type="dxa"/>
            <w:tcBorders>
              <w:top w:val="single" w:sz="4" w:space="0" w:color="auto"/>
              <w:left w:val="single" w:sz="4" w:space="0" w:color="auto"/>
              <w:right w:val="single" w:sz="4" w:space="0" w:color="auto"/>
            </w:tcBorders>
          </w:tcPr>
          <w:p>
            <w:pPr>
              <w:spacing w:line="560" w:lineRule="exact"/>
              <w:jc w:val="center"/>
              <w:rPr>
                <w:rFonts w:ascii="仿宋_GB2312" w:eastAsia="仿宋_GB2312" w:cs="ArialUnicodeMS" w:hAnsi="Calibri"/>
                <w:kern w:val="0"/>
                <w:sz w:val="28"/>
                <w:szCs w:val="28"/>
              </w:rPr>
            </w:pPr>
            <w:r>
              <w:rPr>
                <w:rFonts w:ascii="仿宋_GB2312" w:eastAsia="仿宋_GB2312" w:cs="ArialUnicodeMS" w:hAnsi="Calibri" w:hint="eastAsia"/>
                <w:kern w:val="0"/>
                <w:sz w:val="28"/>
                <w:szCs w:val="28"/>
                <w:lang w:val="en-US" w:eastAsia="zh-CN"/>
              </w:rPr>
              <w:t>行唐县交通运输局(本级)</w:t>
            </w:r>
          </w:p>
        </w:tc>
        <w:tc>
          <w:tcPr>
            <w:tcW w:w="2445" w:type="dxa"/>
            <w:tcBorders>
              <w:top w:val="single" w:sz="4" w:space="0" w:color="auto"/>
              <w:left w:val="single" w:sz="4" w:space="0" w:color="auto"/>
              <w:right w:val="single" w:sz="4" w:space="0" w:color="auto"/>
            </w:tcBorders>
          </w:tcPr>
          <w:p>
            <w:pPr>
              <w:spacing w:line="560" w:lineRule="exact"/>
              <w:jc w:val="center"/>
              <w:rPr>
                <w:rFonts w:ascii="仿宋_GB2312" w:eastAsia="仿宋_GB2312" w:cs="ArialUnicodeMS" w:hAnsi="Calibri" w:hint="eastAsia"/>
                <w:kern w:val="0"/>
                <w:sz w:val="28"/>
                <w:szCs w:val="28"/>
                <w:lang w:val="en-US" w:eastAsia="zh-CN"/>
              </w:rPr>
            </w:pPr>
            <w:r>
              <w:rPr>
                <w:rFonts w:ascii="仿宋_GB2312" w:eastAsia="仿宋_GB2312" w:cs="ArialUnicodeMS" w:hAnsi="Calibri" w:hint="eastAsia"/>
                <w:kern w:val="0"/>
                <w:sz w:val="28"/>
                <w:szCs w:val="28"/>
                <w:lang w:val="en-US" w:eastAsia="zh-CN"/>
              </w:rPr>
              <w:t>行政单位</w:t>
            </w:r>
          </w:p>
        </w:tc>
        <w:tc>
          <w:tcPr>
            <w:tcW w:w="2665" w:type="dxa"/>
            <w:tcBorders>
              <w:top w:val="single" w:sz="4" w:space="0" w:color="auto"/>
              <w:left w:val="single" w:sz="4" w:space="0" w:color="auto"/>
              <w:right w:val="single" w:sz="4" w:space="0" w:color="auto"/>
            </w:tcBorders>
          </w:tcPr>
          <w:p>
            <w:pPr>
              <w:spacing w:line="560" w:lineRule="exact"/>
              <w:jc w:val="center"/>
              <w:rPr>
                <w:rFonts w:ascii="仿宋_GB2312" w:eastAsia="仿宋_GB2312" w:cs="ArialUnicodeMS" w:hAnsi="Calibri"/>
                <w:kern w:val="0"/>
                <w:sz w:val="28"/>
                <w:szCs w:val="28"/>
              </w:rPr>
            </w:pPr>
            <w:r>
              <w:rPr>
                <w:rFonts w:ascii="仿宋_GB2312" w:eastAsia="仿宋_GB2312" w:cs="ArialUnicodeMS" w:hAnsi="Calibri" w:hint="eastAsia"/>
                <w:kern w:val="0"/>
                <w:sz w:val="28"/>
                <w:szCs w:val="28"/>
                <w:lang w:val="en-US" w:eastAsia="zh-CN"/>
              </w:rPr>
              <w:t>全额</w:t>
            </w:r>
          </w:p>
        </w:tc>
      </w:tr>
    </w:tbl>
    <w:p>
      <w:pPr>
        <w:rPr>
          <w:rFonts w:ascii="Times New Roman" w:eastAsia="黑体" w:cs="Times New Roman" w:hAnsi="Times New Roman" w:hint="eastAsia"/>
          <w:sz w:val="32"/>
          <w:szCs w:val="32"/>
          <w:highlight w:val="yellow"/>
        </w:rPr>
      </w:pPr>
      <w:r>
        <w:rPr>
          <w:rFonts w:ascii="Times New Roman" w:eastAsia="黑体" w:cs="Times New Roman" w:hAnsi="Times New Roman" w:hint="eastAsia"/>
          <w:sz w:val="32"/>
          <w:szCs w:val="32"/>
          <w:highlight w:val="yellow"/>
        </w:rPr>
        <w:br w:type="page"/>
      </w:r>
    </w:p>
    <w:p>
      <w:pPr>
        <w:widowControl/>
        <w:spacing w:before="0" w:beforeAutospacing="0" w:after="0" w:afterAutospacing="0" w:line="360" w:lineRule="auto"/>
        <w:jc w:val="center"/>
        <w:outlineLvl w:val="0"/>
        <w:rPr>
          <w:rFonts w:ascii="Times New Roman" w:eastAsia="黑体" w:hAnsi="Times New Roman"/>
          <w:sz w:val="44"/>
          <w:szCs w:val="44"/>
        </w:rPr>
      </w:pPr>
      <w:r>
        <w:rPr>
          <w:rFonts w:ascii="Times New Roman" w:eastAsia="黑体" w:hAnsi="Times New Roman"/>
          <w:b w:val="0"/>
          <w:sz w:val="44"/>
          <w:szCs w:val="44"/>
        </w:rPr>
        <w:t>第二部分   </w:t>
      </w:r>
      <w:r>
        <w:rPr>
          <w:rFonts w:ascii="Times New Roman" w:eastAsia="仿宋_GB2312" w:hAnsi="Times New Roman"/>
          <w:b w:val="0"/>
          <w:sz w:val="44"/>
          <w:szCs w:val="44"/>
        </w:rPr>
        <w:t>2024</w:t>
      </w:r>
      <w:r>
        <w:rPr>
          <w:rFonts w:ascii="Times New Roman" w:eastAsia="黑体" w:hAnsi="Times New Roman"/>
          <w:b w:val="0"/>
          <w:sz w:val="44"/>
          <w:szCs w:val="44"/>
        </w:rPr>
        <w:t>年度单位决算表</w:t>
      </w:r>
    </w:p>
    <w:tbl>
      <w:tblPr>
        <w:jc w:val="left"/>
        <w:tblInd w:w="-1817" w:type="dxa"/>
        <w:tblW w:w="11659"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3346"/>
        <w:gridCol w:w="624"/>
        <w:gridCol w:w="611"/>
        <w:gridCol w:w="1317"/>
        <w:gridCol w:w="1628"/>
        <w:gridCol w:w="1547"/>
        <w:gridCol w:w="624"/>
        <w:gridCol w:w="1928"/>
        <w:gridCol w:w="34"/>
      </w:tblGrid>
      <w:tr>
        <w:trPr>
          <w:trHeight w:val="361"/>
          <w:gridAfter w:val="1"/>
          <w:wAfter w:w="34" w:type="dxa"/>
        </w:trPr>
        <w:tc>
          <w:tcPr>
            <w:tcW w:w="11625" w:type="dxa"/>
            <w:gridSpan w:val="8"/>
            <w:tcBorders>
              <w:top w:val="nil"/>
              <w:left w:val="nil"/>
              <w:bottom w:val="nil"/>
              <w:right w:val="nil"/>
            </w:tcBorders>
            <w:noWrap/>
            <w:vAlign w:val="bottom"/>
          </w:tcPr>
          <w:p>
            <w:pPr>
              <w:keepNext w:val="0"/>
              <w:keepLines w:val="0"/>
              <w:widowControl/>
              <w:suppressLineNumbers w:val="0"/>
              <w:jc w:val="center"/>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b w:val="0"/>
                <w:bCs/>
                <w:color w:val="auto"/>
                <w:kern w:val="0"/>
                <w:sz w:val="32"/>
                <w:szCs w:val="32"/>
                <w:lang w:val="en-US" w:eastAsia="zh-CN"/>
                <w:highlight w:val="auto"/>
              </w:rPr>
              <w:t>收入支出决算总表</w:t>
            </w:r>
          </w:p>
        </w:tc>
      </w:tr>
      <w:tr>
        <w:trPr>
          <w:trHeight w:val="357"/>
          <w:gridAfter w:val="1"/>
          <w:wAfter w:w="34" w:type="dxa"/>
        </w:trPr>
        <w:tc>
          <w:tcPr>
            <w:tcW w:w="11625" w:type="dxa"/>
            <w:gridSpan w:val="8"/>
            <w:tcBorders>
              <w:top w:val="nil"/>
              <w:left w:val="nil"/>
              <w:bottom w:val="nil"/>
              <w:right w:val="nil"/>
            </w:tcBorders>
            <w:noWrap/>
            <w:vAlign w:val="bottom"/>
          </w:tcPr>
          <w:p>
            <w:pPr>
              <w:keepNext w:val="0"/>
              <w:keepLines w:val="0"/>
              <w:widowControl/>
              <w:suppressLineNumbers w:val="0"/>
              <w:jc w:val="right"/>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 xml:space="preserve"> 公开</w:t>
            </w:r>
            <w:r>
              <w:rPr>
                <w:rFonts w:ascii="Times New Roman" w:eastAsia="宋体" w:cs="Times New Roman" w:hAnsi="Times New Roman" w:hint="eastAsia"/>
                <w:i w:val="0"/>
                <w:iCs w:val="0"/>
                <w:color w:val="000000"/>
                <w:sz w:val="20"/>
                <w:szCs w:val="20"/>
                <w:u w:val="none"/>
                <w:lang w:val="en-US" w:eastAsia="zh-CN"/>
                <w:highlight w:val="auto"/>
              </w:rPr>
              <w:t>01</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表</w:t>
            </w:r>
          </w:p>
        </w:tc>
      </w:tr>
      <w:tr>
        <w:trPr>
          <w:trHeight w:val="351"/>
          <w:gridAfter w:val="1"/>
          <w:wAfter w:w="34" w:type="dxa"/>
        </w:trPr>
        <w:tc>
          <w:tcPr>
            <w:tcW w:w="4581" w:type="dxa"/>
            <w:gridSpan w:val="3"/>
            <w:tcBorders>
              <w:top w:val="nil"/>
              <w:left w:val="nil"/>
              <w:bottom w:val="single" w:sz="4" w:space="0" w:color="auto"/>
              <w:right w:val="nil"/>
            </w:tcBorders>
            <w:noWrap/>
            <w:vAlign w:val="bottom"/>
          </w:tcPr>
          <w:p>
            <w:pPr>
              <w:jc w:val="both"/>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rPr>
              <w:t>单位</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（单位）：行唐县交通运输局(本级)</w:t>
            </w:r>
          </w:p>
        </w:tc>
        <w:tc>
          <w:tcPr>
            <w:tcW w:w="2945" w:type="dxa"/>
            <w:gridSpan w:val="2"/>
            <w:tcBorders>
              <w:top w:val="nil"/>
              <w:left w:val="nil"/>
              <w:bottom w:val="single" w:sz="4" w:space="0" w:color="auto"/>
              <w:right w:val="nil"/>
            </w:tcBorders>
            <w:noWrap/>
            <w:vAlign w:val="bottom"/>
          </w:tcPr>
          <w:p>
            <w:pPr>
              <w:jc w:val="center"/>
              <w:rPr>
                <w:rFonts w:ascii="宋体" w:eastAsia="宋体" w:cs="宋体" w:hAnsi="宋体"/>
                <w:i w:val="0"/>
                <w:iCs w:val="0"/>
                <w:color w:val="000000"/>
                <w:kern w:val="0"/>
                <w:sz w:val="20"/>
                <w:szCs w:val="20"/>
                <w:u w:val="none"/>
                <w:lang w:val="en-US" w:eastAsia="zh-CN"/>
                <w:highlight w:val="auto"/>
              </w:rPr>
            </w:pPr>
            <w:r>
              <w:rPr>
                <w:rFonts w:ascii="Times New Roman" w:eastAsia="宋体" w:cs="Times New Roman" w:hAnsi="Times New Roman" w:hint="eastAsia"/>
                <w:i w:val="0"/>
                <w:iCs w:val="0"/>
                <w:color w:val="000000"/>
                <w:sz w:val="20"/>
                <w:szCs w:val="20"/>
                <w:u w:val="none"/>
                <w:lang w:val="en-US" w:eastAsia="zh-CN"/>
                <w:highlight w:val="auto"/>
              </w:rPr>
              <w:t>2024</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年度</w:t>
            </w:r>
          </w:p>
        </w:tc>
        <w:tc>
          <w:tcPr>
            <w:tcW w:w="4099" w:type="dxa"/>
            <w:gridSpan w:val="3"/>
            <w:tcBorders>
              <w:top w:val="nil"/>
              <w:left w:val="nil"/>
              <w:bottom w:val="single" w:sz="4" w:space="0" w:color="auto"/>
              <w:right w:val="nil"/>
            </w:tcBorders>
            <w:noWrap/>
            <w:vAlign w:val="bottom"/>
          </w:tcPr>
          <w:p>
            <w:pPr>
              <w:jc w:val="right"/>
              <w:rPr>
                <w:rFonts w:ascii="宋体" w:eastAsia="宋体" w:cs="宋体" w:hAnsi="宋体"/>
                <w:i w:val="0"/>
                <w:iCs w:val="0"/>
                <w:color w:val="000000"/>
                <w:kern w:val="0"/>
                <w:sz w:val="20"/>
                <w:szCs w:val="20"/>
                <w:u w:val="none"/>
                <w:lang w:val="en-US" w:eastAsia="zh-CN"/>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金额单位：万元</w:t>
            </w:r>
          </w:p>
        </w:tc>
      </w:tr>
      <w:tr>
        <w:trPr>
          <w:trHeight w:val="544"/>
          <w:gridAfter w:val="1"/>
          <w:wAfter w:w="34" w:type="dxa"/>
        </w:trPr>
        <w:tc>
          <w:tcPr>
            <w:tcW w:w="5898" w:type="dxa"/>
            <w:gridSpan w:val="4"/>
            <w:tcBorders>
              <w:top w:val="single" w:sz="4" w:space="0" w:color="auto"/>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宋体" w:eastAsia="宋体" w:cs="宋体" w:hAnsi="宋体" w:hint="eastAsia"/>
                <w:i w:val="0"/>
                <w:iCs w:val="0"/>
                <w:color w:val="000000"/>
                <w:kern w:val="0"/>
                <w:sz w:val="20"/>
                <w:szCs w:val="20"/>
                <w:u w:val="none"/>
                <w:lang w:val="en-US" w:eastAsia="zh-CN"/>
                <w:highlight w:val="auto"/>
              </w:rPr>
              <w:t>收入</w:t>
            </w:r>
          </w:p>
        </w:tc>
        <w:tc>
          <w:tcPr>
            <w:tcW w:w="5727" w:type="dxa"/>
            <w:gridSpan w:val="4"/>
            <w:tcBorders>
              <w:top w:val="single" w:sz="4" w:space="0" w:color="auto"/>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宋体" w:eastAsia="宋体" w:cs="宋体" w:hAnsi="宋体" w:hint="eastAsia"/>
                <w:i w:val="0"/>
                <w:iCs w:val="0"/>
                <w:color w:val="000000"/>
                <w:kern w:val="0"/>
                <w:sz w:val="20"/>
                <w:szCs w:val="20"/>
                <w:u w:val="none"/>
                <w:lang w:val="en-US" w:eastAsia="zh-CN"/>
                <w:highlight w:val="auto"/>
              </w:rPr>
              <w:t>支出</w:t>
            </w:r>
          </w:p>
        </w:tc>
      </w:tr>
      <w:tr>
        <w:trPr>
          <w:trHeight w:val="308"/>
          <w:gridAfter w:val="1"/>
          <w:wAfter w:w="34" w:type="dxa"/>
        </w:trPr>
        <w:tc>
          <w:tcPr>
            <w:tcW w:w="3346" w:type="dxa"/>
            <w:tcBorders>
              <w:top w:val="nil"/>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项目</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行次</w:t>
            </w:r>
          </w:p>
        </w:tc>
        <w:tc>
          <w:tcPr>
            <w:tcW w:w="1928" w:type="dxa"/>
            <w:gridSpan w:val="2"/>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决算数</w:t>
            </w:r>
          </w:p>
        </w:tc>
        <w:tc>
          <w:tcPr>
            <w:tcW w:w="3175" w:type="dxa"/>
            <w:gridSpan w:val="2"/>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项目</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行次</w:t>
            </w:r>
          </w:p>
        </w:tc>
        <w:tc>
          <w:tcPr>
            <w:tcW w:w="1928"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决算数</w:t>
            </w:r>
          </w:p>
        </w:tc>
      </w:tr>
      <w:tr>
        <w:trPr>
          <w:trHeight w:val="476"/>
          <w:gridAfter w:val="1"/>
          <w:wAfter w:w="34" w:type="dxa"/>
        </w:trPr>
        <w:tc>
          <w:tcPr>
            <w:tcW w:w="3346" w:type="dxa"/>
            <w:tcBorders>
              <w:top w:val="nil"/>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栏次</w:t>
            </w:r>
          </w:p>
        </w:tc>
        <w:tc>
          <w:tcPr>
            <w:tcW w:w="624" w:type="dxa"/>
            <w:tcBorders>
              <w:top w:val="nil"/>
              <w:left w:val="nil"/>
              <w:bottom w:val="single" w:sz="4" w:space="0" w:color="000000"/>
              <w:right w:val="single" w:sz="4" w:space="0" w:color="000000"/>
            </w:tcBorders>
            <w:noWrap/>
            <w:vAlign w:val="center"/>
          </w:tcPr>
          <w:p>
            <w:pPr>
              <w:jc w:val="center"/>
              <w:rPr>
                <w:rFonts w:ascii="宋体" w:eastAsia="宋体" w:cs="宋体" w:hAnsi="宋体" w:hint="eastAsia"/>
                <w:i w:val="0"/>
                <w:iCs w:val="0"/>
                <w:color w:val="000000"/>
                <w:sz w:val="20"/>
                <w:szCs w:val="20"/>
                <w:u w:val="none"/>
                <w:highlight w:val="auto"/>
              </w:rPr>
            </w:pPr>
          </w:p>
        </w:tc>
        <w:tc>
          <w:tcPr>
            <w:tcW w:w="1928" w:type="dxa"/>
            <w:gridSpan w:val="2"/>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Times New Roman" w:eastAsia="宋体" w:cs="Times New Roman" w:hAnsi="Times New Roman" w:hint="eastAsia"/>
                <w:i w:val="0"/>
                <w:iCs w:val="0"/>
                <w:color w:val="000000"/>
                <w:sz w:val="20"/>
                <w:szCs w:val="20"/>
                <w:u w:val="none"/>
                <w:lang w:val="en-US" w:eastAsia="zh-CN"/>
                <w:highlight w:val="auto"/>
              </w:rPr>
              <w:t>1</w:t>
            </w:r>
          </w:p>
        </w:tc>
        <w:tc>
          <w:tcPr>
            <w:tcW w:w="3175" w:type="dxa"/>
            <w:gridSpan w:val="2"/>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栏次</w:t>
            </w:r>
          </w:p>
        </w:tc>
        <w:tc>
          <w:tcPr>
            <w:tcW w:w="624" w:type="dxa"/>
            <w:tcBorders>
              <w:top w:val="nil"/>
              <w:left w:val="nil"/>
              <w:bottom w:val="single" w:sz="4" w:space="0" w:color="000000"/>
              <w:right w:val="single" w:sz="4" w:space="0" w:color="000000"/>
            </w:tcBorders>
            <w:noWrap/>
            <w:vAlign w:val="center"/>
          </w:tcPr>
          <w:p>
            <w:pPr>
              <w:jc w:val="center"/>
              <w:rPr>
                <w:rFonts w:ascii="宋体" w:eastAsia="宋体" w:cs="宋体" w:hAnsi="宋体" w:hint="eastAsia"/>
                <w:i w:val="0"/>
                <w:iCs w:val="0"/>
                <w:color w:val="000000"/>
                <w:sz w:val="20"/>
                <w:szCs w:val="20"/>
                <w:u w:val="none"/>
                <w:highlight w:val="auto"/>
              </w:rPr>
            </w:pPr>
          </w:p>
        </w:tc>
        <w:tc>
          <w:tcPr>
            <w:tcW w:w="1928"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Times New Roman" w:eastAsia="宋体" w:cs="Times New Roman" w:hAnsi="Times New Roman" w:hint="eastAsia"/>
                <w:i w:val="0"/>
                <w:iCs w:val="0"/>
                <w:color w:val="000000"/>
                <w:sz w:val="20"/>
                <w:szCs w:val="20"/>
                <w:u w:val="none"/>
                <w:lang w:val="en-US" w:eastAsia="zh-CN"/>
                <w:highlight w:val="auto"/>
              </w:rPr>
              <w:t>2</w:t>
            </w:r>
          </w:p>
        </w:tc>
      </w:tr>
      <w:tr>
        <w:trPr>
          <w:trHeight w:val="476"/>
          <w:gridAfter w:val="1"/>
          <w:wAfter w:w="34" w:type="dxa"/>
        </w:trPr>
        <w:tc>
          <w:tcPr>
            <w:tcW w:w="3346" w:type="dxa"/>
            <w:tcBorders>
              <w:top w:val="nil"/>
              <w:left w:val="single" w:sz="4" w:space="0" w:color="000000"/>
              <w:bottom w:val="single" w:sz="4" w:space="0" w:color="000000"/>
              <w:right w:val="single" w:sz="4"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一、一般公共预算财政拨款收入</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宋体" w:eastAsia="宋体" w:cs="宋体" w:hAnsi="宋体"/>
                <w:i w:val="0"/>
                <w:iCs w:val="0"/>
                <w:color w:val="000000"/>
                <w:sz w:val="20"/>
                <w:szCs w:val="20"/>
                <w:u w:val="none"/>
                <w:lang w:val="en-US" w:eastAsia="zh-CN"/>
                <w:highlight w:val="auto"/>
              </w:rPr>
              <w:t>1</w:t>
            </w:r>
          </w:p>
        </w:tc>
        <w:tc>
          <w:tcPr>
            <w:tcW w:w="1928"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7,853.23</w:t>
            </w:r>
          </w:p>
        </w:tc>
        <w:tc>
          <w:tcPr>
            <w:tcW w:w="3175" w:type="dxa"/>
            <w:gridSpan w:val="2"/>
            <w:tcBorders>
              <w:top w:val="nil"/>
              <w:left w:val="nil"/>
              <w:bottom w:val="single" w:sz="4" w:space="0" w:color="000000"/>
              <w:right w:val="single" w:sz="4"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一、一般公共服务支出</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32</w:t>
            </w:r>
          </w:p>
        </w:tc>
        <w:tc>
          <w:tcPr>
            <w:tcW w:w="1928"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nil"/>
              <w:left w:val="single" w:sz="4" w:space="0" w:color="000000"/>
              <w:bottom w:val="single" w:sz="4" w:space="0" w:color="000000"/>
              <w:right w:val="single" w:sz="4"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二、政府性基金预算财政拨款收入</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w:t>
            </w:r>
          </w:p>
        </w:tc>
        <w:tc>
          <w:tcPr>
            <w:tcW w:w="1928"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3175" w:type="dxa"/>
            <w:gridSpan w:val="2"/>
            <w:tcBorders>
              <w:top w:val="nil"/>
              <w:left w:val="nil"/>
              <w:bottom w:val="single" w:sz="4" w:space="0" w:color="000000"/>
              <w:right w:val="single" w:sz="4"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二、外交支出</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33</w:t>
            </w:r>
          </w:p>
        </w:tc>
        <w:tc>
          <w:tcPr>
            <w:tcW w:w="1928"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nil"/>
              <w:left w:val="single" w:sz="4" w:space="0" w:color="000000"/>
              <w:bottom w:val="single" w:sz="4" w:space="0" w:color="000000"/>
              <w:right w:val="single" w:sz="4"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三、国有资本经营预算财政拨款收入</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3</w:t>
            </w:r>
          </w:p>
        </w:tc>
        <w:tc>
          <w:tcPr>
            <w:tcW w:w="1928"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3175" w:type="dxa"/>
            <w:gridSpan w:val="2"/>
            <w:tcBorders>
              <w:top w:val="nil"/>
              <w:left w:val="nil"/>
              <w:bottom w:val="single" w:sz="4" w:space="0" w:color="000000"/>
              <w:right w:val="single" w:sz="4"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三、国防支出</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34</w:t>
            </w:r>
          </w:p>
        </w:tc>
        <w:tc>
          <w:tcPr>
            <w:tcW w:w="1928"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nil"/>
              <w:left w:val="single" w:sz="4" w:space="0" w:color="000000"/>
              <w:bottom w:val="single" w:sz="4" w:space="0" w:color="000000"/>
              <w:right w:val="single" w:sz="4"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四、上级补助收入</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4</w:t>
            </w:r>
          </w:p>
        </w:tc>
        <w:tc>
          <w:tcPr>
            <w:tcW w:w="1928"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3175" w:type="dxa"/>
            <w:gridSpan w:val="2"/>
            <w:tcBorders>
              <w:top w:val="nil"/>
              <w:left w:val="nil"/>
              <w:bottom w:val="single" w:sz="4" w:space="0" w:color="000000"/>
              <w:right w:val="single" w:sz="4"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四、公共安全支出</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35</w:t>
            </w:r>
          </w:p>
        </w:tc>
        <w:tc>
          <w:tcPr>
            <w:tcW w:w="1928"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nil"/>
              <w:left w:val="single" w:sz="4" w:space="0" w:color="000000"/>
              <w:bottom w:val="single" w:sz="4" w:space="0" w:color="000000"/>
              <w:right w:val="single" w:sz="4"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五、事业收入</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5</w:t>
            </w:r>
          </w:p>
        </w:tc>
        <w:tc>
          <w:tcPr>
            <w:tcW w:w="1928"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3175" w:type="dxa"/>
            <w:gridSpan w:val="2"/>
            <w:tcBorders>
              <w:top w:val="nil"/>
              <w:left w:val="nil"/>
              <w:bottom w:val="single" w:sz="4" w:space="0" w:color="000000"/>
              <w:right w:val="single" w:sz="4"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五、教育支出</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36</w:t>
            </w:r>
          </w:p>
        </w:tc>
        <w:tc>
          <w:tcPr>
            <w:tcW w:w="1928"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nil"/>
              <w:left w:val="single" w:sz="4" w:space="0" w:color="000000"/>
              <w:bottom w:val="single" w:sz="4" w:space="0" w:color="000000"/>
              <w:right w:val="single" w:sz="4"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六、经营收入</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6</w:t>
            </w:r>
          </w:p>
        </w:tc>
        <w:tc>
          <w:tcPr>
            <w:tcW w:w="1928"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3175" w:type="dxa"/>
            <w:gridSpan w:val="2"/>
            <w:tcBorders>
              <w:top w:val="nil"/>
              <w:left w:val="nil"/>
              <w:bottom w:val="single" w:sz="4" w:space="0" w:color="000000"/>
              <w:right w:val="single" w:sz="4"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六、科学技术支出</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37</w:t>
            </w:r>
          </w:p>
        </w:tc>
        <w:tc>
          <w:tcPr>
            <w:tcW w:w="1928"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nil"/>
              <w:left w:val="single" w:sz="4" w:space="0" w:color="000000"/>
              <w:bottom w:val="single" w:sz="4" w:space="0" w:color="000000"/>
              <w:right w:val="single" w:sz="4"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七、附属单位上缴收入</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7</w:t>
            </w:r>
          </w:p>
        </w:tc>
        <w:tc>
          <w:tcPr>
            <w:tcW w:w="1928"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3175" w:type="dxa"/>
            <w:gridSpan w:val="2"/>
            <w:tcBorders>
              <w:top w:val="nil"/>
              <w:left w:val="nil"/>
              <w:bottom w:val="single" w:sz="4" w:space="0" w:color="000000"/>
              <w:right w:val="single" w:sz="4"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七、文化旅游体育与传媒支出</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38</w:t>
            </w:r>
          </w:p>
        </w:tc>
        <w:tc>
          <w:tcPr>
            <w:tcW w:w="1928"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nil"/>
              <w:left w:val="single" w:sz="4" w:space="0" w:color="000000"/>
              <w:bottom w:val="single" w:sz="4" w:space="0" w:color="000000"/>
              <w:right w:val="single" w:sz="4"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八、其他收入</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8</w:t>
            </w:r>
          </w:p>
        </w:tc>
        <w:tc>
          <w:tcPr>
            <w:tcW w:w="1928"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3175" w:type="dxa"/>
            <w:gridSpan w:val="2"/>
            <w:tcBorders>
              <w:top w:val="nil"/>
              <w:left w:val="nil"/>
              <w:bottom w:val="single" w:sz="4" w:space="0" w:color="000000"/>
              <w:right w:val="single" w:sz="4"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八、社会保障和就业支出</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39</w:t>
            </w:r>
          </w:p>
        </w:tc>
        <w:tc>
          <w:tcPr>
            <w:tcW w:w="1928"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nil"/>
              <w:left w:val="single" w:sz="4" w:space="0" w:color="000000"/>
              <w:bottom w:val="single" w:sz="4" w:space="0" w:color="000000"/>
              <w:right w:val="single" w:sz="4" w:space="0" w:color="000000"/>
            </w:tcBorders>
            <w:noWrap/>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9</w:t>
            </w:r>
          </w:p>
        </w:tc>
        <w:tc>
          <w:tcPr>
            <w:tcW w:w="1928"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3175" w:type="dxa"/>
            <w:gridSpan w:val="2"/>
            <w:tcBorders>
              <w:top w:val="nil"/>
              <w:left w:val="nil"/>
              <w:bottom w:val="single" w:sz="4" w:space="0" w:color="000000"/>
              <w:right w:val="single" w:sz="4"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九、卫生健康支出</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eastAsia="zh-CN"/>
                <w:highlight w:val="auto"/>
              </w:rPr>
            </w:pPr>
            <w:r>
              <w:rPr>
                <w:rFonts w:ascii="Times New Roman" w:eastAsia="宋体" w:cs="Times New Roman" w:hAnsi="Times New Roman"/>
                <w:i w:val="0"/>
                <w:iCs w:val="0"/>
                <w:color w:val="000000"/>
                <w:sz w:val="20"/>
                <w:szCs w:val="20"/>
                <w:u w:val="none"/>
                <w:lang w:val="en-US" w:eastAsia="zh-CN"/>
                <w:highlight w:val="auto"/>
              </w:rPr>
              <w:t>40</w:t>
            </w:r>
          </w:p>
        </w:tc>
        <w:tc>
          <w:tcPr>
            <w:tcW w:w="1928"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nil"/>
              <w:left w:val="single" w:sz="4" w:space="0" w:color="000000"/>
              <w:bottom w:val="single" w:sz="4" w:space="0" w:color="000000"/>
              <w:right w:val="single" w:sz="4" w:space="0" w:color="000000"/>
            </w:tcBorders>
            <w:noWrap/>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10</w:t>
            </w:r>
          </w:p>
        </w:tc>
        <w:tc>
          <w:tcPr>
            <w:tcW w:w="1928"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3175" w:type="dxa"/>
            <w:gridSpan w:val="2"/>
            <w:tcBorders>
              <w:top w:val="nil"/>
              <w:left w:val="nil"/>
              <w:bottom w:val="single" w:sz="4" w:space="0" w:color="000000"/>
              <w:right w:val="single" w:sz="4"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十、节能环保支出</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41</w:t>
            </w:r>
          </w:p>
        </w:tc>
        <w:tc>
          <w:tcPr>
            <w:tcW w:w="1928"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nil"/>
              <w:left w:val="single" w:sz="4" w:space="0" w:color="000000"/>
              <w:bottom w:val="single" w:sz="4" w:space="0" w:color="000000"/>
              <w:right w:val="single" w:sz="4" w:space="0" w:color="000000"/>
            </w:tcBorders>
            <w:noWrap/>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11</w:t>
            </w:r>
          </w:p>
        </w:tc>
        <w:tc>
          <w:tcPr>
            <w:tcW w:w="1928"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3175" w:type="dxa"/>
            <w:gridSpan w:val="2"/>
            <w:tcBorders>
              <w:top w:val="nil"/>
              <w:left w:val="nil"/>
              <w:bottom w:val="single" w:sz="4" w:space="0" w:color="000000"/>
              <w:right w:val="single" w:sz="4"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十一、城乡社区支出</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42</w:t>
            </w:r>
          </w:p>
        </w:tc>
        <w:tc>
          <w:tcPr>
            <w:tcW w:w="1928"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130.00</w:t>
            </w:r>
          </w:p>
        </w:tc>
      </w:tr>
      <w:tr>
        <w:trPr>
          <w:trHeight w:val="476"/>
          <w:gridAfter w:val="1"/>
          <w:wAfter w:w="34" w:type="dxa"/>
        </w:trPr>
        <w:tc>
          <w:tcPr>
            <w:tcW w:w="3346" w:type="dxa"/>
            <w:tcBorders>
              <w:top w:val="nil"/>
              <w:left w:val="single" w:sz="4" w:space="0" w:color="000000"/>
              <w:bottom w:val="single" w:sz="4" w:space="0" w:color="000000"/>
              <w:right w:val="single" w:sz="4" w:space="0" w:color="000000"/>
            </w:tcBorders>
            <w:noWrap/>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12</w:t>
            </w:r>
          </w:p>
        </w:tc>
        <w:tc>
          <w:tcPr>
            <w:tcW w:w="1928"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3175" w:type="dxa"/>
            <w:gridSpan w:val="2"/>
            <w:tcBorders>
              <w:top w:val="nil"/>
              <w:left w:val="nil"/>
              <w:bottom w:val="single" w:sz="4" w:space="0" w:color="000000"/>
              <w:right w:val="single" w:sz="4"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十二、农林水支出</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43</w:t>
            </w:r>
          </w:p>
        </w:tc>
        <w:tc>
          <w:tcPr>
            <w:tcW w:w="1928"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1,849.49</w:t>
            </w:r>
          </w:p>
        </w:tc>
      </w:tr>
      <w:tr>
        <w:trPr>
          <w:trHeight w:val="476"/>
          <w:gridAfter w:val="1"/>
          <w:wAfter w:w="34" w:type="dxa"/>
        </w:trPr>
        <w:tc>
          <w:tcPr>
            <w:tcW w:w="3346" w:type="dxa"/>
            <w:tcBorders>
              <w:top w:val="nil"/>
              <w:left w:val="single" w:sz="4" w:space="0" w:color="000000"/>
              <w:bottom w:val="single" w:sz="4" w:space="0" w:color="000000"/>
              <w:right w:val="single" w:sz="4" w:space="0" w:color="000000"/>
            </w:tcBorders>
            <w:noWrap/>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13</w:t>
            </w:r>
          </w:p>
        </w:tc>
        <w:tc>
          <w:tcPr>
            <w:tcW w:w="1928"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3175" w:type="dxa"/>
            <w:gridSpan w:val="2"/>
            <w:tcBorders>
              <w:top w:val="nil"/>
              <w:left w:val="nil"/>
              <w:bottom w:val="single" w:sz="4" w:space="0" w:color="000000"/>
              <w:right w:val="single" w:sz="4"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十三、交通运输支出</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44</w:t>
            </w:r>
          </w:p>
        </w:tc>
        <w:tc>
          <w:tcPr>
            <w:tcW w:w="1928"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5,366.74</w:t>
            </w:r>
          </w:p>
        </w:tc>
      </w:tr>
      <w:tr>
        <w:trPr>
          <w:trHeight w:val="476"/>
          <w:gridAfter w:val="1"/>
          <w:wAfter w:w="34" w:type="dxa"/>
        </w:trPr>
        <w:tc>
          <w:tcPr>
            <w:tcW w:w="3346" w:type="dxa"/>
            <w:tcBorders>
              <w:top w:val="nil"/>
              <w:left w:val="single" w:sz="4" w:space="0" w:color="000000"/>
              <w:bottom w:val="single" w:sz="4" w:space="0" w:color="auto"/>
              <w:right w:val="single" w:sz="4" w:space="0" w:color="000000"/>
            </w:tcBorders>
            <w:noWrap/>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nil"/>
              <w:left w:val="nil"/>
              <w:bottom w:val="single" w:sz="4" w:space="0" w:color="auto"/>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14</w:t>
            </w:r>
          </w:p>
        </w:tc>
        <w:tc>
          <w:tcPr>
            <w:tcW w:w="1928" w:type="dxa"/>
            <w:gridSpan w:val="2"/>
            <w:tcBorders>
              <w:top w:val="nil"/>
              <w:left w:val="nil"/>
              <w:bottom w:val="single" w:sz="4" w:space="0" w:color="auto"/>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3175" w:type="dxa"/>
            <w:gridSpan w:val="2"/>
            <w:tcBorders>
              <w:top w:val="nil"/>
              <w:left w:val="nil"/>
              <w:bottom w:val="single" w:sz="4" w:space="0" w:color="auto"/>
              <w:right w:val="single" w:sz="4"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十四、资源勘探工业信息等支出</w:t>
            </w:r>
          </w:p>
        </w:tc>
        <w:tc>
          <w:tcPr>
            <w:tcW w:w="624" w:type="dxa"/>
            <w:tcBorders>
              <w:top w:val="nil"/>
              <w:left w:val="nil"/>
              <w:bottom w:val="single" w:sz="4" w:space="0" w:color="auto"/>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45</w:t>
            </w:r>
          </w:p>
        </w:tc>
        <w:tc>
          <w:tcPr>
            <w:tcW w:w="1928" w:type="dxa"/>
            <w:tcBorders>
              <w:top w:val="nil"/>
              <w:left w:val="nil"/>
              <w:bottom w:val="single" w:sz="4" w:space="0" w:color="auto"/>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4" w:space="0" w:color="auto"/>
              <w:left w:val="single" w:sz="4" w:space="0" w:color="auto"/>
              <w:bottom w:val="single" w:sz="4" w:space="0" w:color="auto"/>
              <w:right w:val="single" w:sz="4" w:space="0" w:color="auto"/>
            </w:tcBorders>
            <w:noWrap/>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15</w:t>
            </w:r>
          </w:p>
        </w:tc>
        <w:tc>
          <w:tcPr>
            <w:tcW w:w="1928"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3175"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十五、商业服务业等支出</w:t>
            </w:r>
          </w:p>
        </w:tc>
        <w:tc>
          <w:tcPr>
            <w:tcW w:w="62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46</w:t>
            </w:r>
          </w:p>
        </w:tc>
        <w:tc>
          <w:tcPr>
            <w:tcW w:w="1928"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4" w:space="0" w:color="auto"/>
              <w:left w:val="single" w:sz="4" w:space="0" w:color="auto"/>
              <w:bottom w:val="single" w:sz="4" w:space="0" w:color="auto"/>
              <w:right w:val="single" w:sz="4" w:space="0" w:color="auto"/>
            </w:tcBorders>
            <w:noWrap/>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16</w:t>
            </w:r>
          </w:p>
        </w:tc>
        <w:tc>
          <w:tcPr>
            <w:tcW w:w="1928"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3175"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十六、金融支出</w:t>
            </w:r>
          </w:p>
        </w:tc>
        <w:tc>
          <w:tcPr>
            <w:tcW w:w="62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47</w:t>
            </w:r>
          </w:p>
        </w:tc>
        <w:tc>
          <w:tcPr>
            <w:tcW w:w="1928"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4" w:space="0" w:color="auto"/>
              <w:left w:val="single" w:sz="4" w:space="0" w:color="auto"/>
              <w:bottom w:val="single" w:sz="4" w:space="0" w:color="auto"/>
              <w:right w:val="single" w:sz="4" w:space="0" w:color="auto"/>
            </w:tcBorders>
            <w:noWrap/>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17</w:t>
            </w:r>
          </w:p>
        </w:tc>
        <w:tc>
          <w:tcPr>
            <w:tcW w:w="1928"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3175"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十七、援助其他地区支出</w:t>
            </w:r>
          </w:p>
        </w:tc>
        <w:tc>
          <w:tcPr>
            <w:tcW w:w="62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48</w:t>
            </w:r>
          </w:p>
        </w:tc>
        <w:tc>
          <w:tcPr>
            <w:tcW w:w="1928"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4" w:space="0" w:color="auto"/>
              <w:left w:val="single" w:sz="4" w:space="0" w:color="auto"/>
              <w:bottom w:val="single" w:sz="4" w:space="0" w:color="auto"/>
              <w:right w:val="single" w:sz="4" w:space="0" w:color="auto"/>
            </w:tcBorders>
            <w:noWrap/>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18</w:t>
            </w:r>
          </w:p>
        </w:tc>
        <w:tc>
          <w:tcPr>
            <w:tcW w:w="1928"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3175"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十八、自然资源海洋气象等支出</w:t>
            </w:r>
          </w:p>
        </w:tc>
        <w:tc>
          <w:tcPr>
            <w:tcW w:w="62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49</w:t>
            </w:r>
          </w:p>
        </w:tc>
        <w:tc>
          <w:tcPr>
            <w:tcW w:w="1928"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4" w:space="0" w:color="auto"/>
              <w:left w:val="single" w:sz="4" w:space="0" w:color="auto"/>
              <w:bottom w:val="single" w:sz="4" w:space="0" w:color="auto"/>
              <w:right w:val="single" w:sz="4" w:space="0" w:color="auto"/>
            </w:tcBorders>
            <w:noWrap/>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19</w:t>
            </w:r>
          </w:p>
        </w:tc>
        <w:tc>
          <w:tcPr>
            <w:tcW w:w="1928"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3175"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十九、住房保障支出</w:t>
            </w:r>
          </w:p>
        </w:tc>
        <w:tc>
          <w:tcPr>
            <w:tcW w:w="62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eastAsia="zh-CN"/>
                <w:highlight w:val="auto"/>
              </w:rPr>
            </w:pPr>
            <w:r>
              <w:rPr>
                <w:rFonts w:ascii="Times New Roman" w:eastAsia="宋体" w:cs="Times New Roman" w:hAnsi="Times New Roman"/>
                <w:i w:val="0"/>
                <w:iCs w:val="0"/>
                <w:color w:val="000000"/>
                <w:sz w:val="20"/>
                <w:szCs w:val="20"/>
                <w:u w:val="none"/>
                <w:lang w:val="en-US" w:eastAsia="zh-CN"/>
                <w:highlight w:val="auto"/>
              </w:rPr>
              <w:t>50</w:t>
            </w:r>
          </w:p>
        </w:tc>
        <w:tc>
          <w:tcPr>
            <w:tcW w:w="1928"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4" w:space="0" w:color="auto"/>
              <w:left w:val="single" w:sz="4" w:space="0" w:color="auto"/>
              <w:bottom w:val="single" w:sz="4" w:space="0" w:color="auto"/>
              <w:right w:val="single" w:sz="4" w:space="0" w:color="auto"/>
            </w:tcBorders>
            <w:noWrap/>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20</w:t>
            </w:r>
          </w:p>
        </w:tc>
        <w:tc>
          <w:tcPr>
            <w:tcW w:w="1928"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3175"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二十、粮油物资储备支出</w:t>
            </w:r>
          </w:p>
        </w:tc>
        <w:tc>
          <w:tcPr>
            <w:tcW w:w="62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51</w:t>
            </w:r>
          </w:p>
        </w:tc>
        <w:tc>
          <w:tcPr>
            <w:tcW w:w="1928"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4" w:space="0" w:color="auto"/>
              <w:left w:val="single" w:sz="4" w:space="0" w:color="000000"/>
              <w:bottom w:val="single" w:sz="4" w:space="0" w:color="000000"/>
              <w:right w:val="single" w:sz="4" w:space="0" w:color="000000"/>
            </w:tcBorders>
            <w:noWrap/>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4" w:space="0" w:color="auto"/>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21</w:t>
            </w:r>
          </w:p>
        </w:tc>
        <w:tc>
          <w:tcPr>
            <w:tcW w:w="1928" w:type="dxa"/>
            <w:gridSpan w:val="2"/>
            <w:tcBorders>
              <w:top w:val="single" w:sz="4" w:space="0" w:color="auto"/>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3175" w:type="dxa"/>
            <w:gridSpan w:val="2"/>
            <w:tcBorders>
              <w:top w:val="single" w:sz="4" w:space="0" w:color="auto"/>
              <w:left w:val="nil"/>
              <w:bottom w:val="single" w:sz="4" w:space="0" w:color="000000"/>
              <w:right w:val="single" w:sz="4"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二十一、国有资本经营预算支出</w:t>
            </w:r>
          </w:p>
        </w:tc>
        <w:tc>
          <w:tcPr>
            <w:tcW w:w="624" w:type="dxa"/>
            <w:tcBorders>
              <w:top w:val="single" w:sz="4" w:space="0" w:color="auto"/>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52</w:t>
            </w:r>
          </w:p>
        </w:tc>
        <w:tc>
          <w:tcPr>
            <w:tcW w:w="1928" w:type="dxa"/>
            <w:tcBorders>
              <w:top w:val="single" w:sz="4" w:space="0" w:color="auto"/>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nil"/>
              <w:left w:val="single" w:sz="4" w:space="0" w:color="000000"/>
              <w:bottom w:val="single" w:sz="4" w:space="0" w:color="000000"/>
              <w:right w:val="single" w:sz="4" w:space="0" w:color="000000"/>
            </w:tcBorders>
            <w:noWrap/>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22</w:t>
            </w:r>
          </w:p>
        </w:tc>
        <w:tc>
          <w:tcPr>
            <w:tcW w:w="1928"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3175" w:type="dxa"/>
            <w:gridSpan w:val="2"/>
            <w:tcBorders>
              <w:top w:val="nil"/>
              <w:left w:val="nil"/>
              <w:bottom w:val="single" w:sz="4" w:space="0" w:color="000000"/>
              <w:right w:val="single" w:sz="4"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二十二、灾害防治及应急管理支出</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53</w:t>
            </w:r>
          </w:p>
        </w:tc>
        <w:tc>
          <w:tcPr>
            <w:tcW w:w="1928"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507.00</w:t>
            </w:r>
          </w:p>
        </w:tc>
      </w:tr>
      <w:tr>
        <w:trPr>
          <w:trHeight w:val="476"/>
          <w:gridAfter w:val="1"/>
          <w:wAfter w:w="34" w:type="dxa"/>
        </w:trPr>
        <w:tc>
          <w:tcPr>
            <w:tcW w:w="3346" w:type="dxa"/>
            <w:tcBorders>
              <w:top w:val="nil"/>
              <w:left w:val="single" w:sz="4" w:space="0" w:color="000000"/>
              <w:bottom w:val="single" w:sz="4" w:space="0" w:color="000000"/>
              <w:right w:val="single" w:sz="4" w:space="0" w:color="000000"/>
            </w:tcBorders>
            <w:noWrap/>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23</w:t>
            </w:r>
          </w:p>
        </w:tc>
        <w:tc>
          <w:tcPr>
            <w:tcW w:w="1928"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3175" w:type="dxa"/>
            <w:gridSpan w:val="2"/>
            <w:tcBorders>
              <w:top w:val="nil"/>
              <w:left w:val="nil"/>
              <w:bottom w:val="single" w:sz="4" w:space="0" w:color="000000"/>
              <w:right w:val="single" w:sz="4"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二十三、其他支出</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54</w:t>
            </w:r>
          </w:p>
        </w:tc>
        <w:tc>
          <w:tcPr>
            <w:tcW w:w="1928"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nil"/>
              <w:left w:val="single" w:sz="4" w:space="0" w:color="000000"/>
              <w:bottom w:val="single" w:sz="4" w:space="0" w:color="000000"/>
              <w:right w:val="single" w:sz="4" w:space="0" w:color="000000"/>
            </w:tcBorders>
            <w:noWrap/>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24</w:t>
            </w:r>
          </w:p>
        </w:tc>
        <w:tc>
          <w:tcPr>
            <w:tcW w:w="1928"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3175" w:type="dxa"/>
            <w:gridSpan w:val="2"/>
            <w:tcBorders>
              <w:top w:val="nil"/>
              <w:left w:val="nil"/>
              <w:bottom w:val="single" w:sz="4" w:space="0" w:color="000000"/>
              <w:right w:val="single" w:sz="4"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二十四、债务还本支出</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55</w:t>
            </w:r>
          </w:p>
        </w:tc>
        <w:tc>
          <w:tcPr>
            <w:tcW w:w="1928"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nil"/>
              <w:left w:val="single" w:sz="4" w:space="0" w:color="000000"/>
              <w:bottom w:val="single" w:sz="4" w:space="0" w:color="000000"/>
              <w:right w:val="single" w:sz="4" w:space="0" w:color="000000"/>
            </w:tcBorders>
            <w:noWrap/>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25</w:t>
            </w:r>
          </w:p>
        </w:tc>
        <w:tc>
          <w:tcPr>
            <w:tcW w:w="1928"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3175" w:type="dxa"/>
            <w:gridSpan w:val="2"/>
            <w:tcBorders>
              <w:top w:val="nil"/>
              <w:left w:val="nil"/>
              <w:bottom w:val="single" w:sz="4" w:space="0" w:color="000000"/>
              <w:right w:val="single" w:sz="4"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二十五、债务付息支出</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56</w:t>
            </w:r>
          </w:p>
        </w:tc>
        <w:tc>
          <w:tcPr>
            <w:tcW w:w="1928"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nil"/>
              <w:left w:val="single" w:sz="4" w:space="0" w:color="000000"/>
              <w:bottom w:val="single" w:sz="4" w:space="0" w:color="000000"/>
              <w:right w:val="single" w:sz="4" w:space="0" w:color="000000"/>
            </w:tcBorders>
            <w:noWrap/>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26</w:t>
            </w:r>
          </w:p>
        </w:tc>
        <w:tc>
          <w:tcPr>
            <w:tcW w:w="1928"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3175" w:type="dxa"/>
            <w:gridSpan w:val="2"/>
            <w:tcBorders>
              <w:top w:val="nil"/>
              <w:left w:val="nil"/>
              <w:bottom w:val="single" w:sz="4" w:space="0" w:color="000000"/>
              <w:right w:val="single" w:sz="4"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二十六、抗疫特别国债安排的支出</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57</w:t>
            </w:r>
          </w:p>
        </w:tc>
        <w:tc>
          <w:tcPr>
            <w:tcW w:w="1928"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nil"/>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b/>
                <w:bCs/>
                <w:i w:val="0"/>
                <w:iCs w:val="0"/>
                <w:color w:val="000000"/>
                <w:sz w:val="20"/>
                <w:szCs w:val="20"/>
                <w:u w:val="none"/>
                <w:highlight w:val="auto"/>
              </w:rPr>
            </w:pPr>
            <w:r>
              <w:rPr>
                <w:rFonts w:ascii="方正仿宋_GB2312" w:eastAsia="方正仿宋_GB2312" w:cs="方正仿宋_GB2312" w:hAnsi="方正仿宋_GB2312" w:hint="eastAsia"/>
                <w:b/>
                <w:bCs/>
                <w:i w:val="0"/>
                <w:iCs w:val="0"/>
                <w:color w:val="000000"/>
                <w:kern w:val="0"/>
                <w:sz w:val="20"/>
                <w:szCs w:val="20"/>
                <w:u w:val="none"/>
                <w:lang w:val="en-US" w:eastAsia="zh-CN"/>
                <w:highlight w:val="auto"/>
              </w:rPr>
              <w:t>本年收入合计</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27</w:t>
            </w:r>
          </w:p>
        </w:tc>
        <w:tc>
          <w:tcPr>
            <w:tcW w:w="1928"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7,853.23</w:t>
            </w:r>
          </w:p>
        </w:tc>
        <w:tc>
          <w:tcPr>
            <w:tcW w:w="3175" w:type="dxa"/>
            <w:gridSpan w:val="2"/>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b/>
                <w:bCs/>
                <w:i w:val="0"/>
                <w:iCs w:val="0"/>
                <w:color w:val="000000"/>
                <w:sz w:val="20"/>
                <w:szCs w:val="20"/>
                <w:u w:val="none"/>
                <w:highlight w:val="auto"/>
              </w:rPr>
            </w:pPr>
            <w:r>
              <w:rPr>
                <w:rFonts w:ascii="方正仿宋_GB2312" w:eastAsia="方正仿宋_GB2312" w:cs="方正仿宋_GB2312" w:hAnsi="方正仿宋_GB2312" w:hint="eastAsia"/>
                <w:b/>
                <w:bCs/>
                <w:i w:val="0"/>
                <w:iCs w:val="0"/>
                <w:color w:val="000000"/>
                <w:kern w:val="0"/>
                <w:sz w:val="20"/>
                <w:szCs w:val="20"/>
                <w:u w:val="none"/>
                <w:lang w:val="en-US" w:eastAsia="zh-CN"/>
                <w:highlight w:val="auto"/>
              </w:rPr>
              <w:t>本年支出合计</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58</w:t>
            </w:r>
          </w:p>
        </w:tc>
        <w:tc>
          <w:tcPr>
            <w:tcW w:w="1928"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7,853.23</w:t>
            </w:r>
          </w:p>
        </w:tc>
      </w:tr>
      <w:tr>
        <w:trPr>
          <w:trHeight w:val="476"/>
          <w:gridAfter w:val="1"/>
          <w:wAfter w:w="34" w:type="dxa"/>
        </w:trPr>
        <w:tc>
          <w:tcPr>
            <w:tcW w:w="3346" w:type="dxa"/>
            <w:tcBorders>
              <w:top w:val="nil"/>
              <w:left w:val="single" w:sz="4" w:space="0" w:color="000000"/>
              <w:bottom w:val="single" w:sz="4" w:space="0" w:color="000000"/>
              <w:right w:val="single" w:sz="4"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使用非财政拨款结余（含专用结余）</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28</w:t>
            </w:r>
          </w:p>
        </w:tc>
        <w:tc>
          <w:tcPr>
            <w:tcW w:w="1928"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3175" w:type="dxa"/>
            <w:gridSpan w:val="2"/>
            <w:tcBorders>
              <w:top w:val="nil"/>
              <w:left w:val="nil"/>
              <w:bottom w:val="single" w:sz="4" w:space="0" w:color="000000"/>
              <w:right w:val="single" w:sz="4"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结余分配</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59</w:t>
            </w:r>
          </w:p>
        </w:tc>
        <w:tc>
          <w:tcPr>
            <w:tcW w:w="1928"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nil"/>
              <w:left w:val="single" w:sz="4" w:space="0" w:color="000000"/>
              <w:bottom w:val="single" w:sz="4" w:space="0" w:color="000000"/>
              <w:right w:val="single" w:sz="4"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年初结转和结余</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29</w:t>
            </w:r>
          </w:p>
        </w:tc>
        <w:tc>
          <w:tcPr>
            <w:tcW w:w="1928"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3175" w:type="dxa"/>
            <w:gridSpan w:val="2"/>
            <w:tcBorders>
              <w:top w:val="nil"/>
              <w:left w:val="nil"/>
              <w:bottom w:val="single" w:sz="4" w:space="0" w:color="000000"/>
              <w:right w:val="single" w:sz="4"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年末结转和结余</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eastAsia="zh-CN"/>
                <w:highlight w:val="auto"/>
              </w:rPr>
            </w:pPr>
            <w:r>
              <w:rPr>
                <w:rFonts w:ascii="Times New Roman" w:eastAsia="宋体" w:cs="Times New Roman" w:hAnsi="Times New Roman"/>
                <w:i w:val="0"/>
                <w:iCs w:val="0"/>
                <w:color w:val="000000"/>
                <w:sz w:val="20"/>
                <w:szCs w:val="20"/>
                <w:u w:val="none"/>
                <w:lang w:val="en-US" w:eastAsia="zh-CN"/>
                <w:highlight w:val="auto"/>
              </w:rPr>
              <w:t>60</w:t>
            </w:r>
          </w:p>
        </w:tc>
        <w:tc>
          <w:tcPr>
            <w:tcW w:w="1928"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nil"/>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b/>
                <w:bCs/>
                <w:i w:val="0"/>
                <w:iCs w:val="0"/>
                <w:color w:val="000000"/>
                <w:kern w:val="0"/>
                <w:sz w:val="20"/>
                <w:szCs w:val="20"/>
                <w:u w:val="none"/>
                <w:lang w:val="en-US" w:eastAsia="zh-CN"/>
                <w:highlight w:val="auto"/>
              </w:rPr>
            </w:pP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kern w:val="0"/>
                <w:sz w:val="20"/>
                <w:szCs w:val="20"/>
                <w:u w:val="none"/>
                <w:lang w:val="en-US" w:eastAsia="zh-CN"/>
                <w:highlight w:val="auto"/>
              </w:rPr>
            </w:pPr>
            <w:r>
              <w:rPr>
                <w:rFonts w:ascii="Times New Roman" w:eastAsia="宋体" w:cs="Times New Roman" w:hAnsi="Times New Roman"/>
                <w:i w:val="0"/>
                <w:iCs w:val="0"/>
                <w:color w:val="000000"/>
                <w:kern w:val="0"/>
                <w:sz w:val="20"/>
                <w:szCs w:val="20"/>
                <w:u w:val="none"/>
                <w:lang w:val="en-US" w:eastAsia="zh-CN"/>
                <w:highlight w:val="auto"/>
              </w:rPr>
              <w:t>30</w:t>
            </w:r>
          </w:p>
        </w:tc>
        <w:tc>
          <w:tcPr>
            <w:tcW w:w="1928"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3175" w:type="dxa"/>
            <w:gridSpan w:val="2"/>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b/>
                <w:bCs/>
                <w:i w:val="0"/>
                <w:iCs w:val="0"/>
                <w:color w:val="000000"/>
                <w:kern w:val="0"/>
                <w:sz w:val="20"/>
                <w:szCs w:val="20"/>
                <w:u w:val="none"/>
                <w:lang w:val="en-US" w:eastAsia="zh-CN"/>
                <w:highlight w:val="auto"/>
              </w:rPr>
            </w:pP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kern w:val="0"/>
                <w:sz w:val="20"/>
                <w:szCs w:val="20"/>
                <w:u w:val="none"/>
                <w:lang w:val="en-US" w:eastAsia="zh-CN"/>
                <w:highlight w:val="auto"/>
              </w:rPr>
            </w:pPr>
            <w:r>
              <w:rPr>
                <w:rFonts w:ascii="Times New Roman" w:eastAsia="宋体" w:cs="Times New Roman" w:hAnsi="Times New Roman"/>
                <w:i w:val="0"/>
                <w:iCs w:val="0"/>
                <w:color w:val="000000"/>
                <w:kern w:val="0"/>
                <w:sz w:val="20"/>
                <w:szCs w:val="20"/>
                <w:u w:val="none"/>
                <w:lang w:val="en-US" w:eastAsia="zh-CN"/>
                <w:highlight w:val="auto"/>
              </w:rPr>
              <w:t>61</w:t>
            </w:r>
          </w:p>
        </w:tc>
        <w:tc>
          <w:tcPr>
            <w:tcW w:w="1928"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gridAfter w:val="1"/>
          <w:wAfter w:w="34" w:type="dxa"/>
        </w:trPr>
        <w:tc>
          <w:tcPr>
            <w:tcW w:w="3346" w:type="dxa"/>
            <w:tcBorders>
              <w:top w:val="nil"/>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b/>
                <w:bCs/>
                <w:i w:val="0"/>
                <w:iCs w:val="0"/>
                <w:color w:val="000000"/>
                <w:sz w:val="20"/>
                <w:szCs w:val="20"/>
                <w:u w:val="none"/>
                <w:highlight w:val="auto"/>
              </w:rPr>
            </w:pPr>
            <w:r>
              <w:rPr>
                <w:rFonts w:ascii="方正仿宋_GB2312" w:eastAsia="方正仿宋_GB2312" w:cs="方正仿宋_GB2312" w:hAnsi="方正仿宋_GB2312" w:hint="eastAsia"/>
                <w:b/>
                <w:bCs/>
                <w:i w:val="0"/>
                <w:iCs w:val="0"/>
                <w:color w:val="000000"/>
                <w:kern w:val="0"/>
                <w:sz w:val="20"/>
                <w:szCs w:val="20"/>
                <w:u w:val="none"/>
                <w:lang w:val="en-US" w:eastAsia="zh-CN"/>
                <w:highlight w:val="auto"/>
              </w:rPr>
              <w:t>总计</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31</w:t>
            </w:r>
          </w:p>
        </w:tc>
        <w:tc>
          <w:tcPr>
            <w:tcW w:w="1928"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7,853.23</w:t>
            </w:r>
          </w:p>
        </w:tc>
        <w:tc>
          <w:tcPr>
            <w:tcW w:w="3175" w:type="dxa"/>
            <w:gridSpan w:val="2"/>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b/>
                <w:bCs/>
                <w:i w:val="0"/>
                <w:iCs w:val="0"/>
                <w:color w:val="000000"/>
                <w:sz w:val="20"/>
                <w:szCs w:val="20"/>
                <w:u w:val="none"/>
                <w:highlight w:val="auto"/>
              </w:rPr>
            </w:pPr>
            <w:r>
              <w:rPr>
                <w:rFonts w:ascii="方正仿宋_GB2312" w:eastAsia="方正仿宋_GB2312" w:cs="方正仿宋_GB2312" w:hAnsi="方正仿宋_GB2312" w:hint="eastAsia"/>
                <w:b/>
                <w:bCs/>
                <w:i w:val="0"/>
                <w:iCs w:val="0"/>
                <w:color w:val="000000"/>
                <w:kern w:val="0"/>
                <w:sz w:val="20"/>
                <w:szCs w:val="20"/>
                <w:u w:val="none"/>
                <w:lang w:val="en-US" w:eastAsia="zh-CN"/>
                <w:highlight w:val="auto"/>
              </w:rPr>
              <w:t>总计</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62</w:t>
            </w:r>
          </w:p>
        </w:tc>
        <w:tc>
          <w:tcPr>
            <w:tcW w:w="1928"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7,853.23</w:t>
            </w:r>
          </w:p>
        </w:tc>
      </w:tr>
      <w:tr>
        <w:trPr>
          <w:trHeight w:val="308"/>
        </w:trPr>
        <w:tc>
          <w:tcPr>
            <w:tcW w:w="11659" w:type="dxa"/>
            <w:gridSpan w:val="9"/>
            <w:tcBorders>
              <w:top w:val="nil"/>
              <w:left w:val="nil"/>
              <w:bottom w:val="nil"/>
              <w:right w:val="nil"/>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kern w:val="0"/>
                <w:sz w:val="20"/>
                <w:szCs w:val="20"/>
                <w:u w:val="none"/>
                <w:lang w:val="en-US" w:eastAsia="zh-CN"/>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注：1.本表反映</w:t>
            </w:r>
            <w:r>
              <w:rPr>
                <w:rFonts w:ascii="方正仿宋_GB2312" w:eastAsia="方正仿宋_GB2312" w:cs="方正仿宋_GB2312" w:hAnsi="方正仿宋_GB2312" w:hint="eastAsia"/>
                <w:i w:val="0"/>
                <w:iCs w:val="0"/>
                <w:color w:val="000000"/>
                <w:kern w:val="0"/>
                <w:sz w:val="20"/>
                <w:szCs w:val="20"/>
                <w:u w:val="none"/>
                <w:lang w:val="en-US" w:eastAsia="zh-CN"/>
              </w:rPr>
              <w:t>单位</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本年度的总收支和年末结转结余情况。</w:t>
            </w:r>
          </w:p>
          <w:p>
            <w:pPr>
              <w:keepNext w:val="0"/>
              <w:keepLines w:val="0"/>
              <w:widowControl/>
              <w:suppressLineNumbers w:val="0"/>
              <w:ind w:firstLineChars="200" w:firstLine="400"/>
              <w:jc w:val="left"/>
              <w:textAlignment w:val="center"/>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2.本套报表金额转换时可能存在尾数误差。</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ascii="仿宋_GB2312" w:eastAsia="仿宋_GB2312" w:hAnsi="宋体" w:hint="eastAsia"/>
          <w:b/>
          <w:color w:val="auto"/>
          <w:kern w:val="0"/>
          <w:sz w:val="32"/>
          <w:szCs w:val="32"/>
          <w:highlight w:val="auto"/>
        </w:rPr>
      </w:pPr>
    </w:p>
    <w:p>
      <w:pPr>
        <w:rPr>
          <w:rFonts w:ascii="仿宋_GB2312" w:eastAsia="仿宋_GB2312" w:hAnsi="宋体" w:hint="eastAsia"/>
          <w:b/>
          <w:color w:val="auto"/>
          <w:kern w:val="0"/>
          <w:sz w:val="32"/>
          <w:szCs w:val="32"/>
          <w:highlight w:val="auto"/>
        </w:rPr>
      </w:pPr>
      <w:r>
        <w:rPr>
          <w:rFonts w:ascii="仿宋_GB2312" w:eastAsia="仿宋_GB2312" w:hAnsi="宋体" w:hint="eastAsia"/>
          <w:b/>
          <w:color w:val="auto"/>
          <w:kern w:val="0"/>
          <w:sz w:val="32"/>
          <w:szCs w:val="32"/>
          <w:highlight w:val="auto"/>
        </w:rPr>
        <w:br w:type="page"/>
      </w:r>
    </w:p>
    <w:tbl>
      <w:tblPr>
        <w:jc w:val="center"/>
        <w:tblW w:w="9230"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trPr>
          <w:trHeight w:val="550"/>
        </w:trPr>
        <w:tc>
          <w:tcPr>
            <w:tcW w:w="9230" w:type="dxa"/>
            <w:gridSpan w:val="10"/>
            <w:tcBorders>
              <w:top w:val="nil"/>
              <w:left w:val="nil"/>
              <w:bottom w:val="nil"/>
              <w:right w:val="nil"/>
            </w:tcBorders>
            <w:noWrap/>
            <w:vAlign w:val="bottom"/>
          </w:tcPr>
          <w:p>
            <w:pPr>
              <w:keepNext w:val="0"/>
              <w:keepLines w:val="0"/>
              <w:widowControl/>
              <w:suppressLineNumbers w:val="0"/>
              <w:jc w:val="center"/>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b w:val="0"/>
                <w:bCs/>
                <w:color w:val="auto"/>
                <w:kern w:val="0"/>
                <w:sz w:val="32"/>
                <w:szCs w:val="32"/>
                <w:lang w:val="en-US" w:eastAsia="zh-CN"/>
                <w:highlight w:val="auto"/>
              </w:rPr>
              <w:t>收入决算表</w:t>
            </w:r>
          </w:p>
        </w:tc>
      </w:tr>
      <w:tr>
        <w:trPr>
          <w:trHeight w:val="300"/>
        </w:trPr>
        <w:tc>
          <w:tcPr>
            <w:tcW w:w="9230" w:type="dxa"/>
            <w:gridSpan w:val="10"/>
            <w:tcBorders>
              <w:top w:val="nil"/>
              <w:left w:val="nil"/>
              <w:bottom w:val="nil"/>
              <w:right w:val="nil"/>
            </w:tcBorders>
            <w:noWrap/>
            <w:vAlign w:val="bottom"/>
          </w:tcPr>
          <w:p>
            <w:pPr>
              <w:keepNext w:val="0"/>
              <w:keepLines w:val="0"/>
              <w:widowControl/>
              <w:suppressLineNumbers w:val="0"/>
              <w:jc w:val="right"/>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公开</w:t>
            </w:r>
            <w:r>
              <w:rPr>
                <w:rFonts w:ascii="Times New Roman" w:eastAsia="宋体" w:cs="Times New Roman" w:hAnsi="Times New Roman" w:hint="eastAsia"/>
                <w:i w:val="0"/>
                <w:iCs w:val="0"/>
                <w:color w:val="000000"/>
                <w:sz w:val="20"/>
                <w:szCs w:val="20"/>
                <w:u w:val="none"/>
                <w:lang w:val="en-US" w:eastAsia="zh-CN"/>
                <w:highlight w:val="auto"/>
              </w:rPr>
              <w:t>02</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表</w:t>
            </w:r>
          </w:p>
        </w:tc>
      </w:tr>
      <w:tr>
        <w:trPr>
          <w:trHeight w:val="300"/>
        </w:trPr>
        <w:tc>
          <w:tcPr>
            <w:tcW w:w="3237" w:type="dxa"/>
            <w:gridSpan w:val="3"/>
            <w:tcBorders>
              <w:top w:val="nil"/>
              <w:left w:val="nil"/>
              <w:bottom w:val="single" w:sz="4" w:space="0" w:color="auto"/>
              <w:right w:val="nil"/>
            </w:tcBorders>
            <w:noWrap/>
            <w:vAlign w:val="bottom"/>
          </w:tcPr>
          <w:p>
            <w:pP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rPr>
              <w:t>单位</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 xml:space="preserve">（单位）：行唐县交通运输局(本级)                                                                                                         </w:t>
            </w:r>
          </w:p>
        </w:tc>
        <w:tc>
          <w:tcPr>
            <w:tcW w:w="3405" w:type="dxa"/>
            <w:gridSpan w:val="4"/>
            <w:tcBorders>
              <w:top w:val="nil"/>
              <w:left w:val="nil"/>
              <w:bottom w:val="single" w:sz="4" w:space="0" w:color="auto"/>
              <w:right w:val="nil"/>
            </w:tcBorders>
            <w:noWrap/>
            <w:vAlign w:val="bottom"/>
          </w:tcPr>
          <w:p>
            <w:pPr>
              <w:jc w:val="center"/>
              <w:rPr>
                <w:rFonts w:ascii="方正仿宋_GB2312" w:eastAsia="方正仿宋_GB2312" w:cs="方正仿宋_GB2312" w:hAnsi="方正仿宋_GB2312" w:hint="eastAsia"/>
                <w:i w:val="0"/>
                <w:iCs w:val="0"/>
                <w:color w:val="000000"/>
                <w:kern w:val="0"/>
                <w:sz w:val="20"/>
                <w:szCs w:val="20"/>
                <w:u w:val="none"/>
                <w:lang w:val="en-US" w:eastAsia="zh-CN"/>
                <w:highlight w:val="auto"/>
              </w:rPr>
            </w:pPr>
            <w:r>
              <w:rPr>
                <w:rFonts w:ascii="Times New Roman" w:eastAsia="方正仿宋_GB2312" w:cs="Times New Roman" w:hAnsi="Times New Roman"/>
                <w:i w:val="0"/>
                <w:iCs w:val="0"/>
                <w:color w:val="000000"/>
                <w:sz w:val="20"/>
                <w:szCs w:val="20"/>
                <w:u w:val="none"/>
                <w:lang w:val="en-US" w:eastAsia="zh-CN"/>
                <w:highlight w:val="auto"/>
              </w:rPr>
              <w:t>202</w:t>
            </w:r>
            <w:r>
              <w:rPr>
                <w:rFonts w:ascii="Times New Roman" w:eastAsia="方正仿宋_GB2312" w:cs="Times New Roman" w:hAnsi="Times New Roman" w:hint="eastAsia"/>
                <w:i w:val="0"/>
                <w:iCs w:val="0"/>
                <w:color w:val="000000"/>
                <w:sz w:val="20"/>
                <w:szCs w:val="20"/>
                <w:u w:val="none"/>
                <w:lang w:val="en-US" w:eastAsia="zh-CN"/>
                <w:highlight w:val="auto"/>
              </w:rPr>
              <w:t>4</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年度</w:t>
            </w:r>
          </w:p>
        </w:tc>
        <w:tc>
          <w:tcPr>
            <w:tcW w:w="2588" w:type="dxa"/>
            <w:gridSpan w:val="3"/>
            <w:tcBorders>
              <w:top w:val="nil"/>
              <w:left w:val="nil"/>
              <w:bottom w:val="single" w:sz="4" w:space="0" w:color="auto"/>
              <w:right w:val="nil"/>
            </w:tcBorders>
            <w:noWrap/>
            <w:vAlign w:val="bottom"/>
          </w:tcPr>
          <w:p>
            <w:pPr>
              <w:jc w:val="right"/>
              <w:rPr>
                <w:rFonts w:ascii="方正仿宋_GB2312" w:eastAsia="方正仿宋_GB2312" w:cs="方正仿宋_GB2312" w:hAnsi="方正仿宋_GB2312" w:hint="eastAsia"/>
                <w:i w:val="0"/>
                <w:iCs w:val="0"/>
                <w:color w:val="000000"/>
                <w:kern w:val="0"/>
                <w:sz w:val="20"/>
                <w:szCs w:val="20"/>
                <w:u w:val="none"/>
                <w:lang w:val="en-US" w:eastAsia="zh-CN"/>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金额单位：万元</w:t>
            </w:r>
          </w:p>
        </w:tc>
      </w:tr>
      <w:tr>
        <w:trPr>
          <w:trHeight w:val="510"/>
        </w:trPr>
        <w:tc>
          <w:tcPr>
            <w:tcW w:w="2200" w:type="dxa"/>
            <w:gridSpan w:val="2"/>
            <w:tcBorders>
              <w:top w:val="single" w:sz="4" w:space="0" w:color="auto"/>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项目</w:t>
            </w:r>
          </w:p>
        </w:tc>
        <w:tc>
          <w:tcPr>
            <w:tcW w:w="1037" w:type="dxa"/>
            <w:vMerge w:val="restart"/>
            <w:tcBorders>
              <w:top w:val="single" w:sz="4" w:space="0" w:color="auto"/>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本年收入合计</w:t>
            </w:r>
          </w:p>
        </w:tc>
        <w:tc>
          <w:tcPr>
            <w:tcW w:w="1037" w:type="dxa"/>
            <w:vMerge w:val="restart"/>
            <w:tcBorders>
              <w:top w:val="single" w:sz="4" w:space="0" w:color="auto"/>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财政拨款收入</w:t>
            </w:r>
          </w:p>
        </w:tc>
        <w:tc>
          <w:tcPr>
            <w:tcW w:w="1037" w:type="dxa"/>
            <w:vMerge w:val="restart"/>
            <w:tcBorders>
              <w:top w:val="single" w:sz="4" w:space="0" w:color="auto"/>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上级补助收入</w:t>
            </w:r>
          </w:p>
        </w:tc>
        <w:tc>
          <w:tcPr>
            <w:tcW w:w="964" w:type="dxa"/>
            <w:vMerge w:val="restart"/>
            <w:tcBorders>
              <w:top w:val="single" w:sz="4" w:space="0" w:color="auto"/>
              <w:left w:val="nil"/>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事业收入</w:t>
            </w:r>
          </w:p>
        </w:tc>
        <w:tc>
          <w:tcPr>
            <w:tcW w:w="964" w:type="dxa"/>
            <w:gridSpan w:val="2"/>
            <w:vMerge w:val="restart"/>
            <w:tcBorders>
              <w:top w:val="single" w:sz="4" w:space="0" w:color="auto"/>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经营收入</w:t>
            </w:r>
          </w:p>
        </w:tc>
        <w:tc>
          <w:tcPr>
            <w:tcW w:w="1027" w:type="dxa"/>
            <w:vMerge w:val="restart"/>
            <w:tcBorders>
              <w:top w:val="single" w:sz="4" w:space="0" w:color="auto"/>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附属单位上缴收入</w:t>
            </w:r>
          </w:p>
        </w:tc>
        <w:tc>
          <w:tcPr>
            <w:tcW w:w="964" w:type="dxa"/>
            <w:vMerge w:val="restart"/>
            <w:tcBorders>
              <w:top w:val="single" w:sz="4" w:space="0" w:color="auto"/>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其他收入</w:t>
            </w:r>
          </w:p>
        </w:tc>
      </w:tr>
      <w:tr>
        <w:trPr>
          <w:trHeight w:val="312"/>
        </w:trPr>
        <w:tc>
          <w:tcPr>
            <w:tcW w:w="1040" w:type="dxa"/>
            <w:vMerge w:val="restart"/>
            <w:tcBorders>
              <w:top w:val="nil"/>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科目代码</w:t>
            </w:r>
          </w:p>
        </w:tc>
        <w:tc>
          <w:tcPr>
            <w:tcW w:w="1160" w:type="dxa"/>
            <w:vMerge w:val="restart"/>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科目名称</w:t>
            </w:r>
          </w:p>
        </w:tc>
        <w:tc>
          <w:tcPr>
            <w:tcW w:w="1037" w:type="dxa"/>
            <w:vMerge/>
            <w:tcBorders>
              <w:top w:val="single" w:sz="4" w:space="0" w:color="000000"/>
              <w:left w:val="nil"/>
              <w:bottom w:val="single" w:sz="4" w:space="0" w:color="000000"/>
              <w:right w:val="single" w:sz="4" w:space="0" w:color="000000"/>
            </w:tcBorders>
            <w:noWrap/>
            <w:vAlign w:val="center"/>
          </w:tcPr>
          <w:p/>
        </w:tc>
        <w:tc>
          <w:tcPr>
            <w:tcW w:w="1037" w:type="dxa"/>
            <w:vMerge/>
            <w:tcBorders>
              <w:top w:val="single" w:sz="4" w:space="0" w:color="000000"/>
              <w:left w:val="nil"/>
              <w:bottom w:val="single" w:sz="4" w:space="0" w:color="000000"/>
              <w:right w:val="single" w:sz="4" w:space="0" w:color="000000"/>
            </w:tcBorders>
            <w:noWrap/>
            <w:vAlign w:val="center"/>
          </w:tcPr>
          <w:p/>
        </w:tc>
        <w:tc>
          <w:tcPr>
            <w:tcW w:w="1037" w:type="dxa"/>
            <w:vMerge/>
            <w:tcBorders>
              <w:top w:val="single" w:sz="4" w:space="0" w:color="000000"/>
              <w:left w:val="nil"/>
              <w:bottom w:val="single" w:sz="4" w:space="0" w:color="000000"/>
              <w:right w:val="single" w:sz="4" w:space="0" w:color="000000"/>
            </w:tcBorders>
            <w:noWrap/>
            <w:vAlign w:val="center"/>
          </w:tcPr>
          <w:p/>
        </w:tc>
        <w:tc>
          <w:tcPr>
            <w:tcW w:w="964" w:type="dxa"/>
            <w:vMerge/>
            <w:tcBorders>
              <w:left w:val="nil"/>
              <w:right w:val="single" w:sz="4" w:space="0" w:color="000000"/>
            </w:tcBorders>
            <w:noWrap/>
            <w:vAlign w:val="center"/>
          </w:tcPr>
          <w:p/>
        </w:tc>
        <w:tc>
          <w:tcPr>
            <w:tcW w:w="964" w:type="dxa"/>
            <w:gridSpan w:val="2"/>
            <w:vMerge/>
            <w:tcBorders>
              <w:top w:val="single" w:sz="4" w:space="0" w:color="000000"/>
              <w:left w:val="nil"/>
              <w:bottom w:val="single" w:sz="4" w:space="0" w:color="000000"/>
              <w:right w:val="single" w:sz="4" w:space="0" w:color="000000"/>
            </w:tcBorders>
            <w:noWrap/>
            <w:vAlign w:val="center"/>
          </w:tcPr>
          <w:p/>
        </w:tc>
        <w:tc>
          <w:tcPr>
            <w:tcW w:w="1027" w:type="dxa"/>
            <w:vMerge/>
            <w:tcBorders>
              <w:top w:val="single" w:sz="4" w:space="0" w:color="000000"/>
              <w:left w:val="nil"/>
              <w:bottom w:val="single" w:sz="4" w:space="0" w:color="000000"/>
              <w:right w:val="single" w:sz="4" w:space="0" w:color="000000"/>
            </w:tcBorders>
            <w:noWrap/>
            <w:vAlign w:val="center"/>
          </w:tcPr>
          <w:p/>
        </w:tc>
        <w:tc>
          <w:tcPr>
            <w:tcW w:w="964" w:type="dxa"/>
            <w:vMerge/>
            <w:tcBorders>
              <w:top w:val="single" w:sz="4" w:space="0" w:color="000000"/>
              <w:left w:val="nil"/>
              <w:bottom w:val="single" w:sz="4" w:space="0" w:color="000000"/>
              <w:right w:val="single" w:sz="4" w:space="0" w:color="000000"/>
            </w:tcBorders>
            <w:noWrap/>
            <w:vAlign w:val="center"/>
          </w:tcPr>
          <w:p/>
        </w:tc>
      </w:tr>
      <w:tr>
        <w:trPr>
          <w:trHeight w:val="312"/>
        </w:trPr>
        <w:tc>
          <w:tcPr>
            <w:tcW w:w="1040" w:type="dxa"/>
            <w:vMerge/>
            <w:tcBorders>
              <w:top w:val="nil"/>
              <w:left w:val="single" w:sz="4" w:space="0" w:color="000000"/>
              <w:bottom w:val="single" w:sz="4" w:space="0" w:color="000000"/>
              <w:right w:val="single" w:sz="4" w:space="0" w:color="000000"/>
            </w:tcBorders>
            <w:noWrap/>
            <w:vAlign w:val="center"/>
          </w:tcPr>
          <w:p/>
        </w:tc>
        <w:tc>
          <w:tcPr>
            <w:tcW w:w="1160" w:type="dxa"/>
            <w:vMerge/>
            <w:tcBorders>
              <w:top w:val="nil"/>
              <w:left w:val="nil"/>
              <w:bottom w:val="single" w:sz="4" w:space="0" w:color="000000"/>
              <w:right w:val="single" w:sz="4" w:space="0" w:color="000000"/>
            </w:tcBorders>
            <w:noWrap/>
            <w:vAlign w:val="center"/>
          </w:tcPr>
          <w:p/>
        </w:tc>
        <w:tc>
          <w:tcPr>
            <w:tcW w:w="1037" w:type="dxa"/>
            <w:vMerge/>
            <w:tcBorders>
              <w:top w:val="single" w:sz="4" w:space="0" w:color="000000"/>
              <w:left w:val="nil"/>
              <w:bottom w:val="single" w:sz="4" w:space="0" w:color="000000"/>
              <w:right w:val="single" w:sz="4" w:space="0" w:color="000000"/>
            </w:tcBorders>
            <w:noWrap/>
            <w:vAlign w:val="center"/>
          </w:tcPr>
          <w:p/>
        </w:tc>
        <w:tc>
          <w:tcPr>
            <w:tcW w:w="1037" w:type="dxa"/>
            <w:vMerge/>
            <w:tcBorders>
              <w:top w:val="single" w:sz="4" w:space="0" w:color="000000"/>
              <w:left w:val="nil"/>
              <w:bottom w:val="single" w:sz="4" w:space="0" w:color="000000"/>
              <w:right w:val="single" w:sz="4" w:space="0" w:color="000000"/>
            </w:tcBorders>
            <w:noWrap/>
            <w:vAlign w:val="center"/>
          </w:tcPr>
          <w:p/>
        </w:tc>
        <w:tc>
          <w:tcPr>
            <w:tcW w:w="1037" w:type="dxa"/>
            <w:vMerge/>
            <w:tcBorders>
              <w:top w:val="single" w:sz="4" w:space="0" w:color="000000"/>
              <w:left w:val="nil"/>
              <w:bottom w:val="single" w:sz="4" w:space="0" w:color="000000"/>
              <w:right w:val="single" w:sz="4" w:space="0" w:color="000000"/>
            </w:tcBorders>
            <w:noWrap/>
            <w:vAlign w:val="center"/>
          </w:tcPr>
          <w:p/>
        </w:tc>
        <w:tc>
          <w:tcPr>
            <w:tcW w:w="964" w:type="dxa"/>
            <w:vMerge/>
            <w:tcBorders>
              <w:left w:val="nil"/>
              <w:right w:val="single" w:sz="4" w:space="0" w:color="000000"/>
            </w:tcBorders>
            <w:noWrap/>
            <w:vAlign w:val="center"/>
          </w:tcPr>
          <w:p/>
        </w:tc>
        <w:tc>
          <w:tcPr>
            <w:tcW w:w="964" w:type="dxa"/>
            <w:gridSpan w:val="2"/>
            <w:vMerge/>
            <w:tcBorders>
              <w:top w:val="single" w:sz="4" w:space="0" w:color="000000"/>
              <w:left w:val="nil"/>
              <w:bottom w:val="single" w:sz="4" w:space="0" w:color="000000"/>
              <w:right w:val="single" w:sz="4" w:space="0" w:color="000000"/>
            </w:tcBorders>
            <w:noWrap/>
            <w:vAlign w:val="center"/>
          </w:tcPr>
          <w:p/>
        </w:tc>
        <w:tc>
          <w:tcPr>
            <w:tcW w:w="1027" w:type="dxa"/>
            <w:vMerge/>
            <w:tcBorders>
              <w:top w:val="single" w:sz="4" w:space="0" w:color="000000"/>
              <w:left w:val="nil"/>
              <w:bottom w:val="single" w:sz="4" w:space="0" w:color="000000"/>
              <w:right w:val="single" w:sz="4" w:space="0" w:color="000000"/>
            </w:tcBorders>
            <w:noWrap/>
            <w:vAlign w:val="center"/>
          </w:tcPr>
          <w:p/>
        </w:tc>
        <w:tc>
          <w:tcPr>
            <w:tcW w:w="964" w:type="dxa"/>
            <w:vMerge/>
            <w:tcBorders>
              <w:top w:val="single" w:sz="4" w:space="0" w:color="000000"/>
              <w:left w:val="nil"/>
              <w:bottom w:val="single" w:sz="4" w:space="0" w:color="000000"/>
              <w:right w:val="single" w:sz="4" w:space="0" w:color="000000"/>
            </w:tcBorders>
            <w:noWrap/>
            <w:vAlign w:val="center"/>
          </w:tcPr>
          <w:p/>
        </w:tc>
      </w:tr>
      <w:tr>
        <w:trPr>
          <w:trHeight w:val="312"/>
        </w:trPr>
        <w:tc>
          <w:tcPr>
            <w:tcW w:w="1040" w:type="dxa"/>
            <w:vMerge/>
            <w:tcBorders>
              <w:top w:val="nil"/>
              <w:left w:val="single" w:sz="4" w:space="0" w:color="000000"/>
              <w:bottom w:val="single" w:sz="4" w:space="0" w:color="000000"/>
              <w:right w:val="single" w:sz="4" w:space="0" w:color="000000"/>
            </w:tcBorders>
            <w:noWrap/>
            <w:vAlign w:val="center"/>
          </w:tcPr>
          <w:p/>
        </w:tc>
        <w:tc>
          <w:tcPr>
            <w:tcW w:w="1160" w:type="dxa"/>
            <w:vMerge/>
            <w:tcBorders>
              <w:top w:val="nil"/>
              <w:left w:val="nil"/>
              <w:bottom w:val="single" w:sz="4" w:space="0" w:color="000000"/>
              <w:right w:val="single" w:sz="4" w:space="0" w:color="000000"/>
            </w:tcBorders>
            <w:noWrap/>
            <w:vAlign w:val="center"/>
          </w:tcPr>
          <w:p/>
        </w:tc>
        <w:tc>
          <w:tcPr>
            <w:tcW w:w="1037" w:type="dxa"/>
            <w:vMerge/>
            <w:tcBorders>
              <w:top w:val="single" w:sz="4" w:space="0" w:color="000000"/>
              <w:left w:val="nil"/>
              <w:bottom w:val="single" w:sz="4" w:space="0" w:color="000000"/>
              <w:right w:val="single" w:sz="4" w:space="0" w:color="000000"/>
            </w:tcBorders>
            <w:noWrap/>
            <w:vAlign w:val="center"/>
          </w:tcPr>
          <w:p/>
        </w:tc>
        <w:tc>
          <w:tcPr>
            <w:tcW w:w="1037" w:type="dxa"/>
            <w:vMerge/>
            <w:tcBorders>
              <w:top w:val="single" w:sz="4" w:space="0" w:color="000000"/>
              <w:left w:val="nil"/>
              <w:bottom w:val="single" w:sz="4" w:space="0" w:color="000000"/>
              <w:right w:val="single" w:sz="4" w:space="0" w:color="000000"/>
            </w:tcBorders>
            <w:noWrap/>
            <w:vAlign w:val="center"/>
          </w:tcPr>
          <w:p/>
        </w:tc>
        <w:tc>
          <w:tcPr>
            <w:tcW w:w="1037" w:type="dxa"/>
            <w:vMerge/>
            <w:tcBorders>
              <w:top w:val="single" w:sz="4" w:space="0" w:color="000000"/>
              <w:left w:val="nil"/>
              <w:bottom w:val="single" w:sz="4" w:space="0" w:color="000000"/>
              <w:right w:val="single" w:sz="4" w:space="0" w:color="000000"/>
            </w:tcBorders>
            <w:noWrap/>
            <w:vAlign w:val="center"/>
          </w:tcPr>
          <w:p/>
        </w:tc>
        <w:tc>
          <w:tcPr>
            <w:tcW w:w="964" w:type="dxa"/>
            <w:vMerge/>
            <w:tcBorders>
              <w:left w:val="nil"/>
              <w:bottom w:val="single" w:sz="4" w:space="0" w:color="000000"/>
              <w:right w:val="single" w:sz="4" w:space="0" w:color="000000"/>
            </w:tcBorders>
            <w:noWrap/>
            <w:vAlign w:val="center"/>
          </w:tcPr>
          <w:p/>
        </w:tc>
        <w:tc>
          <w:tcPr>
            <w:tcW w:w="964" w:type="dxa"/>
            <w:gridSpan w:val="2"/>
            <w:vMerge/>
            <w:tcBorders>
              <w:top w:val="single" w:sz="4" w:space="0" w:color="000000"/>
              <w:left w:val="nil"/>
              <w:bottom w:val="single" w:sz="4" w:space="0" w:color="000000"/>
              <w:right w:val="single" w:sz="4" w:space="0" w:color="000000"/>
            </w:tcBorders>
            <w:noWrap/>
            <w:vAlign w:val="center"/>
          </w:tcPr>
          <w:p/>
        </w:tc>
        <w:tc>
          <w:tcPr>
            <w:tcW w:w="1027" w:type="dxa"/>
            <w:vMerge/>
            <w:tcBorders>
              <w:top w:val="single" w:sz="4" w:space="0" w:color="000000"/>
              <w:left w:val="nil"/>
              <w:bottom w:val="single" w:sz="4" w:space="0" w:color="000000"/>
              <w:right w:val="single" w:sz="4" w:space="0" w:color="000000"/>
            </w:tcBorders>
            <w:noWrap/>
            <w:vAlign w:val="center"/>
          </w:tcPr>
          <w:p/>
        </w:tc>
        <w:tc>
          <w:tcPr>
            <w:tcW w:w="964" w:type="dxa"/>
            <w:vMerge/>
            <w:tcBorders>
              <w:top w:val="single" w:sz="4" w:space="0" w:color="000000"/>
              <w:left w:val="nil"/>
              <w:bottom w:val="single" w:sz="4" w:space="0" w:color="000000"/>
              <w:right w:val="single" w:sz="4" w:space="0" w:color="000000"/>
            </w:tcBorders>
            <w:noWrap/>
            <w:vAlign w:val="center"/>
          </w:tcPr>
          <w:p/>
        </w:tc>
      </w:tr>
      <w:tr>
        <w:trPr>
          <w:trHeight w:val="454"/>
        </w:trPr>
        <w:tc>
          <w:tcPr>
            <w:tcW w:w="2200" w:type="dxa"/>
            <w:gridSpan w:val="2"/>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栏次</w:t>
            </w:r>
          </w:p>
        </w:tc>
        <w:tc>
          <w:tcPr>
            <w:tcW w:w="1037"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宋体" w:eastAsia="宋体" w:cs="宋体" w:hAnsi="宋体" w:hint="eastAsia"/>
                <w:i w:val="0"/>
                <w:iCs w:val="0"/>
                <w:color w:val="000000"/>
                <w:kern w:val="0"/>
                <w:sz w:val="20"/>
                <w:szCs w:val="20"/>
                <w:u w:val="none"/>
                <w:lang w:val="en-US" w:eastAsia="zh-CN"/>
                <w:highlight w:val="auto"/>
              </w:rPr>
              <w:t>1</w:t>
            </w:r>
          </w:p>
        </w:tc>
        <w:tc>
          <w:tcPr>
            <w:tcW w:w="1037"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宋体" w:eastAsia="宋体" w:cs="宋体" w:hAnsi="宋体" w:hint="eastAsia"/>
                <w:i w:val="0"/>
                <w:iCs w:val="0"/>
                <w:color w:val="000000"/>
                <w:kern w:val="0"/>
                <w:sz w:val="20"/>
                <w:szCs w:val="20"/>
                <w:u w:val="none"/>
                <w:lang w:val="en-US" w:eastAsia="zh-CN"/>
                <w:highlight w:val="auto"/>
              </w:rPr>
              <w:t>2</w:t>
            </w:r>
          </w:p>
        </w:tc>
        <w:tc>
          <w:tcPr>
            <w:tcW w:w="1037"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宋体" w:eastAsia="宋体" w:cs="宋体" w:hAnsi="宋体" w:hint="eastAsia"/>
                <w:i w:val="0"/>
                <w:iCs w:val="0"/>
                <w:color w:val="000000"/>
                <w:kern w:val="0"/>
                <w:sz w:val="20"/>
                <w:szCs w:val="20"/>
                <w:u w:val="none"/>
                <w:lang w:val="en-US" w:eastAsia="zh-CN"/>
                <w:highlight w:val="auto"/>
              </w:rPr>
              <w:t>3</w:t>
            </w:r>
          </w:p>
        </w:tc>
        <w:tc>
          <w:tcPr>
            <w:tcW w:w="96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hAnsi="宋体"/>
                <w:i w:val="0"/>
                <w:iCs w:val="0"/>
                <w:color w:val="000000"/>
                <w:sz w:val="20"/>
                <w:szCs w:val="20"/>
                <w:u w:val="none"/>
                <w:lang w:val="en-US" w:eastAsia="zh-CN"/>
                <w:highlight w:val="auto"/>
              </w:rPr>
            </w:pPr>
            <w:r>
              <w:rPr>
                <w:rFonts w:ascii="宋体" w:eastAsia="宋体" w:cs="宋体" w:hAnsi="宋体" w:hint="eastAsia"/>
                <w:i w:val="0"/>
                <w:iCs w:val="0"/>
                <w:color w:val="000000"/>
                <w:sz w:val="20"/>
                <w:szCs w:val="20"/>
                <w:u w:val="none"/>
                <w:lang w:val="en-US" w:eastAsia="zh-CN"/>
                <w:highlight w:val="auto"/>
              </w:rPr>
              <w:t>4</w:t>
            </w:r>
          </w:p>
        </w:tc>
        <w:tc>
          <w:tcPr>
            <w:tcW w:w="964" w:type="dxa"/>
            <w:gridSpan w:val="2"/>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宋体" w:eastAsia="宋体" w:cs="宋体" w:hAnsi="宋体" w:hint="eastAsia"/>
                <w:i w:val="0"/>
                <w:iCs w:val="0"/>
                <w:color w:val="000000"/>
                <w:kern w:val="0"/>
                <w:sz w:val="20"/>
                <w:szCs w:val="20"/>
                <w:u w:val="none"/>
                <w:lang w:val="en-US" w:eastAsia="zh-CN"/>
                <w:highlight w:val="auto"/>
              </w:rPr>
              <w:t>5</w:t>
            </w:r>
          </w:p>
        </w:tc>
        <w:tc>
          <w:tcPr>
            <w:tcW w:w="1027"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宋体" w:eastAsia="宋体" w:cs="宋体" w:hAnsi="宋体" w:hint="eastAsia"/>
                <w:i w:val="0"/>
                <w:iCs w:val="0"/>
                <w:color w:val="000000"/>
                <w:kern w:val="0"/>
                <w:sz w:val="20"/>
                <w:szCs w:val="20"/>
                <w:u w:val="none"/>
                <w:lang w:val="en-US" w:eastAsia="zh-CN"/>
                <w:highlight w:val="auto"/>
              </w:rPr>
              <w:t>6</w:t>
            </w:r>
          </w:p>
        </w:tc>
        <w:tc>
          <w:tcPr>
            <w:tcW w:w="96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宋体" w:eastAsia="宋体" w:cs="宋体" w:hAnsi="宋体" w:hint="eastAsia"/>
                <w:i w:val="0"/>
                <w:iCs w:val="0"/>
                <w:color w:val="000000"/>
                <w:kern w:val="0"/>
                <w:sz w:val="20"/>
                <w:szCs w:val="20"/>
                <w:u w:val="none"/>
                <w:lang w:val="en-US" w:eastAsia="zh-CN"/>
                <w:highlight w:val="auto"/>
              </w:rPr>
              <w:t>7</w:t>
            </w:r>
          </w:p>
        </w:tc>
      </w:tr>
      <w:tr>
        <w:trPr>
          <w:trHeight w:val="567"/>
        </w:trPr>
        <w:tc>
          <w:tcPr>
            <w:tcW w:w="2200" w:type="dxa"/>
            <w:gridSpan w:val="2"/>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合计</w:t>
            </w:r>
          </w:p>
        </w:tc>
        <w:tc>
          <w:tcPr>
            <w:tcW w:w="103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highlight w:val="auto"/>
              </w:rPr>
              <w:t>7,853.23</w:t>
            </w:r>
          </w:p>
        </w:tc>
        <w:tc>
          <w:tcPr>
            <w:tcW w:w="103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highlight w:val="auto"/>
              </w:rPr>
              <w:t>7,853.23</w:t>
            </w:r>
          </w:p>
        </w:tc>
        <w:tc>
          <w:tcPr>
            <w:tcW w:w="103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964"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964"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02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964"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nil"/>
              <w:left w:val="single" w:sz="4" w:space="0" w:color="000000"/>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212</w:t>
            </w:r>
          </w:p>
        </w:tc>
        <w:tc>
          <w:tcPr>
            <w:tcW w:w="1160" w:type="dxa"/>
            <w:tcBorders>
              <w:top w:val="nil"/>
              <w:left w:val="nil"/>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城乡社区支出</w:t>
            </w:r>
          </w:p>
        </w:tc>
        <w:tc>
          <w:tcPr>
            <w:tcW w:w="103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130.00</w:t>
            </w:r>
          </w:p>
        </w:tc>
        <w:tc>
          <w:tcPr>
            <w:tcW w:w="103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130.00</w:t>
            </w:r>
          </w:p>
        </w:tc>
        <w:tc>
          <w:tcPr>
            <w:tcW w:w="103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nil"/>
              <w:left w:val="single" w:sz="4" w:space="0" w:color="000000"/>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21205</w:t>
            </w:r>
          </w:p>
        </w:tc>
        <w:tc>
          <w:tcPr>
            <w:tcW w:w="1160" w:type="dxa"/>
            <w:tcBorders>
              <w:top w:val="nil"/>
              <w:left w:val="nil"/>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城乡社区环境卫生</w:t>
            </w:r>
          </w:p>
        </w:tc>
        <w:tc>
          <w:tcPr>
            <w:tcW w:w="103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130.00</w:t>
            </w:r>
          </w:p>
        </w:tc>
        <w:tc>
          <w:tcPr>
            <w:tcW w:w="103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130.00</w:t>
            </w:r>
          </w:p>
        </w:tc>
        <w:tc>
          <w:tcPr>
            <w:tcW w:w="103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nil"/>
              <w:left w:val="single" w:sz="4" w:space="0" w:color="000000"/>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2120501</w:t>
            </w:r>
          </w:p>
        </w:tc>
        <w:tc>
          <w:tcPr>
            <w:tcW w:w="1160" w:type="dxa"/>
            <w:tcBorders>
              <w:top w:val="nil"/>
              <w:left w:val="nil"/>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城乡社区环境卫生</w:t>
            </w:r>
          </w:p>
        </w:tc>
        <w:tc>
          <w:tcPr>
            <w:tcW w:w="103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130.00</w:t>
            </w:r>
          </w:p>
        </w:tc>
        <w:tc>
          <w:tcPr>
            <w:tcW w:w="103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130.00</w:t>
            </w:r>
          </w:p>
        </w:tc>
        <w:tc>
          <w:tcPr>
            <w:tcW w:w="103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nil"/>
              <w:left w:val="single" w:sz="4" w:space="0" w:color="000000"/>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213</w:t>
            </w:r>
          </w:p>
        </w:tc>
        <w:tc>
          <w:tcPr>
            <w:tcW w:w="1160" w:type="dxa"/>
            <w:tcBorders>
              <w:top w:val="nil"/>
              <w:left w:val="nil"/>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农林水支出</w:t>
            </w:r>
          </w:p>
        </w:tc>
        <w:tc>
          <w:tcPr>
            <w:tcW w:w="103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1,849.49</w:t>
            </w:r>
          </w:p>
        </w:tc>
        <w:tc>
          <w:tcPr>
            <w:tcW w:w="103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1,849.49</w:t>
            </w:r>
          </w:p>
        </w:tc>
        <w:tc>
          <w:tcPr>
            <w:tcW w:w="103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nil"/>
              <w:left w:val="single" w:sz="4" w:space="0" w:color="000000"/>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21305</w:t>
            </w:r>
          </w:p>
        </w:tc>
        <w:tc>
          <w:tcPr>
            <w:tcW w:w="1160" w:type="dxa"/>
            <w:tcBorders>
              <w:top w:val="nil"/>
              <w:left w:val="nil"/>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巩固脱贫攻坚成果衔接乡村振兴</w:t>
            </w:r>
          </w:p>
        </w:tc>
        <w:tc>
          <w:tcPr>
            <w:tcW w:w="103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1,849.49</w:t>
            </w:r>
          </w:p>
        </w:tc>
        <w:tc>
          <w:tcPr>
            <w:tcW w:w="103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1,849.49</w:t>
            </w:r>
          </w:p>
        </w:tc>
        <w:tc>
          <w:tcPr>
            <w:tcW w:w="103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nil"/>
              <w:left w:val="single" w:sz="4" w:space="0" w:color="000000"/>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2130504</w:t>
            </w:r>
          </w:p>
        </w:tc>
        <w:tc>
          <w:tcPr>
            <w:tcW w:w="1160" w:type="dxa"/>
            <w:tcBorders>
              <w:top w:val="nil"/>
              <w:left w:val="nil"/>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农村基础设施建设</w:t>
            </w:r>
          </w:p>
        </w:tc>
        <w:tc>
          <w:tcPr>
            <w:tcW w:w="103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1,849.49</w:t>
            </w:r>
          </w:p>
        </w:tc>
        <w:tc>
          <w:tcPr>
            <w:tcW w:w="103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1,849.49</w:t>
            </w:r>
          </w:p>
        </w:tc>
        <w:tc>
          <w:tcPr>
            <w:tcW w:w="103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nil"/>
              <w:left w:val="single" w:sz="4" w:space="0" w:color="000000"/>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214</w:t>
            </w:r>
          </w:p>
        </w:tc>
        <w:tc>
          <w:tcPr>
            <w:tcW w:w="1160" w:type="dxa"/>
            <w:tcBorders>
              <w:top w:val="nil"/>
              <w:left w:val="nil"/>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交通运输支出</w:t>
            </w:r>
          </w:p>
        </w:tc>
        <w:tc>
          <w:tcPr>
            <w:tcW w:w="103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5,366.74</w:t>
            </w:r>
          </w:p>
        </w:tc>
        <w:tc>
          <w:tcPr>
            <w:tcW w:w="103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5,366.74</w:t>
            </w:r>
          </w:p>
        </w:tc>
        <w:tc>
          <w:tcPr>
            <w:tcW w:w="103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nil"/>
              <w:left w:val="single" w:sz="4" w:space="0" w:color="000000"/>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21401</w:t>
            </w:r>
          </w:p>
        </w:tc>
        <w:tc>
          <w:tcPr>
            <w:tcW w:w="1160" w:type="dxa"/>
            <w:tcBorders>
              <w:top w:val="nil"/>
              <w:left w:val="nil"/>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公路水路运输</w:t>
            </w:r>
          </w:p>
        </w:tc>
        <w:tc>
          <w:tcPr>
            <w:tcW w:w="103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4,659.17</w:t>
            </w:r>
          </w:p>
        </w:tc>
        <w:tc>
          <w:tcPr>
            <w:tcW w:w="103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4,659.17</w:t>
            </w:r>
          </w:p>
        </w:tc>
        <w:tc>
          <w:tcPr>
            <w:tcW w:w="103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nil"/>
              <w:left w:val="single" w:sz="4" w:space="0" w:color="000000"/>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2140101</w:t>
            </w:r>
          </w:p>
        </w:tc>
        <w:tc>
          <w:tcPr>
            <w:tcW w:w="1160" w:type="dxa"/>
            <w:tcBorders>
              <w:top w:val="nil"/>
              <w:left w:val="nil"/>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行政运行</w:t>
            </w:r>
          </w:p>
        </w:tc>
        <w:tc>
          <w:tcPr>
            <w:tcW w:w="103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2,092.57</w:t>
            </w:r>
          </w:p>
        </w:tc>
        <w:tc>
          <w:tcPr>
            <w:tcW w:w="103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2,092.57</w:t>
            </w:r>
          </w:p>
        </w:tc>
        <w:tc>
          <w:tcPr>
            <w:tcW w:w="103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nil"/>
              <w:left w:val="single" w:sz="4" w:space="0" w:color="000000"/>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2140102</w:t>
            </w:r>
          </w:p>
        </w:tc>
        <w:tc>
          <w:tcPr>
            <w:tcW w:w="1160" w:type="dxa"/>
            <w:tcBorders>
              <w:top w:val="nil"/>
              <w:left w:val="nil"/>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一般行政管理事务</w:t>
            </w:r>
          </w:p>
        </w:tc>
        <w:tc>
          <w:tcPr>
            <w:tcW w:w="103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1,719.61</w:t>
            </w:r>
          </w:p>
        </w:tc>
        <w:tc>
          <w:tcPr>
            <w:tcW w:w="103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1,719.61</w:t>
            </w:r>
          </w:p>
        </w:tc>
        <w:tc>
          <w:tcPr>
            <w:tcW w:w="103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nil"/>
              <w:left w:val="single" w:sz="4" w:space="0" w:color="000000"/>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2140106</w:t>
            </w:r>
          </w:p>
        </w:tc>
        <w:tc>
          <w:tcPr>
            <w:tcW w:w="1160" w:type="dxa"/>
            <w:tcBorders>
              <w:top w:val="nil"/>
              <w:left w:val="nil"/>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公路养护</w:t>
            </w:r>
          </w:p>
        </w:tc>
        <w:tc>
          <w:tcPr>
            <w:tcW w:w="103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847.00</w:t>
            </w:r>
          </w:p>
        </w:tc>
        <w:tc>
          <w:tcPr>
            <w:tcW w:w="103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847.00</w:t>
            </w:r>
          </w:p>
        </w:tc>
        <w:tc>
          <w:tcPr>
            <w:tcW w:w="103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nil"/>
              <w:left w:val="single" w:sz="4" w:space="0" w:color="000000"/>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21499</w:t>
            </w:r>
          </w:p>
        </w:tc>
        <w:tc>
          <w:tcPr>
            <w:tcW w:w="1160" w:type="dxa"/>
            <w:tcBorders>
              <w:top w:val="nil"/>
              <w:left w:val="nil"/>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其他交通运输支出</w:t>
            </w:r>
          </w:p>
        </w:tc>
        <w:tc>
          <w:tcPr>
            <w:tcW w:w="103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707.57</w:t>
            </w:r>
          </w:p>
        </w:tc>
        <w:tc>
          <w:tcPr>
            <w:tcW w:w="103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707.57</w:t>
            </w:r>
          </w:p>
        </w:tc>
        <w:tc>
          <w:tcPr>
            <w:tcW w:w="103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nil"/>
              <w:left w:val="single" w:sz="4" w:space="0" w:color="000000"/>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2149901</w:t>
            </w:r>
          </w:p>
        </w:tc>
        <w:tc>
          <w:tcPr>
            <w:tcW w:w="1160" w:type="dxa"/>
            <w:tcBorders>
              <w:top w:val="nil"/>
              <w:left w:val="nil"/>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公共交通运营补助</w:t>
            </w:r>
          </w:p>
        </w:tc>
        <w:tc>
          <w:tcPr>
            <w:tcW w:w="103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244.33</w:t>
            </w:r>
          </w:p>
        </w:tc>
        <w:tc>
          <w:tcPr>
            <w:tcW w:w="103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244.33</w:t>
            </w:r>
          </w:p>
        </w:tc>
        <w:tc>
          <w:tcPr>
            <w:tcW w:w="103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nil"/>
              <w:left w:val="single" w:sz="4" w:space="0" w:color="000000"/>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2149999</w:t>
            </w:r>
          </w:p>
        </w:tc>
        <w:tc>
          <w:tcPr>
            <w:tcW w:w="1160" w:type="dxa"/>
            <w:tcBorders>
              <w:top w:val="nil"/>
              <w:left w:val="nil"/>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其他交通运输支出</w:t>
            </w:r>
          </w:p>
        </w:tc>
        <w:tc>
          <w:tcPr>
            <w:tcW w:w="103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463.24</w:t>
            </w:r>
          </w:p>
        </w:tc>
        <w:tc>
          <w:tcPr>
            <w:tcW w:w="103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463.24</w:t>
            </w:r>
          </w:p>
        </w:tc>
        <w:tc>
          <w:tcPr>
            <w:tcW w:w="103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nil"/>
              <w:left w:val="single" w:sz="4" w:space="0" w:color="000000"/>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224</w:t>
            </w:r>
          </w:p>
        </w:tc>
        <w:tc>
          <w:tcPr>
            <w:tcW w:w="1160" w:type="dxa"/>
            <w:tcBorders>
              <w:top w:val="nil"/>
              <w:left w:val="nil"/>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灾害防治及应急管理支出</w:t>
            </w:r>
          </w:p>
        </w:tc>
        <w:tc>
          <w:tcPr>
            <w:tcW w:w="103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507.00</w:t>
            </w:r>
          </w:p>
        </w:tc>
        <w:tc>
          <w:tcPr>
            <w:tcW w:w="103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507.00</w:t>
            </w:r>
          </w:p>
        </w:tc>
        <w:tc>
          <w:tcPr>
            <w:tcW w:w="103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nil"/>
              <w:left w:val="single" w:sz="4" w:space="0" w:color="000000"/>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22407</w:t>
            </w:r>
          </w:p>
        </w:tc>
        <w:tc>
          <w:tcPr>
            <w:tcW w:w="1160" w:type="dxa"/>
            <w:tcBorders>
              <w:top w:val="nil"/>
              <w:left w:val="nil"/>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自然灾害救灾及恢复重建支出</w:t>
            </w:r>
          </w:p>
        </w:tc>
        <w:tc>
          <w:tcPr>
            <w:tcW w:w="103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507.00</w:t>
            </w:r>
          </w:p>
        </w:tc>
        <w:tc>
          <w:tcPr>
            <w:tcW w:w="103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507.00</w:t>
            </w:r>
          </w:p>
        </w:tc>
        <w:tc>
          <w:tcPr>
            <w:tcW w:w="103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nil"/>
              <w:left w:val="single" w:sz="4" w:space="0" w:color="000000"/>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2240703</w:t>
            </w:r>
          </w:p>
        </w:tc>
        <w:tc>
          <w:tcPr>
            <w:tcW w:w="1160" w:type="dxa"/>
            <w:tcBorders>
              <w:top w:val="nil"/>
              <w:left w:val="nil"/>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自然灾害救灾补助</w:t>
            </w:r>
          </w:p>
        </w:tc>
        <w:tc>
          <w:tcPr>
            <w:tcW w:w="103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507.00</w:t>
            </w:r>
          </w:p>
        </w:tc>
        <w:tc>
          <w:tcPr>
            <w:tcW w:w="103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507.00</w:t>
            </w:r>
          </w:p>
        </w:tc>
        <w:tc>
          <w:tcPr>
            <w:tcW w:w="103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9230" w:type="dxa"/>
            <w:gridSpan w:val="10"/>
            <w:tcBorders>
              <w:top w:val="nil"/>
              <w:left w:val="nil"/>
              <w:bottom w:val="nil"/>
              <w:right w:val="nil"/>
            </w:tcBorders>
            <w:noWrap/>
            <w:vAlign w:val="center"/>
          </w:tcPr>
          <w:p>
            <w:pPr>
              <w:keepNext w:val="0"/>
              <w:keepLines w:val="0"/>
              <w:widowControl/>
              <w:suppressLineNumbers w:val="0"/>
              <w:jc w:val="left"/>
              <w:textAlignment w:val="center"/>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注：本表反映</w:t>
            </w:r>
            <w:r>
              <w:rPr>
                <w:rFonts w:ascii="方正仿宋_GB2312" w:eastAsia="方正仿宋_GB2312" w:cs="方正仿宋_GB2312" w:hAnsi="方正仿宋_GB2312" w:hint="eastAsia"/>
                <w:i w:val="0"/>
                <w:iCs w:val="0"/>
                <w:color w:val="000000"/>
                <w:kern w:val="0"/>
                <w:sz w:val="20"/>
                <w:szCs w:val="20"/>
                <w:u w:val="none"/>
                <w:lang w:val="en-US" w:eastAsia="zh-CN"/>
              </w:rPr>
              <w:t>单位</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本年度取得的各项收入情况。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ascii="仿宋_GB2312" w:eastAsia="仿宋_GB2312" w:hAnsi="宋体" w:hint="eastAsia"/>
          <w:b/>
          <w:color w:val="auto"/>
          <w:kern w:val="0"/>
          <w:sz w:val="32"/>
          <w:szCs w:val="32"/>
          <w:highlight w:val="auto"/>
        </w:rPr>
      </w:pPr>
    </w:p>
    <w:p>
      <w:pPr>
        <w:rPr>
          <w:rFonts w:ascii="黑体" w:eastAsia="黑体" w:cs="宋体" w:hAnsi="黑体" w:hint="eastAsia"/>
          <w:bCs/>
          <w:kern w:val="0"/>
          <w:sz w:val="32"/>
          <w:szCs w:val="32"/>
          <w:highlight w:val="auto"/>
        </w:rPr>
      </w:pPr>
      <w:r>
        <w:rPr>
          <w:rFonts w:ascii="仿宋_GB2312" w:eastAsia="仿宋_GB2312" w:hAnsi="宋体" w:hint="eastAsia"/>
          <w:b/>
          <w:color w:val="auto"/>
          <w:kern w:val="0"/>
          <w:sz w:val="32"/>
          <w:szCs w:val="32"/>
          <w:highlight w:val="auto"/>
        </w:rPr>
        <w:br w:type="page"/>
      </w:r>
    </w:p>
    <w:tbl>
      <w:tblPr>
        <w:jc w:val="center"/>
        <w:tblW w:w="9346"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trPr>
          <w:trHeight w:val="550"/>
        </w:trPr>
        <w:tc>
          <w:tcPr>
            <w:tcW w:w="9346" w:type="dxa"/>
            <w:gridSpan w:val="10"/>
            <w:tcBorders>
              <w:top w:val="nil"/>
              <w:left w:val="nil"/>
              <w:bottom w:val="nil"/>
              <w:right w:val="nil"/>
            </w:tcBorders>
            <w:noWrap/>
            <w:vAlign w:val="bottom"/>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b w:val="0"/>
                <w:bCs/>
                <w:color w:val="auto"/>
                <w:kern w:val="0"/>
                <w:sz w:val="32"/>
                <w:szCs w:val="32"/>
                <w:lang w:val="en-US" w:eastAsia="zh-CN"/>
                <w:highlight w:val="auto"/>
              </w:rPr>
              <w:br w:type="page"/>
              <w:t>支出决算表</w:t>
            </w:r>
          </w:p>
        </w:tc>
      </w:tr>
      <w:tr>
        <w:trPr>
          <w:trHeight w:val="300"/>
        </w:trPr>
        <w:tc>
          <w:tcPr>
            <w:tcW w:w="9346" w:type="dxa"/>
            <w:gridSpan w:val="10"/>
            <w:tcBorders>
              <w:top w:val="nil"/>
              <w:left w:val="nil"/>
              <w:bottom w:val="nil"/>
              <w:right w:val="nil"/>
            </w:tcBorders>
            <w:noWrap/>
            <w:vAlign w:val="bottom"/>
          </w:tcPr>
          <w:p>
            <w:pPr>
              <w:keepNext w:val="0"/>
              <w:keepLines w:val="0"/>
              <w:widowControl/>
              <w:suppressLineNumbers w:val="0"/>
              <w:jc w:val="right"/>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公开</w:t>
            </w:r>
            <w:r>
              <w:rPr>
                <w:rFonts w:ascii="Times New Roman" w:eastAsia="宋体" w:cs="Times New Roman" w:hAnsi="Times New Roman"/>
                <w:i w:val="0"/>
                <w:iCs w:val="0"/>
                <w:color w:val="000000"/>
                <w:kern w:val="0"/>
                <w:sz w:val="20"/>
                <w:szCs w:val="20"/>
                <w:u w:val="none"/>
                <w:lang w:val="en-US" w:eastAsia="zh-CN"/>
                <w:highlight w:val="auto"/>
              </w:rPr>
              <w:t>03</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表</w:t>
            </w:r>
          </w:p>
        </w:tc>
      </w:tr>
      <w:tr>
        <w:trPr>
          <w:trHeight w:val="300"/>
        </w:trPr>
        <w:tc>
          <w:tcPr>
            <w:tcW w:w="3481" w:type="dxa"/>
            <w:gridSpan w:val="4"/>
            <w:tcBorders>
              <w:top w:val="nil"/>
              <w:left w:val="nil"/>
              <w:bottom w:val="single" w:sz="4" w:space="0" w:color="auto"/>
              <w:right w:val="nil"/>
            </w:tcBorders>
            <w:noWrap/>
            <w:vAlign w:val="bottom"/>
          </w:tcPr>
          <w:p>
            <w:pPr>
              <w:keepNext w:val="0"/>
              <w:keepLines w:val="0"/>
              <w:widowControl/>
              <w:suppressLineNumbers w:val="0"/>
              <w:jc w:val="left"/>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rPr>
              <w:t>单位</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 xml:space="preserve">（单位）：行唐县交通运输局(本级) </w:t>
            </w:r>
            <w:r>
              <w:rPr>
                <w:rFonts w:ascii="宋体" w:eastAsia="宋体" w:cs="宋体" w:hint="eastAsia"/>
                <w:i w:val="0"/>
                <w:iCs w:val="0"/>
                <w:color w:val="000000"/>
                <w:kern w:val="0"/>
                <w:sz w:val="20"/>
                <w:szCs w:val="20"/>
                <w:u w:val="none"/>
                <w:lang w:val="en-US" w:eastAsia="zh-CN"/>
                <w:highlight w:val="auto"/>
              </w:rPr>
              <w:t xml:space="preserve">                                                                                                         </w:t>
            </w:r>
          </w:p>
        </w:tc>
        <w:tc>
          <w:tcPr>
            <w:tcW w:w="2623" w:type="dxa"/>
            <w:gridSpan w:val="3"/>
            <w:tcBorders>
              <w:top w:val="nil"/>
              <w:left w:val="nil"/>
              <w:bottom w:val="single" w:sz="4" w:space="0" w:color="auto"/>
              <w:right w:val="nil"/>
            </w:tcBorders>
            <w:noWrap/>
            <w:vAlign w:val="bottom"/>
          </w:tcPr>
          <w:p>
            <w:pPr>
              <w:keepNext w:val="0"/>
              <w:keepLines w:val="0"/>
              <w:widowControl/>
              <w:suppressLineNumbers w:val="0"/>
              <w:jc w:val="center"/>
              <w:textAlignment w:val="bottom"/>
              <w:rPr>
                <w:rFonts w:ascii="宋体" w:eastAsia="宋体" w:cs="宋体" w:hint="eastAsia"/>
                <w:i w:val="0"/>
                <w:iCs w:val="0"/>
                <w:color w:val="000000"/>
                <w:kern w:val="0"/>
                <w:sz w:val="20"/>
                <w:szCs w:val="20"/>
                <w:u w:val="none"/>
                <w:lang w:val="en-US" w:eastAsia="zh-CN"/>
                <w:highlight w:val="auto"/>
              </w:rPr>
            </w:pPr>
            <w:r>
              <w:rPr>
                <w:rFonts w:ascii="Times New Roman" w:eastAsia="宋体" w:cs="Times New Roman" w:hAnsi="Times New Roman"/>
                <w:i w:val="0"/>
                <w:iCs w:val="0"/>
                <w:color w:val="000000"/>
                <w:kern w:val="0"/>
                <w:sz w:val="20"/>
                <w:szCs w:val="20"/>
                <w:u w:val="none"/>
                <w:lang w:val="en-US" w:eastAsia="zh-CN"/>
                <w:highlight w:val="auto"/>
              </w:rPr>
              <w:t>202</w:t>
            </w:r>
            <w:r>
              <w:rPr>
                <w:rFonts w:ascii="Times New Roman" w:cs="Times New Roman" w:hAnsi="Times New Roman" w:hint="eastAsia"/>
                <w:i w:val="0"/>
                <w:iCs w:val="0"/>
                <w:color w:val="000000"/>
                <w:kern w:val="0"/>
                <w:sz w:val="20"/>
                <w:szCs w:val="20"/>
                <w:u w:val="none"/>
                <w:lang w:val="en-US" w:eastAsia="zh-CN"/>
                <w:highlight w:val="auto"/>
              </w:rPr>
              <w:t>4</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年度</w:t>
            </w:r>
          </w:p>
        </w:tc>
        <w:tc>
          <w:tcPr>
            <w:tcW w:w="3242" w:type="dxa"/>
            <w:gridSpan w:val="3"/>
            <w:tcBorders>
              <w:top w:val="nil"/>
              <w:left w:val="nil"/>
              <w:bottom w:val="single" w:sz="4" w:space="0" w:color="auto"/>
              <w:right w:val="nil"/>
            </w:tcBorders>
            <w:noWrap/>
            <w:vAlign w:val="bottom"/>
          </w:tcPr>
          <w:p>
            <w:pPr>
              <w:keepNext w:val="0"/>
              <w:keepLines w:val="0"/>
              <w:widowControl/>
              <w:suppressLineNumbers w:val="0"/>
              <w:jc w:val="right"/>
              <w:textAlignment w:val="bottom"/>
              <w:rPr>
                <w:rFonts w:ascii="宋体" w:eastAsia="宋体" w:cs="宋体" w:hint="eastAsia"/>
                <w:i w:val="0"/>
                <w:iCs w:val="0"/>
                <w:color w:val="000000"/>
                <w:kern w:val="0"/>
                <w:sz w:val="20"/>
                <w:szCs w:val="20"/>
                <w:u w:val="none"/>
                <w:lang w:val="en-US" w:eastAsia="zh-CN"/>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 xml:space="preserve"> 金额单位：万元</w:t>
            </w:r>
          </w:p>
        </w:tc>
      </w:tr>
      <w:tr>
        <w:trPr>
          <w:trHeight w:val="510"/>
        </w:trPr>
        <w:tc>
          <w:tcPr>
            <w:tcW w:w="2227" w:type="dxa"/>
            <w:gridSpan w:val="2"/>
            <w:tcBorders>
              <w:top w:val="single" w:sz="4" w:space="0" w:color="auto"/>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项目</w:t>
            </w:r>
          </w:p>
        </w:tc>
        <w:tc>
          <w:tcPr>
            <w:tcW w:w="1128" w:type="dxa"/>
            <w:vMerge w:val="restart"/>
            <w:tcBorders>
              <w:top w:val="single" w:sz="4" w:space="0" w:color="auto"/>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本年支出合计</w:t>
            </w:r>
          </w:p>
        </w:tc>
        <w:tc>
          <w:tcPr>
            <w:tcW w:w="1126" w:type="dxa"/>
            <w:gridSpan w:val="2"/>
            <w:vMerge w:val="restart"/>
            <w:tcBorders>
              <w:top w:val="single" w:sz="4" w:space="0" w:color="auto"/>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基本支出</w:t>
            </w:r>
          </w:p>
        </w:tc>
        <w:tc>
          <w:tcPr>
            <w:tcW w:w="1126" w:type="dxa"/>
            <w:vMerge w:val="restart"/>
            <w:tcBorders>
              <w:top w:val="single" w:sz="4" w:space="0" w:color="auto"/>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项目支出</w:t>
            </w:r>
          </w:p>
        </w:tc>
        <w:tc>
          <w:tcPr>
            <w:tcW w:w="1126" w:type="dxa"/>
            <w:gridSpan w:val="2"/>
            <w:vMerge w:val="restart"/>
            <w:tcBorders>
              <w:top w:val="single" w:sz="4" w:space="0" w:color="auto"/>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上缴上级支出</w:t>
            </w:r>
          </w:p>
        </w:tc>
        <w:tc>
          <w:tcPr>
            <w:tcW w:w="1126" w:type="dxa"/>
            <w:vMerge w:val="restart"/>
            <w:tcBorders>
              <w:top w:val="single" w:sz="4" w:space="0" w:color="auto"/>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经营支出</w:t>
            </w:r>
          </w:p>
        </w:tc>
        <w:tc>
          <w:tcPr>
            <w:tcW w:w="1487" w:type="dxa"/>
            <w:vMerge w:val="restart"/>
            <w:tcBorders>
              <w:top w:val="single" w:sz="4" w:space="0" w:color="auto"/>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对附属单位补助支出</w:t>
            </w:r>
          </w:p>
        </w:tc>
      </w:tr>
      <w:tr>
        <w:trPr>
          <w:trHeight w:val="308"/>
        </w:trPr>
        <w:tc>
          <w:tcPr>
            <w:tcW w:w="1040" w:type="dxa"/>
            <w:vMerge w:val="restart"/>
            <w:tcBorders>
              <w:top w:val="nil"/>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科目代码</w:t>
            </w:r>
          </w:p>
        </w:tc>
        <w:tc>
          <w:tcPr>
            <w:tcW w:w="1187" w:type="dxa"/>
            <w:vMerge w:val="restart"/>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科目名称</w:t>
            </w:r>
          </w:p>
        </w:tc>
        <w:tc>
          <w:tcPr>
            <w:tcW w:w="1128" w:type="dxa"/>
            <w:vMerge/>
            <w:tcBorders>
              <w:top w:val="single" w:sz="4" w:space="0" w:color="000000"/>
              <w:left w:val="nil"/>
              <w:bottom w:val="single" w:sz="4" w:space="0" w:color="000000"/>
              <w:right w:val="single" w:sz="4" w:space="0" w:color="000000"/>
            </w:tcBorders>
            <w:noWrap/>
            <w:vAlign w:val="center"/>
          </w:tcPr>
          <w:p/>
        </w:tc>
        <w:tc>
          <w:tcPr>
            <w:tcW w:w="1126" w:type="dxa"/>
            <w:gridSpan w:val="2"/>
            <w:vMerge/>
            <w:tcBorders>
              <w:top w:val="single" w:sz="4" w:space="0" w:color="000000"/>
              <w:left w:val="nil"/>
              <w:bottom w:val="single" w:sz="4" w:space="0" w:color="000000"/>
              <w:right w:val="single" w:sz="4" w:space="0" w:color="000000"/>
            </w:tcBorders>
            <w:noWrap/>
            <w:vAlign w:val="center"/>
          </w:tcPr>
          <w:p/>
        </w:tc>
        <w:tc>
          <w:tcPr>
            <w:tcW w:w="1126" w:type="dxa"/>
            <w:vMerge/>
            <w:tcBorders>
              <w:top w:val="single" w:sz="4" w:space="0" w:color="000000"/>
              <w:left w:val="nil"/>
              <w:bottom w:val="single" w:sz="4" w:space="0" w:color="000000"/>
              <w:right w:val="single" w:sz="4" w:space="0" w:color="000000"/>
            </w:tcBorders>
            <w:noWrap/>
            <w:vAlign w:val="center"/>
          </w:tcPr>
          <w:p/>
        </w:tc>
        <w:tc>
          <w:tcPr>
            <w:tcW w:w="1126" w:type="dxa"/>
            <w:gridSpan w:val="2"/>
            <w:vMerge/>
            <w:tcBorders>
              <w:top w:val="single" w:sz="4" w:space="0" w:color="000000"/>
              <w:left w:val="nil"/>
              <w:bottom w:val="single" w:sz="4" w:space="0" w:color="000000"/>
              <w:right w:val="single" w:sz="4" w:space="0" w:color="000000"/>
            </w:tcBorders>
            <w:noWrap/>
            <w:vAlign w:val="center"/>
          </w:tcPr>
          <w:p/>
        </w:tc>
        <w:tc>
          <w:tcPr>
            <w:tcW w:w="1126" w:type="dxa"/>
            <w:vMerge/>
            <w:tcBorders>
              <w:top w:val="single" w:sz="4" w:space="0" w:color="000000"/>
              <w:left w:val="nil"/>
              <w:bottom w:val="single" w:sz="4" w:space="0" w:color="000000"/>
              <w:right w:val="single" w:sz="4" w:space="0" w:color="000000"/>
            </w:tcBorders>
            <w:noWrap/>
            <w:vAlign w:val="center"/>
          </w:tcPr>
          <w:p/>
        </w:tc>
        <w:tc>
          <w:tcPr>
            <w:tcW w:w="1487" w:type="dxa"/>
            <w:vMerge/>
            <w:tcBorders>
              <w:top w:val="single" w:sz="4" w:space="0" w:color="000000"/>
              <w:left w:val="nil"/>
              <w:bottom w:val="single" w:sz="4" w:space="0" w:color="000000"/>
              <w:right w:val="single" w:sz="4" w:space="0" w:color="000000"/>
            </w:tcBorders>
            <w:noWrap/>
            <w:vAlign w:val="center"/>
          </w:tcPr>
          <w:p/>
        </w:tc>
      </w:tr>
      <w:tr>
        <w:trPr>
          <w:trHeight w:val="308"/>
        </w:trPr>
        <w:tc>
          <w:tcPr>
            <w:tcW w:w="1040" w:type="dxa"/>
            <w:vMerge/>
            <w:tcBorders>
              <w:top w:val="nil"/>
              <w:left w:val="single" w:sz="4" w:space="0" w:color="000000"/>
              <w:bottom w:val="single" w:sz="4" w:space="0" w:color="000000"/>
              <w:right w:val="single" w:sz="4" w:space="0" w:color="000000"/>
            </w:tcBorders>
            <w:noWrap/>
            <w:vAlign w:val="center"/>
          </w:tcPr>
          <w:p/>
        </w:tc>
        <w:tc>
          <w:tcPr>
            <w:tcW w:w="1187" w:type="dxa"/>
            <w:vMerge/>
            <w:tcBorders>
              <w:top w:val="nil"/>
              <w:left w:val="nil"/>
              <w:bottom w:val="single" w:sz="4" w:space="0" w:color="000000"/>
              <w:right w:val="single" w:sz="4" w:space="0" w:color="000000"/>
            </w:tcBorders>
            <w:noWrap/>
            <w:vAlign w:val="center"/>
          </w:tcPr>
          <w:p/>
        </w:tc>
        <w:tc>
          <w:tcPr>
            <w:tcW w:w="1128" w:type="dxa"/>
            <w:vMerge/>
            <w:tcBorders>
              <w:top w:val="single" w:sz="4" w:space="0" w:color="000000"/>
              <w:left w:val="nil"/>
              <w:bottom w:val="single" w:sz="4" w:space="0" w:color="000000"/>
              <w:right w:val="single" w:sz="4" w:space="0" w:color="000000"/>
            </w:tcBorders>
            <w:noWrap/>
            <w:vAlign w:val="center"/>
          </w:tcPr>
          <w:p/>
        </w:tc>
        <w:tc>
          <w:tcPr>
            <w:tcW w:w="1126" w:type="dxa"/>
            <w:gridSpan w:val="2"/>
            <w:vMerge/>
            <w:tcBorders>
              <w:top w:val="single" w:sz="4" w:space="0" w:color="000000"/>
              <w:left w:val="nil"/>
              <w:bottom w:val="single" w:sz="4" w:space="0" w:color="000000"/>
              <w:right w:val="single" w:sz="4" w:space="0" w:color="000000"/>
            </w:tcBorders>
            <w:noWrap/>
            <w:vAlign w:val="center"/>
          </w:tcPr>
          <w:p/>
        </w:tc>
        <w:tc>
          <w:tcPr>
            <w:tcW w:w="1126" w:type="dxa"/>
            <w:vMerge/>
            <w:tcBorders>
              <w:top w:val="single" w:sz="4" w:space="0" w:color="000000"/>
              <w:left w:val="nil"/>
              <w:bottom w:val="single" w:sz="4" w:space="0" w:color="000000"/>
              <w:right w:val="single" w:sz="4" w:space="0" w:color="000000"/>
            </w:tcBorders>
            <w:noWrap/>
            <w:vAlign w:val="center"/>
          </w:tcPr>
          <w:p/>
        </w:tc>
        <w:tc>
          <w:tcPr>
            <w:tcW w:w="1126" w:type="dxa"/>
            <w:gridSpan w:val="2"/>
            <w:vMerge/>
            <w:tcBorders>
              <w:top w:val="single" w:sz="4" w:space="0" w:color="000000"/>
              <w:left w:val="nil"/>
              <w:bottom w:val="single" w:sz="4" w:space="0" w:color="000000"/>
              <w:right w:val="single" w:sz="4" w:space="0" w:color="000000"/>
            </w:tcBorders>
            <w:noWrap/>
            <w:vAlign w:val="center"/>
          </w:tcPr>
          <w:p/>
        </w:tc>
        <w:tc>
          <w:tcPr>
            <w:tcW w:w="1126" w:type="dxa"/>
            <w:vMerge/>
            <w:tcBorders>
              <w:top w:val="single" w:sz="4" w:space="0" w:color="000000"/>
              <w:left w:val="nil"/>
              <w:bottom w:val="single" w:sz="4" w:space="0" w:color="000000"/>
              <w:right w:val="single" w:sz="4" w:space="0" w:color="000000"/>
            </w:tcBorders>
            <w:noWrap/>
            <w:vAlign w:val="center"/>
          </w:tcPr>
          <w:p/>
        </w:tc>
        <w:tc>
          <w:tcPr>
            <w:tcW w:w="1487" w:type="dxa"/>
            <w:vMerge/>
            <w:tcBorders>
              <w:top w:val="single" w:sz="4" w:space="0" w:color="000000"/>
              <w:left w:val="nil"/>
              <w:bottom w:val="single" w:sz="4" w:space="0" w:color="000000"/>
              <w:right w:val="single" w:sz="4" w:space="0" w:color="000000"/>
            </w:tcBorders>
            <w:noWrap/>
            <w:vAlign w:val="center"/>
          </w:tcPr>
          <w:p/>
        </w:tc>
      </w:tr>
      <w:tr>
        <w:trPr>
          <w:trHeight w:val="308"/>
        </w:trPr>
        <w:tc>
          <w:tcPr>
            <w:tcW w:w="1040" w:type="dxa"/>
            <w:vMerge/>
            <w:tcBorders>
              <w:top w:val="nil"/>
              <w:left w:val="single" w:sz="4" w:space="0" w:color="000000"/>
              <w:bottom w:val="single" w:sz="4" w:space="0" w:color="000000"/>
              <w:right w:val="single" w:sz="4" w:space="0" w:color="000000"/>
            </w:tcBorders>
            <w:noWrap/>
            <w:vAlign w:val="center"/>
          </w:tcPr>
          <w:p/>
        </w:tc>
        <w:tc>
          <w:tcPr>
            <w:tcW w:w="1187" w:type="dxa"/>
            <w:vMerge/>
            <w:tcBorders>
              <w:top w:val="nil"/>
              <w:left w:val="nil"/>
              <w:bottom w:val="single" w:sz="4" w:space="0" w:color="000000"/>
              <w:right w:val="single" w:sz="4" w:space="0" w:color="000000"/>
            </w:tcBorders>
            <w:noWrap/>
            <w:vAlign w:val="center"/>
          </w:tcPr>
          <w:p/>
        </w:tc>
        <w:tc>
          <w:tcPr>
            <w:tcW w:w="1128" w:type="dxa"/>
            <w:vMerge/>
            <w:tcBorders>
              <w:top w:val="single" w:sz="4" w:space="0" w:color="000000"/>
              <w:left w:val="nil"/>
              <w:bottom w:val="single" w:sz="4" w:space="0" w:color="000000"/>
              <w:right w:val="single" w:sz="4" w:space="0" w:color="000000"/>
            </w:tcBorders>
            <w:noWrap/>
            <w:vAlign w:val="center"/>
          </w:tcPr>
          <w:p/>
        </w:tc>
        <w:tc>
          <w:tcPr>
            <w:tcW w:w="1126" w:type="dxa"/>
            <w:gridSpan w:val="2"/>
            <w:vMerge/>
            <w:tcBorders>
              <w:top w:val="single" w:sz="4" w:space="0" w:color="000000"/>
              <w:left w:val="nil"/>
              <w:bottom w:val="single" w:sz="4" w:space="0" w:color="000000"/>
              <w:right w:val="single" w:sz="4" w:space="0" w:color="000000"/>
            </w:tcBorders>
            <w:noWrap/>
            <w:vAlign w:val="center"/>
          </w:tcPr>
          <w:p/>
        </w:tc>
        <w:tc>
          <w:tcPr>
            <w:tcW w:w="1126" w:type="dxa"/>
            <w:vMerge/>
            <w:tcBorders>
              <w:top w:val="single" w:sz="4" w:space="0" w:color="000000"/>
              <w:left w:val="nil"/>
              <w:bottom w:val="single" w:sz="4" w:space="0" w:color="000000"/>
              <w:right w:val="single" w:sz="4" w:space="0" w:color="000000"/>
            </w:tcBorders>
            <w:noWrap/>
            <w:vAlign w:val="center"/>
          </w:tcPr>
          <w:p/>
        </w:tc>
        <w:tc>
          <w:tcPr>
            <w:tcW w:w="1126" w:type="dxa"/>
            <w:gridSpan w:val="2"/>
            <w:vMerge/>
            <w:tcBorders>
              <w:top w:val="single" w:sz="4" w:space="0" w:color="000000"/>
              <w:left w:val="nil"/>
              <w:bottom w:val="single" w:sz="4" w:space="0" w:color="000000"/>
              <w:right w:val="single" w:sz="4" w:space="0" w:color="000000"/>
            </w:tcBorders>
            <w:noWrap/>
            <w:vAlign w:val="center"/>
          </w:tcPr>
          <w:p/>
        </w:tc>
        <w:tc>
          <w:tcPr>
            <w:tcW w:w="1126" w:type="dxa"/>
            <w:vMerge/>
            <w:tcBorders>
              <w:top w:val="single" w:sz="4" w:space="0" w:color="000000"/>
              <w:left w:val="nil"/>
              <w:bottom w:val="single" w:sz="4" w:space="0" w:color="000000"/>
              <w:right w:val="single" w:sz="4" w:space="0" w:color="000000"/>
            </w:tcBorders>
            <w:noWrap/>
            <w:vAlign w:val="center"/>
          </w:tcPr>
          <w:p/>
        </w:tc>
        <w:tc>
          <w:tcPr>
            <w:tcW w:w="1487" w:type="dxa"/>
            <w:vMerge/>
            <w:tcBorders>
              <w:top w:val="single" w:sz="4" w:space="0" w:color="000000"/>
              <w:left w:val="nil"/>
              <w:bottom w:val="single" w:sz="4" w:space="0" w:color="000000"/>
              <w:right w:val="single" w:sz="4" w:space="0" w:color="000000"/>
            </w:tcBorders>
            <w:noWrap/>
            <w:vAlign w:val="center"/>
          </w:tcPr>
          <w:p/>
        </w:tc>
      </w:tr>
      <w:tr>
        <w:trPr>
          <w:trHeight w:val="454"/>
        </w:trPr>
        <w:tc>
          <w:tcPr>
            <w:tcW w:w="2227" w:type="dxa"/>
            <w:gridSpan w:val="2"/>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栏次</w:t>
            </w:r>
          </w:p>
        </w:tc>
        <w:tc>
          <w:tcPr>
            <w:tcW w:w="1128"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w:t>
            </w:r>
          </w:p>
        </w:tc>
        <w:tc>
          <w:tcPr>
            <w:tcW w:w="1126" w:type="dxa"/>
            <w:gridSpan w:val="2"/>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w:t>
            </w:r>
          </w:p>
        </w:tc>
        <w:tc>
          <w:tcPr>
            <w:tcW w:w="1126"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3</w:t>
            </w:r>
          </w:p>
        </w:tc>
        <w:tc>
          <w:tcPr>
            <w:tcW w:w="1126" w:type="dxa"/>
            <w:gridSpan w:val="2"/>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4</w:t>
            </w:r>
          </w:p>
        </w:tc>
        <w:tc>
          <w:tcPr>
            <w:tcW w:w="1126"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5</w:t>
            </w:r>
          </w:p>
        </w:tc>
        <w:tc>
          <w:tcPr>
            <w:tcW w:w="1487"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6</w:t>
            </w:r>
          </w:p>
        </w:tc>
      </w:tr>
      <w:tr>
        <w:trPr>
          <w:trHeight w:val="308"/>
        </w:trPr>
        <w:tc>
          <w:tcPr>
            <w:tcW w:w="2227" w:type="dxa"/>
            <w:gridSpan w:val="2"/>
            <w:tcBorders>
              <w:top w:val="single" w:sz="4" w:space="0" w:color="000000"/>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合计</w:t>
            </w:r>
          </w:p>
        </w:tc>
        <w:tc>
          <w:tcPr>
            <w:tcW w:w="1128"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7,853.23</w:t>
            </w:r>
          </w:p>
        </w:tc>
        <w:tc>
          <w:tcPr>
            <w:tcW w:w="1126"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2,092.57</w:t>
            </w:r>
          </w:p>
        </w:tc>
        <w:tc>
          <w:tcPr>
            <w:tcW w:w="1126"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5,760.66</w:t>
            </w:r>
          </w:p>
        </w:tc>
        <w:tc>
          <w:tcPr>
            <w:tcW w:w="1126"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nil"/>
              <w:left w:val="single" w:sz="4" w:space="0" w:color="000000"/>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212</w:t>
            </w:r>
          </w:p>
        </w:tc>
        <w:tc>
          <w:tcPr>
            <w:tcW w:w="1187" w:type="dxa"/>
            <w:tcBorders>
              <w:top w:val="nil"/>
              <w:left w:val="nil"/>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城乡社区支出</w:t>
            </w:r>
          </w:p>
        </w:tc>
        <w:tc>
          <w:tcPr>
            <w:tcW w:w="1128"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130.00</w:t>
            </w:r>
          </w:p>
        </w:tc>
        <w:tc>
          <w:tcPr>
            <w:tcW w:w="1126"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130.00</w:t>
            </w:r>
          </w:p>
        </w:tc>
        <w:tc>
          <w:tcPr>
            <w:tcW w:w="1126"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nil"/>
              <w:left w:val="single" w:sz="4" w:space="0" w:color="000000"/>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21205</w:t>
            </w:r>
          </w:p>
        </w:tc>
        <w:tc>
          <w:tcPr>
            <w:tcW w:w="1187" w:type="dxa"/>
            <w:tcBorders>
              <w:top w:val="nil"/>
              <w:left w:val="nil"/>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城乡社区环境卫生</w:t>
            </w:r>
          </w:p>
        </w:tc>
        <w:tc>
          <w:tcPr>
            <w:tcW w:w="1128"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130.00</w:t>
            </w:r>
          </w:p>
        </w:tc>
        <w:tc>
          <w:tcPr>
            <w:tcW w:w="1126"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130.00</w:t>
            </w:r>
          </w:p>
        </w:tc>
        <w:tc>
          <w:tcPr>
            <w:tcW w:w="1126"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nil"/>
              <w:left w:val="single" w:sz="4" w:space="0" w:color="000000"/>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2120501</w:t>
            </w:r>
          </w:p>
        </w:tc>
        <w:tc>
          <w:tcPr>
            <w:tcW w:w="1187" w:type="dxa"/>
            <w:tcBorders>
              <w:top w:val="nil"/>
              <w:left w:val="nil"/>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城乡社区环境卫生</w:t>
            </w:r>
          </w:p>
        </w:tc>
        <w:tc>
          <w:tcPr>
            <w:tcW w:w="1128"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130.00</w:t>
            </w:r>
          </w:p>
        </w:tc>
        <w:tc>
          <w:tcPr>
            <w:tcW w:w="1126"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130.00</w:t>
            </w:r>
          </w:p>
        </w:tc>
        <w:tc>
          <w:tcPr>
            <w:tcW w:w="1126"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nil"/>
              <w:left w:val="single" w:sz="4" w:space="0" w:color="000000"/>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213</w:t>
            </w:r>
          </w:p>
        </w:tc>
        <w:tc>
          <w:tcPr>
            <w:tcW w:w="1187" w:type="dxa"/>
            <w:tcBorders>
              <w:top w:val="nil"/>
              <w:left w:val="nil"/>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农林水支出</w:t>
            </w:r>
          </w:p>
        </w:tc>
        <w:tc>
          <w:tcPr>
            <w:tcW w:w="1128"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1,849.49</w:t>
            </w:r>
          </w:p>
        </w:tc>
        <w:tc>
          <w:tcPr>
            <w:tcW w:w="1126"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1,849.49</w:t>
            </w:r>
          </w:p>
        </w:tc>
        <w:tc>
          <w:tcPr>
            <w:tcW w:w="1126"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nil"/>
              <w:left w:val="single" w:sz="4" w:space="0" w:color="000000"/>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21305</w:t>
            </w:r>
          </w:p>
        </w:tc>
        <w:tc>
          <w:tcPr>
            <w:tcW w:w="1187" w:type="dxa"/>
            <w:tcBorders>
              <w:top w:val="nil"/>
              <w:left w:val="nil"/>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巩固脱贫攻坚成果衔接乡村振兴</w:t>
            </w:r>
          </w:p>
        </w:tc>
        <w:tc>
          <w:tcPr>
            <w:tcW w:w="1128"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1,849.49</w:t>
            </w:r>
          </w:p>
        </w:tc>
        <w:tc>
          <w:tcPr>
            <w:tcW w:w="1126"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1,849.49</w:t>
            </w:r>
          </w:p>
        </w:tc>
        <w:tc>
          <w:tcPr>
            <w:tcW w:w="1126"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nil"/>
              <w:left w:val="single" w:sz="4" w:space="0" w:color="000000"/>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2130504</w:t>
            </w:r>
          </w:p>
        </w:tc>
        <w:tc>
          <w:tcPr>
            <w:tcW w:w="1187" w:type="dxa"/>
            <w:tcBorders>
              <w:top w:val="nil"/>
              <w:left w:val="nil"/>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农村基础设施建设</w:t>
            </w:r>
          </w:p>
        </w:tc>
        <w:tc>
          <w:tcPr>
            <w:tcW w:w="1128"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1,849.49</w:t>
            </w:r>
          </w:p>
        </w:tc>
        <w:tc>
          <w:tcPr>
            <w:tcW w:w="1126"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1,849.49</w:t>
            </w:r>
          </w:p>
        </w:tc>
        <w:tc>
          <w:tcPr>
            <w:tcW w:w="1126"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nil"/>
              <w:left w:val="single" w:sz="4" w:space="0" w:color="000000"/>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214</w:t>
            </w:r>
          </w:p>
        </w:tc>
        <w:tc>
          <w:tcPr>
            <w:tcW w:w="1187" w:type="dxa"/>
            <w:tcBorders>
              <w:top w:val="nil"/>
              <w:left w:val="nil"/>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交通运输支出</w:t>
            </w:r>
          </w:p>
        </w:tc>
        <w:tc>
          <w:tcPr>
            <w:tcW w:w="1128"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5,366.74</w:t>
            </w:r>
          </w:p>
        </w:tc>
        <w:tc>
          <w:tcPr>
            <w:tcW w:w="1126"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2,092.57</w:t>
            </w:r>
          </w:p>
        </w:tc>
        <w:tc>
          <w:tcPr>
            <w:tcW w:w="1126"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3,274.17</w:t>
            </w:r>
          </w:p>
        </w:tc>
        <w:tc>
          <w:tcPr>
            <w:tcW w:w="1126"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nil"/>
              <w:left w:val="single" w:sz="4" w:space="0" w:color="000000"/>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21401</w:t>
            </w:r>
          </w:p>
        </w:tc>
        <w:tc>
          <w:tcPr>
            <w:tcW w:w="1187" w:type="dxa"/>
            <w:tcBorders>
              <w:top w:val="nil"/>
              <w:left w:val="nil"/>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公路水路运输</w:t>
            </w:r>
          </w:p>
        </w:tc>
        <w:tc>
          <w:tcPr>
            <w:tcW w:w="1128"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4,659.17</w:t>
            </w:r>
          </w:p>
        </w:tc>
        <w:tc>
          <w:tcPr>
            <w:tcW w:w="1126"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2,092.57</w:t>
            </w:r>
          </w:p>
        </w:tc>
        <w:tc>
          <w:tcPr>
            <w:tcW w:w="1126"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2,566.61</w:t>
            </w:r>
          </w:p>
        </w:tc>
        <w:tc>
          <w:tcPr>
            <w:tcW w:w="1126"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nil"/>
              <w:left w:val="single" w:sz="4" w:space="0" w:color="000000"/>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2140101</w:t>
            </w:r>
          </w:p>
        </w:tc>
        <w:tc>
          <w:tcPr>
            <w:tcW w:w="1187" w:type="dxa"/>
            <w:tcBorders>
              <w:top w:val="nil"/>
              <w:left w:val="nil"/>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行政运行</w:t>
            </w:r>
          </w:p>
        </w:tc>
        <w:tc>
          <w:tcPr>
            <w:tcW w:w="1128"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2,092.57</w:t>
            </w:r>
          </w:p>
        </w:tc>
        <w:tc>
          <w:tcPr>
            <w:tcW w:w="1126"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2,092.57</w:t>
            </w:r>
          </w:p>
        </w:tc>
        <w:tc>
          <w:tcPr>
            <w:tcW w:w="1126"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nil"/>
              <w:left w:val="single" w:sz="4" w:space="0" w:color="000000"/>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2140102</w:t>
            </w:r>
          </w:p>
        </w:tc>
        <w:tc>
          <w:tcPr>
            <w:tcW w:w="1187" w:type="dxa"/>
            <w:tcBorders>
              <w:top w:val="nil"/>
              <w:left w:val="nil"/>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一般行政管理事务</w:t>
            </w:r>
          </w:p>
        </w:tc>
        <w:tc>
          <w:tcPr>
            <w:tcW w:w="1128"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1,719.61</w:t>
            </w:r>
          </w:p>
        </w:tc>
        <w:tc>
          <w:tcPr>
            <w:tcW w:w="1126"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1,719.61</w:t>
            </w:r>
          </w:p>
        </w:tc>
        <w:tc>
          <w:tcPr>
            <w:tcW w:w="1126"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nil"/>
              <w:left w:val="single" w:sz="4" w:space="0" w:color="000000"/>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2140106</w:t>
            </w:r>
          </w:p>
        </w:tc>
        <w:tc>
          <w:tcPr>
            <w:tcW w:w="1187" w:type="dxa"/>
            <w:tcBorders>
              <w:top w:val="nil"/>
              <w:left w:val="nil"/>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公路养护</w:t>
            </w:r>
          </w:p>
        </w:tc>
        <w:tc>
          <w:tcPr>
            <w:tcW w:w="1128"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847.00</w:t>
            </w:r>
          </w:p>
        </w:tc>
        <w:tc>
          <w:tcPr>
            <w:tcW w:w="1126"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847.00</w:t>
            </w:r>
          </w:p>
        </w:tc>
        <w:tc>
          <w:tcPr>
            <w:tcW w:w="1126"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nil"/>
              <w:left w:val="single" w:sz="4" w:space="0" w:color="000000"/>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21499</w:t>
            </w:r>
          </w:p>
        </w:tc>
        <w:tc>
          <w:tcPr>
            <w:tcW w:w="1187" w:type="dxa"/>
            <w:tcBorders>
              <w:top w:val="nil"/>
              <w:left w:val="nil"/>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其他交通运输支出</w:t>
            </w:r>
          </w:p>
        </w:tc>
        <w:tc>
          <w:tcPr>
            <w:tcW w:w="1128"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707.57</w:t>
            </w:r>
          </w:p>
        </w:tc>
        <w:tc>
          <w:tcPr>
            <w:tcW w:w="1126"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707.57</w:t>
            </w:r>
          </w:p>
        </w:tc>
        <w:tc>
          <w:tcPr>
            <w:tcW w:w="1126"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nil"/>
              <w:left w:val="single" w:sz="4" w:space="0" w:color="000000"/>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2149901</w:t>
            </w:r>
          </w:p>
        </w:tc>
        <w:tc>
          <w:tcPr>
            <w:tcW w:w="1187" w:type="dxa"/>
            <w:tcBorders>
              <w:top w:val="nil"/>
              <w:left w:val="nil"/>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公共交通运营补助</w:t>
            </w:r>
          </w:p>
        </w:tc>
        <w:tc>
          <w:tcPr>
            <w:tcW w:w="1128"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244.33</w:t>
            </w:r>
          </w:p>
        </w:tc>
        <w:tc>
          <w:tcPr>
            <w:tcW w:w="1126"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244.33</w:t>
            </w:r>
          </w:p>
        </w:tc>
        <w:tc>
          <w:tcPr>
            <w:tcW w:w="1126"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nil"/>
              <w:left w:val="single" w:sz="4" w:space="0" w:color="000000"/>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2149999</w:t>
            </w:r>
          </w:p>
        </w:tc>
        <w:tc>
          <w:tcPr>
            <w:tcW w:w="1187" w:type="dxa"/>
            <w:tcBorders>
              <w:top w:val="nil"/>
              <w:left w:val="nil"/>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其他交通运输支出</w:t>
            </w:r>
          </w:p>
        </w:tc>
        <w:tc>
          <w:tcPr>
            <w:tcW w:w="1128"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463.24</w:t>
            </w:r>
          </w:p>
        </w:tc>
        <w:tc>
          <w:tcPr>
            <w:tcW w:w="1126"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463.24</w:t>
            </w:r>
          </w:p>
        </w:tc>
        <w:tc>
          <w:tcPr>
            <w:tcW w:w="1126"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nil"/>
              <w:left w:val="single" w:sz="4" w:space="0" w:color="000000"/>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224</w:t>
            </w:r>
          </w:p>
        </w:tc>
        <w:tc>
          <w:tcPr>
            <w:tcW w:w="1187" w:type="dxa"/>
            <w:tcBorders>
              <w:top w:val="nil"/>
              <w:left w:val="nil"/>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灾害防治及应急管理支出</w:t>
            </w:r>
          </w:p>
        </w:tc>
        <w:tc>
          <w:tcPr>
            <w:tcW w:w="1128"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507.00</w:t>
            </w:r>
          </w:p>
        </w:tc>
        <w:tc>
          <w:tcPr>
            <w:tcW w:w="1126"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507.00</w:t>
            </w:r>
          </w:p>
        </w:tc>
        <w:tc>
          <w:tcPr>
            <w:tcW w:w="1126"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nil"/>
              <w:left w:val="single" w:sz="4" w:space="0" w:color="000000"/>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22407</w:t>
            </w:r>
          </w:p>
        </w:tc>
        <w:tc>
          <w:tcPr>
            <w:tcW w:w="1187" w:type="dxa"/>
            <w:tcBorders>
              <w:top w:val="nil"/>
              <w:left w:val="nil"/>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自然灾害救灾及恢复重建支出</w:t>
            </w:r>
          </w:p>
        </w:tc>
        <w:tc>
          <w:tcPr>
            <w:tcW w:w="1128"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507.00</w:t>
            </w:r>
          </w:p>
        </w:tc>
        <w:tc>
          <w:tcPr>
            <w:tcW w:w="1126"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507.00</w:t>
            </w:r>
          </w:p>
        </w:tc>
        <w:tc>
          <w:tcPr>
            <w:tcW w:w="1126"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nil"/>
              <w:left w:val="single" w:sz="4" w:space="0" w:color="000000"/>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2240703</w:t>
            </w:r>
          </w:p>
        </w:tc>
        <w:tc>
          <w:tcPr>
            <w:tcW w:w="1187" w:type="dxa"/>
            <w:tcBorders>
              <w:top w:val="nil"/>
              <w:left w:val="nil"/>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自然灾害救灾补助</w:t>
            </w:r>
          </w:p>
        </w:tc>
        <w:tc>
          <w:tcPr>
            <w:tcW w:w="1128"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507.00</w:t>
            </w:r>
          </w:p>
        </w:tc>
        <w:tc>
          <w:tcPr>
            <w:tcW w:w="1126"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507.00</w:t>
            </w:r>
          </w:p>
        </w:tc>
        <w:tc>
          <w:tcPr>
            <w:tcW w:w="1126"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9346" w:type="dxa"/>
            <w:gridSpan w:val="10"/>
            <w:tcBorders>
              <w:top w:val="nil"/>
              <w:left w:val="nil"/>
              <w:bottom w:val="nil"/>
              <w:right w:val="nil"/>
            </w:tcBorders>
            <w:noWrap/>
            <w:vAlign w:val="center"/>
          </w:tcPr>
          <w:p>
            <w:pPr>
              <w:keepNext w:val="0"/>
              <w:keepLines w:val="0"/>
              <w:widowControl/>
              <w:suppressLineNumbers w:val="0"/>
              <w:jc w:val="left"/>
              <w:textAlignment w:val="center"/>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注：本表反映</w:t>
            </w:r>
            <w:r>
              <w:rPr>
                <w:rFonts w:ascii="方正仿宋_GB2312" w:eastAsia="方正仿宋_GB2312" w:cs="方正仿宋_GB2312" w:hAnsi="方正仿宋_GB2312" w:hint="eastAsia"/>
                <w:i w:val="0"/>
                <w:iCs w:val="0"/>
                <w:color w:val="000000"/>
                <w:kern w:val="0"/>
                <w:sz w:val="20"/>
                <w:szCs w:val="20"/>
                <w:u w:val="none"/>
                <w:lang w:val="en-US" w:eastAsia="zh-CN"/>
              </w:rPr>
              <w:t>单位</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本年度各项支出情况。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ascii="仿宋_GB2312" w:eastAsia="仿宋_GB2312" w:hAnsi="宋体" w:hint="eastAsia"/>
          <w:b/>
          <w:color w:val="auto"/>
          <w:kern w:val="0"/>
          <w:sz w:val="32"/>
          <w:szCs w:val="32"/>
          <w:highlight w:val="auto"/>
        </w:rPr>
      </w:pPr>
    </w:p>
    <w:p>
      <w:pPr>
        <w:rPr>
          <w:rFonts w:ascii="仿宋_GB2312" w:eastAsia="仿宋_GB2312" w:hAnsi="宋体" w:hint="eastAsia"/>
          <w:b/>
          <w:color w:val="auto"/>
          <w:kern w:val="0"/>
          <w:sz w:val="32"/>
          <w:szCs w:val="32"/>
          <w:highlight w:val="auto"/>
        </w:rPr>
      </w:pPr>
      <w:r>
        <w:rPr>
          <w:rFonts w:ascii="仿宋_GB2312" w:eastAsia="仿宋_GB2312" w:hAnsi="宋体" w:hint="eastAsia"/>
          <w:b/>
          <w:color w:val="auto"/>
          <w:kern w:val="0"/>
          <w:sz w:val="32"/>
          <w:szCs w:val="32"/>
          <w:highlight w:val="auto"/>
        </w:rPr>
        <w:br w:type="page"/>
      </w:r>
    </w:p>
    <w:tbl>
      <w:tblPr>
        <w:jc w:val="left"/>
        <w:tblInd w:w="-1857" w:type="dxa"/>
        <w:tblW w:w="11709"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trPr>
          <w:trHeight w:val="550"/>
        </w:trPr>
        <w:tc>
          <w:tcPr>
            <w:tcW w:w="11709" w:type="dxa"/>
            <w:gridSpan w:val="11"/>
            <w:tcBorders>
              <w:top w:val="nil"/>
              <w:left w:val="nil"/>
              <w:bottom w:val="nil"/>
              <w:right w:val="nil"/>
            </w:tcBorders>
            <w:noWrap/>
            <w:vAlign w:val="bottom"/>
          </w:tcPr>
          <w:p>
            <w:pPr>
              <w:keepNext w:val="0"/>
              <w:keepLines w:val="0"/>
              <w:widowControl/>
              <w:suppressLineNumbers w:val="0"/>
              <w:jc w:val="center"/>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b w:val="0"/>
                <w:bCs/>
                <w:color w:val="auto"/>
                <w:kern w:val="0"/>
                <w:sz w:val="32"/>
                <w:szCs w:val="32"/>
                <w:lang w:val="en-US" w:eastAsia="zh-CN"/>
                <w:highlight w:val="auto"/>
              </w:rPr>
              <w:t>财政拨款收入支出决算总表</w:t>
            </w:r>
          </w:p>
        </w:tc>
      </w:tr>
      <w:tr>
        <w:trPr>
          <w:trHeight w:val="300"/>
        </w:trPr>
        <w:tc>
          <w:tcPr>
            <w:tcW w:w="11709" w:type="dxa"/>
            <w:gridSpan w:val="11"/>
            <w:tcBorders>
              <w:top w:val="nil"/>
              <w:left w:val="nil"/>
              <w:bottom w:val="nil"/>
              <w:right w:val="nil"/>
            </w:tcBorders>
            <w:noWrap/>
            <w:vAlign w:val="bottom"/>
          </w:tcPr>
          <w:p>
            <w:pPr>
              <w:keepNext w:val="0"/>
              <w:keepLines w:val="0"/>
              <w:widowControl/>
              <w:suppressLineNumbers w:val="0"/>
              <w:jc w:val="right"/>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公开04表</w:t>
            </w:r>
          </w:p>
        </w:tc>
      </w:tr>
      <w:tr>
        <w:trPr>
          <w:trHeight w:val="300"/>
        </w:trPr>
        <w:tc>
          <w:tcPr>
            <w:tcW w:w="5694" w:type="dxa"/>
            <w:gridSpan w:val="4"/>
            <w:tcBorders>
              <w:top w:val="nil"/>
              <w:left w:val="nil"/>
              <w:bottom w:val="single" w:sz="4" w:space="0" w:color="auto"/>
              <w:right w:val="nil"/>
            </w:tcBorders>
            <w:noWrap/>
            <w:vAlign w:val="bottom"/>
          </w:tcPr>
          <w:p>
            <w:pPr>
              <w:rPr>
                <w:rFonts w:ascii="仿宋" w:eastAsia="仿宋" w:cs="仿宋" w:hAnsi="仿宋"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rPr>
              <w:t>单位</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 xml:space="preserve">（单位）：行唐县交通运输局(本级) </w:t>
            </w:r>
            <w:r>
              <w:rPr>
                <w:rFonts w:ascii="宋体" w:eastAsia="宋体" w:cs="宋体" w:hint="eastAsia"/>
                <w:i w:val="0"/>
                <w:iCs w:val="0"/>
                <w:color w:val="000000"/>
                <w:kern w:val="0"/>
                <w:sz w:val="20"/>
                <w:szCs w:val="20"/>
                <w:u w:val="none"/>
                <w:lang w:val="en-US" w:eastAsia="zh-CN"/>
                <w:highlight w:val="auto"/>
              </w:rPr>
              <w:t xml:space="preserve">                                                                                                   </w:t>
            </w:r>
          </w:p>
        </w:tc>
        <w:tc>
          <w:tcPr>
            <w:tcW w:w="1521" w:type="dxa"/>
            <w:gridSpan w:val="3"/>
            <w:tcBorders>
              <w:top w:val="nil"/>
              <w:left w:val="nil"/>
              <w:bottom w:val="single" w:sz="4" w:space="0" w:color="auto"/>
              <w:right w:val="nil"/>
            </w:tcBorders>
            <w:noWrap/>
            <w:vAlign w:val="bottom"/>
          </w:tcPr>
          <w:p>
            <w:pPr>
              <w:jc w:val="center"/>
              <w:rPr>
                <w:rFonts w:ascii="宋体" w:eastAsia="宋体" w:cs="宋体"/>
                <w:i w:val="0"/>
                <w:iCs w:val="0"/>
                <w:color w:val="000000"/>
                <w:kern w:val="0"/>
                <w:sz w:val="20"/>
                <w:szCs w:val="20"/>
                <w:u w:val="none"/>
                <w:lang w:val="en-US" w:eastAsia="zh-CN"/>
                <w:highlight w:val="auto"/>
              </w:rPr>
            </w:pPr>
            <w:r>
              <w:rPr>
                <w:rFonts w:ascii="Times New Roman" w:cs="Times New Roman" w:hAnsi="Times New Roman"/>
                <w:i w:val="0"/>
                <w:iCs w:val="0"/>
                <w:color w:val="000000"/>
                <w:kern w:val="0"/>
                <w:sz w:val="20"/>
                <w:szCs w:val="20"/>
                <w:u w:val="none"/>
                <w:lang w:val="en-US" w:eastAsia="zh-CN"/>
                <w:highlight w:val="auto"/>
              </w:rPr>
              <w:t>202</w:t>
            </w:r>
            <w:r>
              <w:rPr>
                <w:rFonts w:ascii="Times New Roman" w:cs="Times New Roman" w:hAnsi="Times New Roman" w:hint="eastAsia"/>
                <w:i w:val="0"/>
                <w:iCs w:val="0"/>
                <w:color w:val="000000"/>
                <w:kern w:val="0"/>
                <w:sz w:val="20"/>
                <w:szCs w:val="20"/>
                <w:u w:val="none"/>
                <w:lang w:val="en-US" w:eastAsia="zh-CN"/>
                <w:highlight w:val="auto"/>
              </w:rPr>
              <w:t>4</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年度</w:t>
            </w:r>
          </w:p>
        </w:tc>
        <w:tc>
          <w:tcPr>
            <w:tcW w:w="4494" w:type="dxa"/>
            <w:gridSpan w:val="4"/>
            <w:tcBorders>
              <w:top w:val="nil"/>
              <w:left w:val="nil"/>
              <w:bottom w:val="single" w:sz="4" w:space="0" w:color="auto"/>
              <w:right w:val="nil"/>
            </w:tcBorders>
            <w:noWrap/>
            <w:vAlign w:val="bottom"/>
          </w:tcPr>
          <w:p>
            <w:pPr>
              <w:jc w:val="right"/>
              <w:rPr>
                <w:rFonts w:ascii="宋体" w:eastAsia="宋体" w:cs="宋体"/>
                <w:i w:val="0"/>
                <w:iCs w:val="0"/>
                <w:color w:val="000000"/>
                <w:kern w:val="0"/>
                <w:sz w:val="20"/>
                <w:szCs w:val="20"/>
                <w:u w:val="none"/>
                <w:lang w:val="en-US" w:eastAsia="zh-CN"/>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金额单位：万元</w:t>
            </w:r>
          </w:p>
        </w:tc>
      </w:tr>
      <w:tr>
        <w:trPr>
          <w:trHeight w:val="308"/>
        </w:trPr>
        <w:tc>
          <w:tcPr>
            <w:tcW w:w="4035" w:type="dxa"/>
            <w:gridSpan w:val="3"/>
            <w:tcBorders>
              <w:top w:val="single" w:sz="4" w:space="0" w:color="auto"/>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收入</w:t>
            </w:r>
          </w:p>
        </w:tc>
        <w:tc>
          <w:tcPr>
            <w:tcW w:w="7674" w:type="dxa"/>
            <w:gridSpan w:val="8"/>
            <w:tcBorders>
              <w:top w:val="single" w:sz="4" w:space="0" w:color="auto"/>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支出</w:t>
            </w:r>
          </w:p>
        </w:tc>
      </w:tr>
      <w:tr>
        <w:trPr>
          <w:trHeight w:val="312"/>
        </w:trPr>
        <w:tc>
          <w:tcPr>
            <w:tcW w:w="1984" w:type="dxa"/>
            <w:vMerge w:val="restart"/>
            <w:tcBorders>
              <w:top w:val="nil"/>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项    目</w:t>
            </w:r>
          </w:p>
        </w:tc>
        <w:tc>
          <w:tcPr>
            <w:tcW w:w="624" w:type="dxa"/>
            <w:vMerge w:val="restart"/>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行次</w:t>
            </w:r>
          </w:p>
        </w:tc>
        <w:tc>
          <w:tcPr>
            <w:tcW w:w="1427" w:type="dxa"/>
            <w:vMerge w:val="restart"/>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金额</w:t>
            </w:r>
          </w:p>
        </w:tc>
        <w:tc>
          <w:tcPr>
            <w:tcW w:w="2098" w:type="dxa"/>
            <w:gridSpan w:val="2"/>
            <w:vMerge w:val="restart"/>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项目</w:t>
            </w:r>
          </w:p>
        </w:tc>
        <w:tc>
          <w:tcPr>
            <w:tcW w:w="624" w:type="dxa"/>
            <w:vMerge w:val="restart"/>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行次</w:t>
            </w:r>
          </w:p>
        </w:tc>
        <w:tc>
          <w:tcPr>
            <w:tcW w:w="1295" w:type="dxa"/>
            <w:gridSpan w:val="2"/>
            <w:vMerge w:val="restart"/>
            <w:tcBorders>
              <w:top w:val="nil"/>
              <w:left w:val="nil"/>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highlight w:val="auto"/>
              </w:rPr>
              <w:t>合计</w:t>
            </w:r>
          </w:p>
        </w:tc>
        <w:tc>
          <w:tcPr>
            <w:tcW w:w="1219" w:type="dxa"/>
            <w:vMerge w:val="restart"/>
            <w:tcBorders>
              <w:top w:val="nil"/>
              <w:left w:val="nil"/>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highlight w:val="auto"/>
              </w:rPr>
              <w:t>一般公共预算财政拨款</w:t>
            </w:r>
          </w:p>
        </w:tc>
        <w:tc>
          <w:tcPr>
            <w:tcW w:w="1219" w:type="dxa"/>
            <w:vMerge w:val="restart"/>
            <w:tcBorders>
              <w:top w:val="nil"/>
              <w:left w:val="nil"/>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highlight w:val="auto"/>
              </w:rPr>
              <w:t>政府性基金预算财政拨款</w:t>
            </w:r>
          </w:p>
        </w:tc>
        <w:tc>
          <w:tcPr>
            <w:tcW w:w="1219" w:type="dxa"/>
            <w:vMerge w:val="restart"/>
            <w:tcBorders>
              <w:top w:val="nil"/>
              <w:left w:val="nil"/>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highlight w:val="auto"/>
              </w:rPr>
              <w:t>国有资本经营预算财政拨款</w:t>
            </w:r>
          </w:p>
        </w:tc>
      </w:tr>
      <w:tr>
        <w:trPr>
          <w:trHeight w:val="312"/>
        </w:trPr>
        <w:tc>
          <w:tcPr>
            <w:tcW w:w="1984" w:type="dxa"/>
            <w:vMerge/>
            <w:tcBorders>
              <w:top w:val="nil"/>
              <w:left w:val="single" w:sz="4" w:space="0" w:color="000000"/>
              <w:bottom w:val="single" w:sz="4" w:space="0" w:color="000000"/>
              <w:right w:val="single" w:sz="4" w:space="0" w:color="000000"/>
            </w:tcBorders>
            <w:noWrap/>
            <w:vAlign w:val="center"/>
          </w:tcPr>
          <w:p/>
        </w:tc>
        <w:tc>
          <w:tcPr>
            <w:tcW w:w="624" w:type="dxa"/>
            <w:vMerge/>
            <w:tcBorders>
              <w:top w:val="nil"/>
              <w:left w:val="nil"/>
              <w:bottom w:val="single" w:sz="4" w:space="0" w:color="000000"/>
              <w:right w:val="single" w:sz="4" w:space="0" w:color="000000"/>
            </w:tcBorders>
            <w:noWrap/>
            <w:vAlign w:val="center"/>
          </w:tcPr>
          <w:p/>
        </w:tc>
        <w:tc>
          <w:tcPr>
            <w:tcW w:w="1427" w:type="dxa"/>
            <w:vMerge/>
            <w:tcBorders>
              <w:top w:val="nil"/>
              <w:left w:val="nil"/>
              <w:bottom w:val="single" w:sz="4" w:space="0" w:color="000000"/>
              <w:right w:val="single" w:sz="4" w:space="0" w:color="000000"/>
            </w:tcBorders>
            <w:noWrap/>
            <w:vAlign w:val="center"/>
          </w:tcPr>
          <w:p/>
        </w:tc>
        <w:tc>
          <w:tcPr>
            <w:tcW w:w="2098" w:type="dxa"/>
            <w:gridSpan w:val="2"/>
            <w:vMerge/>
            <w:tcBorders>
              <w:top w:val="nil"/>
              <w:left w:val="nil"/>
              <w:bottom w:val="single" w:sz="4" w:space="0" w:color="000000"/>
              <w:right w:val="single" w:sz="4" w:space="0" w:color="000000"/>
            </w:tcBorders>
            <w:noWrap/>
            <w:vAlign w:val="center"/>
          </w:tcPr>
          <w:p/>
        </w:tc>
        <w:tc>
          <w:tcPr>
            <w:tcW w:w="624" w:type="dxa"/>
            <w:vMerge/>
            <w:tcBorders>
              <w:top w:val="nil"/>
              <w:left w:val="nil"/>
              <w:bottom w:val="single" w:sz="4" w:space="0" w:color="000000"/>
              <w:right w:val="single" w:sz="4" w:space="0" w:color="000000"/>
            </w:tcBorders>
            <w:noWrap/>
            <w:vAlign w:val="center"/>
          </w:tcPr>
          <w:p/>
        </w:tc>
        <w:tc>
          <w:tcPr>
            <w:tcW w:w="1295" w:type="dxa"/>
            <w:gridSpan w:val="2"/>
            <w:vMerge/>
            <w:tcBorders>
              <w:left w:val="nil"/>
              <w:bottom w:val="single" w:sz="4" w:space="0" w:color="000000"/>
              <w:right w:val="single" w:sz="8" w:space="0" w:color="000000"/>
            </w:tcBorders>
            <w:noWrap/>
            <w:vAlign w:val="center"/>
          </w:tcPr>
          <w:p/>
        </w:tc>
        <w:tc>
          <w:tcPr>
            <w:tcW w:w="1219" w:type="dxa"/>
            <w:vMerge/>
            <w:tcBorders>
              <w:left w:val="nil"/>
              <w:bottom w:val="single" w:sz="4" w:space="0" w:color="000000"/>
              <w:right w:val="single" w:sz="8" w:space="0" w:color="000000"/>
            </w:tcBorders>
            <w:noWrap/>
            <w:vAlign w:val="center"/>
          </w:tcPr>
          <w:p/>
        </w:tc>
        <w:tc>
          <w:tcPr>
            <w:tcW w:w="1219" w:type="dxa"/>
            <w:vMerge/>
            <w:tcBorders>
              <w:left w:val="nil"/>
              <w:bottom w:val="single" w:sz="4" w:space="0" w:color="000000"/>
              <w:right w:val="single" w:sz="8" w:space="0" w:color="000000"/>
            </w:tcBorders>
            <w:noWrap/>
            <w:vAlign w:val="center"/>
          </w:tcPr>
          <w:p/>
        </w:tc>
        <w:tc>
          <w:tcPr>
            <w:tcW w:w="1219" w:type="dxa"/>
            <w:vMerge/>
            <w:tcBorders>
              <w:left w:val="nil"/>
              <w:bottom w:val="single" w:sz="4" w:space="0" w:color="000000"/>
              <w:right w:val="single" w:sz="8" w:space="0" w:color="000000"/>
            </w:tcBorders>
            <w:noWrap/>
            <w:vAlign w:val="center"/>
          </w:tcPr>
          <w:p/>
        </w:tc>
      </w:tr>
      <w:tr>
        <w:trPr>
          <w:trHeight w:val="308"/>
        </w:trPr>
        <w:tc>
          <w:tcPr>
            <w:tcW w:w="1984" w:type="dxa"/>
            <w:tcBorders>
              <w:top w:val="nil"/>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栏    次</w:t>
            </w:r>
          </w:p>
        </w:tc>
        <w:tc>
          <w:tcPr>
            <w:tcW w:w="624" w:type="dxa"/>
            <w:tcBorders>
              <w:top w:val="nil"/>
              <w:left w:val="nil"/>
              <w:bottom w:val="single" w:sz="4" w:space="0" w:color="000000"/>
              <w:right w:val="single" w:sz="4" w:space="0" w:color="000000"/>
            </w:tcBorders>
            <w:noWrap/>
            <w:vAlign w:val="center"/>
          </w:tcPr>
          <w:p>
            <w:pPr>
              <w:jc w:val="center"/>
              <w:rPr>
                <w:rFonts w:ascii="宋体" w:eastAsia="宋体" w:cs="宋体" w:hAnsi="宋体" w:hint="eastAsia"/>
                <w:i w:val="0"/>
                <w:iCs w:val="0"/>
                <w:color w:val="000000"/>
                <w:sz w:val="20"/>
                <w:szCs w:val="20"/>
                <w:u w:val="none"/>
                <w:highlight w:val="auto"/>
              </w:rPr>
            </w:pPr>
          </w:p>
        </w:tc>
        <w:tc>
          <w:tcPr>
            <w:tcW w:w="1427"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宋体" w:eastAsia="宋体" w:cs="宋体" w:hAnsi="宋体" w:hint="eastAsia"/>
                <w:i w:val="0"/>
                <w:iCs w:val="0"/>
                <w:color w:val="000000"/>
                <w:kern w:val="0"/>
                <w:sz w:val="20"/>
                <w:szCs w:val="20"/>
                <w:u w:val="none"/>
                <w:lang w:val="en-US" w:eastAsia="zh-CN"/>
                <w:highlight w:val="auto"/>
              </w:rPr>
              <w:t>1</w:t>
            </w:r>
          </w:p>
        </w:tc>
        <w:tc>
          <w:tcPr>
            <w:tcW w:w="2098" w:type="dxa"/>
            <w:gridSpan w:val="2"/>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栏    次</w:t>
            </w:r>
          </w:p>
        </w:tc>
        <w:tc>
          <w:tcPr>
            <w:tcW w:w="624" w:type="dxa"/>
            <w:tcBorders>
              <w:top w:val="nil"/>
              <w:left w:val="nil"/>
              <w:bottom w:val="single" w:sz="4" w:space="0" w:color="000000"/>
              <w:right w:val="single" w:sz="4" w:space="0" w:color="000000"/>
            </w:tcBorders>
            <w:noWrap/>
            <w:vAlign w:val="center"/>
          </w:tcPr>
          <w:p>
            <w:pPr>
              <w:jc w:val="center"/>
              <w:rPr>
                <w:rFonts w:ascii="宋体" w:eastAsia="宋体" w:cs="宋体" w:hAnsi="宋体" w:hint="eastAsia"/>
                <w:i w:val="0"/>
                <w:iCs w:val="0"/>
                <w:color w:val="000000"/>
                <w:sz w:val="20"/>
                <w:szCs w:val="20"/>
                <w:u w:val="none"/>
                <w:highlight w:val="auto"/>
              </w:rPr>
            </w:pPr>
          </w:p>
        </w:tc>
        <w:tc>
          <w:tcPr>
            <w:tcW w:w="1295" w:type="dxa"/>
            <w:gridSpan w:val="2"/>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宋体" w:eastAsia="宋体" w:cs="宋体" w:hAnsi="宋体" w:hint="eastAsia"/>
                <w:i w:val="0"/>
                <w:iCs w:val="0"/>
                <w:color w:val="000000"/>
                <w:kern w:val="0"/>
                <w:sz w:val="20"/>
                <w:szCs w:val="20"/>
                <w:u w:val="none"/>
                <w:lang w:val="en-US" w:eastAsia="zh-CN"/>
                <w:highlight w:val="auto"/>
              </w:rPr>
              <w:t>2</w:t>
            </w:r>
          </w:p>
        </w:tc>
        <w:tc>
          <w:tcPr>
            <w:tcW w:w="1219"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宋体" w:eastAsia="宋体" w:cs="宋体" w:hAnsi="宋体" w:hint="eastAsia"/>
                <w:i w:val="0"/>
                <w:iCs w:val="0"/>
                <w:color w:val="000000"/>
                <w:kern w:val="0"/>
                <w:sz w:val="20"/>
                <w:szCs w:val="20"/>
                <w:u w:val="none"/>
                <w:lang w:val="en-US" w:eastAsia="zh-CN"/>
                <w:highlight w:val="auto"/>
              </w:rPr>
              <w:t>3</w:t>
            </w:r>
          </w:p>
        </w:tc>
        <w:tc>
          <w:tcPr>
            <w:tcW w:w="1219"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宋体" w:eastAsia="宋体" w:cs="宋体" w:hAnsi="宋体" w:hint="eastAsia"/>
                <w:i w:val="0"/>
                <w:iCs w:val="0"/>
                <w:color w:val="000000"/>
                <w:kern w:val="0"/>
                <w:sz w:val="20"/>
                <w:szCs w:val="20"/>
                <w:u w:val="none"/>
                <w:lang w:val="en-US" w:eastAsia="zh-CN"/>
                <w:highlight w:val="auto"/>
              </w:rPr>
              <w:t>4</w:t>
            </w:r>
          </w:p>
        </w:tc>
        <w:tc>
          <w:tcPr>
            <w:tcW w:w="1219" w:type="dxa"/>
            <w:tcBorders>
              <w:top w:val="nil"/>
              <w:left w:val="nil"/>
              <w:bottom w:val="single" w:sz="4" w:space="0" w:color="000000"/>
              <w:right w:val="single" w:sz="8" w:space="0" w:color="000000"/>
            </w:tcBorders>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宋体" w:eastAsia="宋体" w:cs="宋体" w:hAnsi="宋体" w:hint="eastAsia"/>
                <w:i w:val="0"/>
                <w:iCs w:val="0"/>
                <w:color w:val="000000"/>
                <w:kern w:val="0"/>
                <w:sz w:val="20"/>
                <w:szCs w:val="20"/>
                <w:u w:val="none"/>
                <w:lang w:val="en-US" w:eastAsia="zh-CN"/>
                <w:highlight w:val="auto"/>
              </w:rPr>
              <w:t>5</w:t>
            </w:r>
          </w:p>
        </w:tc>
      </w:tr>
      <w:tr>
        <w:trPr>
          <w:trHeight w:val="308"/>
        </w:trPr>
        <w:tc>
          <w:tcPr>
            <w:tcW w:w="1984" w:type="dxa"/>
            <w:tcBorders>
              <w:top w:val="nil"/>
              <w:left w:val="single" w:sz="4" w:space="0" w:color="000000"/>
              <w:bottom w:val="single" w:sz="4" w:space="0" w:color="000000"/>
              <w:right w:val="single" w:sz="4"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一、一般公共预算财政拨款</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w:t>
            </w:r>
          </w:p>
        </w:tc>
        <w:tc>
          <w:tcPr>
            <w:tcW w:w="142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7,853.23</w:t>
            </w:r>
          </w:p>
        </w:tc>
        <w:tc>
          <w:tcPr>
            <w:tcW w:w="2098" w:type="dxa"/>
            <w:gridSpan w:val="2"/>
            <w:tcBorders>
              <w:top w:val="nil"/>
              <w:left w:val="nil"/>
              <w:bottom w:val="single" w:sz="4" w:space="0" w:color="000000"/>
              <w:right w:val="single" w:sz="4"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一、一般公共服务支出</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33</w:t>
            </w:r>
          </w:p>
        </w:tc>
        <w:tc>
          <w:tcPr>
            <w:tcW w:w="1295"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nil"/>
              <w:left w:val="nil"/>
              <w:bottom w:val="single" w:sz="4"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nil"/>
              <w:left w:val="single" w:sz="4" w:space="0" w:color="000000"/>
              <w:bottom w:val="single" w:sz="4" w:space="0" w:color="000000"/>
              <w:right w:val="single" w:sz="4"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二、政府性基金预算财政拨款</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w:t>
            </w:r>
          </w:p>
        </w:tc>
        <w:tc>
          <w:tcPr>
            <w:tcW w:w="142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nil"/>
              <w:left w:val="nil"/>
              <w:bottom w:val="single" w:sz="4" w:space="0" w:color="000000"/>
              <w:right w:val="single" w:sz="4"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二、外交支出</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34</w:t>
            </w:r>
          </w:p>
        </w:tc>
        <w:tc>
          <w:tcPr>
            <w:tcW w:w="1295"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nil"/>
              <w:left w:val="nil"/>
              <w:bottom w:val="single" w:sz="4"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nil"/>
              <w:left w:val="single" w:sz="4" w:space="0" w:color="000000"/>
              <w:bottom w:val="single" w:sz="4" w:space="0" w:color="000000"/>
              <w:right w:val="single" w:sz="4"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三、国有资本经营预算财政拨款</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3</w:t>
            </w:r>
          </w:p>
        </w:tc>
        <w:tc>
          <w:tcPr>
            <w:tcW w:w="142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nil"/>
              <w:left w:val="nil"/>
              <w:bottom w:val="single" w:sz="4" w:space="0" w:color="000000"/>
              <w:right w:val="single" w:sz="4"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三、国防支出</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35</w:t>
            </w:r>
          </w:p>
        </w:tc>
        <w:tc>
          <w:tcPr>
            <w:tcW w:w="1295"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nil"/>
              <w:left w:val="nil"/>
              <w:bottom w:val="single" w:sz="4"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nil"/>
              <w:left w:val="single" w:sz="4" w:space="0" w:color="000000"/>
              <w:bottom w:val="single" w:sz="4" w:space="0" w:color="000000"/>
              <w:right w:val="single" w:sz="4" w:space="0" w:color="000000"/>
            </w:tcBorders>
            <w:noWrap/>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4</w:t>
            </w:r>
          </w:p>
        </w:tc>
        <w:tc>
          <w:tcPr>
            <w:tcW w:w="142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nil"/>
              <w:left w:val="nil"/>
              <w:bottom w:val="single" w:sz="4" w:space="0" w:color="000000"/>
              <w:right w:val="single" w:sz="4"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四、公共安全支出</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36</w:t>
            </w:r>
          </w:p>
        </w:tc>
        <w:tc>
          <w:tcPr>
            <w:tcW w:w="1295"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nil"/>
              <w:left w:val="nil"/>
              <w:bottom w:val="single" w:sz="4"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nil"/>
              <w:left w:val="single" w:sz="4" w:space="0" w:color="000000"/>
              <w:bottom w:val="single" w:sz="4" w:space="0" w:color="000000"/>
              <w:right w:val="single" w:sz="4" w:space="0" w:color="000000"/>
            </w:tcBorders>
            <w:noWrap/>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5</w:t>
            </w:r>
          </w:p>
        </w:tc>
        <w:tc>
          <w:tcPr>
            <w:tcW w:w="142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nil"/>
              <w:left w:val="nil"/>
              <w:bottom w:val="single" w:sz="4" w:space="0" w:color="000000"/>
              <w:right w:val="single" w:sz="4"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五、教育支出</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37</w:t>
            </w:r>
          </w:p>
        </w:tc>
        <w:tc>
          <w:tcPr>
            <w:tcW w:w="1295"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nil"/>
              <w:left w:val="nil"/>
              <w:bottom w:val="single" w:sz="4"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nil"/>
              <w:left w:val="single" w:sz="4" w:space="0" w:color="000000"/>
              <w:bottom w:val="single" w:sz="4" w:space="0" w:color="000000"/>
              <w:right w:val="single" w:sz="4" w:space="0" w:color="000000"/>
            </w:tcBorders>
            <w:noWrap/>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6</w:t>
            </w:r>
          </w:p>
        </w:tc>
        <w:tc>
          <w:tcPr>
            <w:tcW w:w="142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nil"/>
              <w:left w:val="nil"/>
              <w:bottom w:val="single" w:sz="4" w:space="0" w:color="000000"/>
              <w:right w:val="single" w:sz="4"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六、科学技术支出</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38</w:t>
            </w:r>
          </w:p>
        </w:tc>
        <w:tc>
          <w:tcPr>
            <w:tcW w:w="1295"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nil"/>
              <w:left w:val="nil"/>
              <w:bottom w:val="single" w:sz="4"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nil"/>
              <w:left w:val="single" w:sz="4" w:space="0" w:color="000000"/>
              <w:bottom w:val="single" w:sz="4" w:space="0" w:color="000000"/>
              <w:right w:val="single" w:sz="4" w:space="0" w:color="000000"/>
            </w:tcBorders>
            <w:noWrap/>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7</w:t>
            </w:r>
          </w:p>
        </w:tc>
        <w:tc>
          <w:tcPr>
            <w:tcW w:w="142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nil"/>
              <w:left w:val="nil"/>
              <w:bottom w:val="single" w:sz="4" w:space="0" w:color="000000"/>
              <w:right w:val="single" w:sz="4"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七、文化旅游体育与传媒支出</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39</w:t>
            </w:r>
          </w:p>
        </w:tc>
        <w:tc>
          <w:tcPr>
            <w:tcW w:w="1295"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nil"/>
              <w:left w:val="nil"/>
              <w:bottom w:val="single" w:sz="4"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nil"/>
              <w:left w:val="single" w:sz="4" w:space="0" w:color="000000"/>
              <w:bottom w:val="single" w:sz="4" w:space="0" w:color="000000"/>
              <w:right w:val="single" w:sz="4" w:space="0" w:color="000000"/>
            </w:tcBorders>
            <w:noWrap/>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8</w:t>
            </w:r>
          </w:p>
        </w:tc>
        <w:tc>
          <w:tcPr>
            <w:tcW w:w="142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nil"/>
              <w:left w:val="nil"/>
              <w:bottom w:val="single" w:sz="4" w:space="0" w:color="000000"/>
              <w:right w:val="single" w:sz="4"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八、社会保障和就业支出</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40</w:t>
            </w:r>
          </w:p>
        </w:tc>
        <w:tc>
          <w:tcPr>
            <w:tcW w:w="1295"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nil"/>
              <w:left w:val="nil"/>
              <w:bottom w:val="single" w:sz="4"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nil"/>
              <w:left w:val="single" w:sz="4" w:space="0" w:color="000000"/>
              <w:bottom w:val="single" w:sz="4" w:space="0" w:color="000000"/>
              <w:right w:val="single" w:sz="4" w:space="0" w:color="000000"/>
            </w:tcBorders>
            <w:noWrap/>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9</w:t>
            </w:r>
          </w:p>
        </w:tc>
        <w:tc>
          <w:tcPr>
            <w:tcW w:w="142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nil"/>
              <w:left w:val="nil"/>
              <w:bottom w:val="single" w:sz="4" w:space="0" w:color="000000"/>
              <w:right w:val="single" w:sz="4"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九、卫生健康支出</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41</w:t>
            </w:r>
          </w:p>
        </w:tc>
        <w:tc>
          <w:tcPr>
            <w:tcW w:w="1295"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nil"/>
              <w:left w:val="nil"/>
              <w:bottom w:val="single" w:sz="4"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nil"/>
              <w:left w:val="single" w:sz="4" w:space="0" w:color="000000"/>
              <w:bottom w:val="single" w:sz="4" w:space="0" w:color="000000"/>
              <w:right w:val="single" w:sz="4" w:space="0" w:color="000000"/>
            </w:tcBorders>
            <w:noWrap/>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10</w:t>
            </w:r>
          </w:p>
        </w:tc>
        <w:tc>
          <w:tcPr>
            <w:tcW w:w="142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nil"/>
              <w:left w:val="nil"/>
              <w:bottom w:val="single" w:sz="4" w:space="0" w:color="000000"/>
              <w:right w:val="single" w:sz="4"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十、节能环保支出</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42</w:t>
            </w:r>
          </w:p>
        </w:tc>
        <w:tc>
          <w:tcPr>
            <w:tcW w:w="1295"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nil"/>
              <w:left w:val="nil"/>
              <w:bottom w:val="single" w:sz="4"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nil"/>
              <w:left w:val="single" w:sz="4" w:space="0" w:color="000000"/>
              <w:bottom w:val="single" w:sz="4" w:space="0" w:color="000000"/>
              <w:right w:val="single" w:sz="4" w:space="0" w:color="000000"/>
            </w:tcBorders>
            <w:noWrap/>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11</w:t>
            </w:r>
          </w:p>
        </w:tc>
        <w:tc>
          <w:tcPr>
            <w:tcW w:w="142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nil"/>
              <w:left w:val="nil"/>
              <w:bottom w:val="single" w:sz="4" w:space="0" w:color="000000"/>
              <w:right w:val="single" w:sz="4"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十一、城乡社区支出</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43</w:t>
            </w:r>
          </w:p>
        </w:tc>
        <w:tc>
          <w:tcPr>
            <w:tcW w:w="1295"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130.00</w:t>
            </w:r>
          </w:p>
        </w:tc>
        <w:tc>
          <w:tcPr>
            <w:tcW w:w="1219"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130.00</w:t>
            </w:r>
          </w:p>
        </w:tc>
        <w:tc>
          <w:tcPr>
            <w:tcW w:w="1219"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nil"/>
              <w:left w:val="nil"/>
              <w:bottom w:val="single" w:sz="4"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nil"/>
              <w:left w:val="single" w:sz="4" w:space="0" w:color="000000"/>
              <w:bottom w:val="single" w:sz="4" w:space="0" w:color="auto"/>
              <w:right w:val="single" w:sz="4" w:space="0" w:color="000000"/>
            </w:tcBorders>
            <w:noWrap/>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nil"/>
              <w:left w:val="nil"/>
              <w:bottom w:val="single" w:sz="4" w:space="0" w:color="auto"/>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12</w:t>
            </w:r>
          </w:p>
        </w:tc>
        <w:tc>
          <w:tcPr>
            <w:tcW w:w="1427" w:type="dxa"/>
            <w:tcBorders>
              <w:top w:val="nil"/>
              <w:left w:val="nil"/>
              <w:bottom w:val="single" w:sz="4" w:space="0" w:color="auto"/>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nil"/>
              <w:left w:val="nil"/>
              <w:bottom w:val="single" w:sz="4" w:space="0" w:color="auto"/>
              <w:right w:val="single" w:sz="4"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十二、农林水支出</w:t>
            </w:r>
          </w:p>
        </w:tc>
        <w:tc>
          <w:tcPr>
            <w:tcW w:w="624" w:type="dxa"/>
            <w:tcBorders>
              <w:top w:val="nil"/>
              <w:left w:val="nil"/>
              <w:bottom w:val="single" w:sz="4" w:space="0" w:color="auto"/>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44</w:t>
            </w:r>
          </w:p>
        </w:tc>
        <w:tc>
          <w:tcPr>
            <w:tcW w:w="1295" w:type="dxa"/>
            <w:gridSpan w:val="2"/>
            <w:tcBorders>
              <w:top w:val="nil"/>
              <w:left w:val="nil"/>
              <w:bottom w:val="single" w:sz="4" w:space="0" w:color="auto"/>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1,849.49</w:t>
            </w:r>
          </w:p>
        </w:tc>
        <w:tc>
          <w:tcPr>
            <w:tcW w:w="1219" w:type="dxa"/>
            <w:tcBorders>
              <w:top w:val="nil"/>
              <w:left w:val="nil"/>
              <w:bottom w:val="single" w:sz="4" w:space="0" w:color="auto"/>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1,849.49</w:t>
            </w:r>
          </w:p>
        </w:tc>
        <w:tc>
          <w:tcPr>
            <w:tcW w:w="1219" w:type="dxa"/>
            <w:tcBorders>
              <w:top w:val="nil"/>
              <w:left w:val="nil"/>
              <w:bottom w:val="single" w:sz="4" w:space="0" w:color="auto"/>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nil"/>
              <w:left w:val="nil"/>
              <w:bottom w:val="single" w:sz="4" w:space="0" w:color="auto"/>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4" w:space="0" w:color="auto"/>
              <w:left w:val="single" w:sz="4" w:space="0" w:color="auto"/>
              <w:bottom w:val="single" w:sz="4" w:space="0" w:color="auto"/>
              <w:right w:val="single" w:sz="4" w:space="0" w:color="auto"/>
            </w:tcBorders>
            <w:noWrap/>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13</w:t>
            </w:r>
          </w:p>
        </w:tc>
        <w:tc>
          <w:tcPr>
            <w:tcW w:w="1427"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十三、交通运输支出</w:t>
            </w:r>
          </w:p>
        </w:tc>
        <w:tc>
          <w:tcPr>
            <w:tcW w:w="62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45</w:t>
            </w:r>
          </w:p>
        </w:tc>
        <w:tc>
          <w:tcPr>
            <w:tcW w:w="1295"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5,366.74</w:t>
            </w:r>
          </w:p>
        </w:tc>
        <w:tc>
          <w:tcPr>
            <w:tcW w:w="1219"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5,366.74</w:t>
            </w:r>
          </w:p>
        </w:tc>
        <w:tc>
          <w:tcPr>
            <w:tcW w:w="1219"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4" w:space="0" w:color="auto"/>
              <w:left w:val="single" w:sz="4" w:space="0" w:color="auto"/>
              <w:bottom w:val="single" w:sz="4" w:space="0" w:color="auto"/>
              <w:right w:val="single" w:sz="4" w:space="0" w:color="auto"/>
            </w:tcBorders>
            <w:noWrap/>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14</w:t>
            </w:r>
          </w:p>
        </w:tc>
        <w:tc>
          <w:tcPr>
            <w:tcW w:w="1427"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十四、资源勘探工业信息等支出</w:t>
            </w:r>
          </w:p>
        </w:tc>
        <w:tc>
          <w:tcPr>
            <w:tcW w:w="62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46</w:t>
            </w:r>
          </w:p>
        </w:tc>
        <w:tc>
          <w:tcPr>
            <w:tcW w:w="1295"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4" w:space="0" w:color="auto"/>
              <w:left w:val="single" w:sz="4" w:space="0" w:color="auto"/>
              <w:bottom w:val="single" w:sz="4" w:space="0" w:color="auto"/>
              <w:right w:val="single" w:sz="4" w:space="0" w:color="auto"/>
            </w:tcBorders>
            <w:noWrap/>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15</w:t>
            </w:r>
          </w:p>
        </w:tc>
        <w:tc>
          <w:tcPr>
            <w:tcW w:w="1427"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十五、商业服务业等支出</w:t>
            </w:r>
          </w:p>
        </w:tc>
        <w:tc>
          <w:tcPr>
            <w:tcW w:w="62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47</w:t>
            </w:r>
          </w:p>
        </w:tc>
        <w:tc>
          <w:tcPr>
            <w:tcW w:w="1295"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4" w:space="0" w:color="auto"/>
              <w:left w:val="single" w:sz="4" w:space="0" w:color="auto"/>
              <w:bottom w:val="single" w:sz="4" w:space="0" w:color="auto"/>
              <w:right w:val="single" w:sz="4" w:space="0" w:color="auto"/>
            </w:tcBorders>
            <w:noWrap/>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16</w:t>
            </w:r>
          </w:p>
        </w:tc>
        <w:tc>
          <w:tcPr>
            <w:tcW w:w="1427"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十六、金融支出</w:t>
            </w:r>
          </w:p>
        </w:tc>
        <w:tc>
          <w:tcPr>
            <w:tcW w:w="62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48</w:t>
            </w:r>
          </w:p>
        </w:tc>
        <w:tc>
          <w:tcPr>
            <w:tcW w:w="1295"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4" w:space="0" w:color="auto"/>
              <w:left w:val="single" w:sz="4" w:space="0" w:color="auto"/>
              <w:bottom w:val="single" w:sz="4" w:space="0" w:color="auto"/>
              <w:right w:val="single" w:sz="4" w:space="0" w:color="auto"/>
            </w:tcBorders>
            <w:noWrap/>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17</w:t>
            </w:r>
          </w:p>
        </w:tc>
        <w:tc>
          <w:tcPr>
            <w:tcW w:w="1427"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十七、援助其他地区支出</w:t>
            </w:r>
          </w:p>
        </w:tc>
        <w:tc>
          <w:tcPr>
            <w:tcW w:w="62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49</w:t>
            </w:r>
          </w:p>
        </w:tc>
        <w:tc>
          <w:tcPr>
            <w:tcW w:w="1295"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4" w:space="0" w:color="auto"/>
              <w:left w:val="single" w:sz="4" w:space="0" w:color="auto"/>
              <w:bottom w:val="single" w:sz="4" w:space="0" w:color="auto"/>
              <w:right w:val="single" w:sz="4" w:space="0" w:color="auto"/>
            </w:tcBorders>
            <w:noWrap/>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18</w:t>
            </w:r>
          </w:p>
        </w:tc>
        <w:tc>
          <w:tcPr>
            <w:tcW w:w="1427"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十八、自然资源海洋气象等支出</w:t>
            </w:r>
          </w:p>
        </w:tc>
        <w:tc>
          <w:tcPr>
            <w:tcW w:w="62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50</w:t>
            </w:r>
          </w:p>
        </w:tc>
        <w:tc>
          <w:tcPr>
            <w:tcW w:w="1295"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4" w:space="0" w:color="auto"/>
              <w:left w:val="single" w:sz="4" w:space="0" w:color="auto"/>
              <w:bottom w:val="single" w:sz="4" w:space="0" w:color="auto"/>
              <w:right w:val="single" w:sz="4" w:space="0" w:color="auto"/>
            </w:tcBorders>
            <w:noWrap/>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19</w:t>
            </w:r>
          </w:p>
        </w:tc>
        <w:tc>
          <w:tcPr>
            <w:tcW w:w="1427"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十九、住房保障支出</w:t>
            </w:r>
          </w:p>
        </w:tc>
        <w:tc>
          <w:tcPr>
            <w:tcW w:w="62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51</w:t>
            </w:r>
          </w:p>
        </w:tc>
        <w:tc>
          <w:tcPr>
            <w:tcW w:w="1295"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4" w:space="0" w:color="auto"/>
              <w:left w:val="single" w:sz="4" w:space="0" w:color="auto"/>
              <w:bottom w:val="single" w:sz="4" w:space="0" w:color="auto"/>
              <w:right w:val="single" w:sz="4" w:space="0" w:color="auto"/>
            </w:tcBorders>
            <w:noWrap/>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20</w:t>
            </w:r>
          </w:p>
        </w:tc>
        <w:tc>
          <w:tcPr>
            <w:tcW w:w="1427"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二十、粮油物资储备支出</w:t>
            </w:r>
          </w:p>
        </w:tc>
        <w:tc>
          <w:tcPr>
            <w:tcW w:w="62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52</w:t>
            </w:r>
          </w:p>
        </w:tc>
        <w:tc>
          <w:tcPr>
            <w:tcW w:w="1295"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4" w:space="0" w:color="auto"/>
              <w:left w:val="single" w:sz="4" w:space="0" w:color="auto"/>
              <w:bottom w:val="single" w:sz="4" w:space="0" w:color="auto"/>
              <w:right w:val="single" w:sz="4" w:space="0" w:color="auto"/>
            </w:tcBorders>
            <w:noWrap/>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21</w:t>
            </w:r>
          </w:p>
        </w:tc>
        <w:tc>
          <w:tcPr>
            <w:tcW w:w="1427"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二十一、国有资本经营预算支出</w:t>
            </w:r>
          </w:p>
        </w:tc>
        <w:tc>
          <w:tcPr>
            <w:tcW w:w="62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53</w:t>
            </w:r>
          </w:p>
        </w:tc>
        <w:tc>
          <w:tcPr>
            <w:tcW w:w="1295"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4" w:space="0" w:color="auto"/>
              <w:left w:val="single" w:sz="4" w:space="0" w:color="auto"/>
              <w:bottom w:val="single" w:sz="4" w:space="0" w:color="auto"/>
              <w:right w:val="single" w:sz="4" w:space="0" w:color="auto"/>
            </w:tcBorders>
            <w:noWrap/>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22</w:t>
            </w:r>
          </w:p>
        </w:tc>
        <w:tc>
          <w:tcPr>
            <w:tcW w:w="1427"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二十二、灾害防治及应急管理支出</w:t>
            </w:r>
          </w:p>
        </w:tc>
        <w:tc>
          <w:tcPr>
            <w:tcW w:w="62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54</w:t>
            </w:r>
          </w:p>
        </w:tc>
        <w:tc>
          <w:tcPr>
            <w:tcW w:w="1295"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507.00</w:t>
            </w:r>
          </w:p>
        </w:tc>
        <w:tc>
          <w:tcPr>
            <w:tcW w:w="1219"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507.00</w:t>
            </w:r>
          </w:p>
        </w:tc>
        <w:tc>
          <w:tcPr>
            <w:tcW w:w="1219"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4" w:space="0" w:color="auto"/>
              <w:left w:val="single" w:sz="4" w:space="0" w:color="auto"/>
              <w:bottom w:val="single" w:sz="4" w:space="0" w:color="auto"/>
              <w:right w:val="single" w:sz="4" w:space="0" w:color="auto"/>
            </w:tcBorders>
            <w:noWrap/>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23</w:t>
            </w:r>
          </w:p>
        </w:tc>
        <w:tc>
          <w:tcPr>
            <w:tcW w:w="1427"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二十三、其他支出</w:t>
            </w:r>
          </w:p>
        </w:tc>
        <w:tc>
          <w:tcPr>
            <w:tcW w:w="62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55</w:t>
            </w:r>
          </w:p>
        </w:tc>
        <w:tc>
          <w:tcPr>
            <w:tcW w:w="1295"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4" w:space="0" w:color="auto"/>
              <w:left w:val="single" w:sz="4" w:space="0" w:color="000000"/>
              <w:bottom w:val="single" w:sz="4" w:space="0" w:color="000000"/>
              <w:right w:val="single" w:sz="4" w:space="0" w:color="000000"/>
            </w:tcBorders>
            <w:noWrap/>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4" w:space="0" w:color="auto"/>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24</w:t>
            </w:r>
          </w:p>
        </w:tc>
        <w:tc>
          <w:tcPr>
            <w:tcW w:w="1427" w:type="dxa"/>
            <w:tcBorders>
              <w:top w:val="single" w:sz="4" w:space="0" w:color="auto"/>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4" w:space="0" w:color="auto"/>
              <w:left w:val="nil"/>
              <w:bottom w:val="single" w:sz="4" w:space="0" w:color="000000"/>
              <w:right w:val="single" w:sz="4"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二十四、债务还本支出</w:t>
            </w:r>
          </w:p>
        </w:tc>
        <w:tc>
          <w:tcPr>
            <w:tcW w:w="624" w:type="dxa"/>
            <w:tcBorders>
              <w:top w:val="single" w:sz="4" w:space="0" w:color="auto"/>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56</w:t>
            </w:r>
          </w:p>
        </w:tc>
        <w:tc>
          <w:tcPr>
            <w:tcW w:w="1295" w:type="dxa"/>
            <w:gridSpan w:val="2"/>
            <w:tcBorders>
              <w:top w:val="single" w:sz="4" w:space="0" w:color="auto"/>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4" w:space="0" w:color="auto"/>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4" w:space="0" w:color="auto"/>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4" w:space="0" w:color="auto"/>
              <w:left w:val="nil"/>
              <w:bottom w:val="single" w:sz="4"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nil"/>
              <w:left w:val="single" w:sz="4" w:space="0" w:color="000000"/>
              <w:bottom w:val="single" w:sz="4" w:space="0" w:color="000000"/>
              <w:right w:val="single" w:sz="4" w:space="0" w:color="000000"/>
            </w:tcBorders>
            <w:noWrap/>
            <w:vAlign w:val="center"/>
          </w:tcPr>
          <w:p>
            <w:pPr>
              <w:jc w:val="center"/>
              <w:rPr>
                <w:rFonts w:ascii="宋体" w:eastAsia="宋体" w:cs="宋体" w:hAnsi="宋体" w:hint="eastAsia"/>
                <w:b/>
                <w:bCs/>
                <w:i w:val="0"/>
                <w:iCs w:val="0"/>
                <w:color w:val="000000"/>
                <w:sz w:val="20"/>
                <w:szCs w:val="20"/>
                <w:u w:val="none"/>
                <w:highlight w:val="auto"/>
              </w:rPr>
            </w:pP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25</w:t>
            </w:r>
          </w:p>
        </w:tc>
        <w:tc>
          <w:tcPr>
            <w:tcW w:w="142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nil"/>
              <w:left w:val="nil"/>
              <w:bottom w:val="single" w:sz="4" w:space="0" w:color="000000"/>
              <w:right w:val="single" w:sz="4"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二十五、债务付息支出</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57</w:t>
            </w:r>
          </w:p>
        </w:tc>
        <w:tc>
          <w:tcPr>
            <w:tcW w:w="1295"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nil"/>
              <w:left w:val="nil"/>
              <w:bottom w:val="single" w:sz="4"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nil"/>
              <w:left w:val="single" w:sz="4" w:space="0" w:color="000000"/>
              <w:bottom w:val="single" w:sz="4" w:space="0" w:color="000000"/>
              <w:right w:val="single" w:sz="4" w:space="0" w:color="000000"/>
            </w:tcBorders>
            <w:noWrap/>
            <w:vAlign w:val="center"/>
          </w:tcPr>
          <w:p>
            <w:pPr>
              <w:jc w:val="center"/>
              <w:rPr>
                <w:rFonts w:ascii="宋体" w:eastAsia="宋体" w:cs="宋体" w:hAnsi="宋体" w:hint="eastAsia"/>
                <w:i w:val="0"/>
                <w:iCs w:val="0"/>
                <w:color w:val="000000"/>
                <w:sz w:val="20"/>
                <w:szCs w:val="20"/>
                <w:u w:val="none"/>
                <w:highlight w:val="auto"/>
              </w:rPr>
            </w:pP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26</w:t>
            </w:r>
          </w:p>
        </w:tc>
        <w:tc>
          <w:tcPr>
            <w:tcW w:w="142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nil"/>
              <w:left w:val="nil"/>
              <w:bottom w:val="single" w:sz="4" w:space="0" w:color="000000"/>
              <w:right w:val="single" w:sz="4"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二十六、抗疫特别国债安排的支出</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58</w:t>
            </w:r>
          </w:p>
        </w:tc>
        <w:tc>
          <w:tcPr>
            <w:tcW w:w="1295"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nil"/>
              <w:left w:val="nil"/>
              <w:bottom w:val="single" w:sz="4"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nil"/>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b/>
                <w:bCs/>
                <w:i w:val="0"/>
                <w:iCs w:val="0"/>
                <w:color w:val="000000"/>
                <w:sz w:val="20"/>
                <w:szCs w:val="20"/>
                <w:u w:val="none"/>
                <w:highlight w:val="auto"/>
              </w:rPr>
            </w:pPr>
            <w:r>
              <w:rPr>
                <w:rFonts w:ascii="方正仿宋_GB2312" w:eastAsia="方正仿宋_GB2312" w:cs="方正仿宋_GB2312" w:hAnsi="方正仿宋_GB2312" w:hint="eastAsia"/>
                <w:b/>
                <w:bCs/>
                <w:i w:val="0"/>
                <w:iCs w:val="0"/>
                <w:color w:val="000000"/>
                <w:kern w:val="0"/>
                <w:sz w:val="20"/>
                <w:szCs w:val="20"/>
                <w:u w:val="none"/>
                <w:lang w:val="en-US" w:eastAsia="zh-CN"/>
                <w:highlight w:val="auto"/>
              </w:rPr>
              <w:t>本年收入合计</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27</w:t>
            </w:r>
          </w:p>
        </w:tc>
        <w:tc>
          <w:tcPr>
            <w:tcW w:w="142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7,853.23</w:t>
            </w:r>
          </w:p>
        </w:tc>
        <w:tc>
          <w:tcPr>
            <w:tcW w:w="2098" w:type="dxa"/>
            <w:gridSpan w:val="2"/>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b/>
                <w:bCs/>
                <w:i w:val="0"/>
                <w:iCs w:val="0"/>
                <w:color w:val="000000"/>
                <w:sz w:val="20"/>
                <w:szCs w:val="20"/>
                <w:u w:val="none"/>
                <w:highlight w:val="auto"/>
              </w:rPr>
            </w:pPr>
            <w:r>
              <w:rPr>
                <w:rFonts w:ascii="方正仿宋_GB2312" w:eastAsia="方正仿宋_GB2312" w:cs="方正仿宋_GB2312" w:hAnsi="方正仿宋_GB2312" w:hint="eastAsia"/>
                <w:b/>
                <w:bCs/>
                <w:i w:val="0"/>
                <w:iCs w:val="0"/>
                <w:color w:val="000000"/>
                <w:kern w:val="0"/>
                <w:sz w:val="20"/>
                <w:szCs w:val="20"/>
                <w:u w:val="none"/>
                <w:lang w:val="en-US" w:eastAsia="zh-CN"/>
                <w:highlight w:val="auto"/>
              </w:rPr>
              <w:t>本年支出合计</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59</w:t>
            </w:r>
          </w:p>
        </w:tc>
        <w:tc>
          <w:tcPr>
            <w:tcW w:w="1295"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7,853.23</w:t>
            </w:r>
          </w:p>
        </w:tc>
        <w:tc>
          <w:tcPr>
            <w:tcW w:w="1219"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7,853.23</w:t>
            </w:r>
          </w:p>
        </w:tc>
        <w:tc>
          <w:tcPr>
            <w:tcW w:w="1219"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nil"/>
              <w:left w:val="nil"/>
              <w:bottom w:val="single" w:sz="4"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nil"/>
              <w:left w:val="single" w:sz="4" w:space="0" w:color="000000"/>
              <w:bottom w:val="single" w:sz="4" w:space="0" w:color="000000"/>
              <w:right w:val="single" w:sz="4"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年初财政拨款结转和结余</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28</w:t>
            </w:r>
          </w:p>
        </w:tc>
        <w:tc>
          <w:tcPr>
            <w:tcW w:w="142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nil"/>
              <w:left w:val="nil"/>
              <w:bottom w:val="single" w:sz="4" w:space="0" w:color="000000"/>
              <w:right w:val="single" w:sz="4"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年末财政拨款结转和结余</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60</w:t>
            </w:r>
          </w:p>
        </w:tc>
        <w:tc>
          <w:tcPr>
            <w:tcW w:w="1295"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nil"/>
              <w:left w:val="nil"/>
              <w:bottom w:val="single" w:sz="4" w:space="0" w:color="000000"/>
              <w:right w:val="single" w:sz="4" w:space="0" w:color="000000"/>
            </w:tcBorders>
            <w:noWrap/>
            <w:vAlign w:val="center"/>
          </w:tcPr>
          <w:p>
            <w:pPr>
              <w:jc w:val="both"/>
              <w:rPr>
                <w:rFonts w:ascii="Times New Roman" w:eastAsia="宋体" w:cs="Times New Roman" w:hAnsi="Times New Roman"/>
                <w:i w:val="0"/>
                <w:iCs w:val="0"/>
                <w:color w:val="000000"/>
                <w:sz w:val="20"/>
                <w:szCs w:val="20"/>
                <w:u w:val="none"/>
                <w:highlight w:val="auto"/>
              </w:rPr>
            </w:pPr>
          </w:p>
        </w:tc>
        <w:tc>
          <w:tcPr>
            <w:tcW w:w="1219"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nil"/>
              <w:left w:val="nil"/>
              <w:bottom w:val="single" w:sz="4" w:space="0" w:color="000000"/>
              <w:right w:val="single" w:sz="8" w:space="0" w:color="000000"/>
            </w:tcBorders>
            <w:noWrap/>
            <w:vAlign w:val="center"/>
          </w:tcPr>
          <w:p>
            <w:pPr>
              <w:jc w:val="both"/>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nil"/>
              <w:left w:val="single" w:sz="4" w:space="0" w:color="000000"/>
              <w:bottom w:val="single" w:sz="4" w:space="0" w:color="000000"/>
              <w:right w:val="single" w:sz="4"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一、一般公共预算财政拨款</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29</w:t>
            </w:r>
          </w:p>
        </w:tc>
        <w:tc>
          <w:tcPr>
            <w:tcW w:w="142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nil"/>
              <w:left w:val="nil"/>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61</w:t>
            </w:r>
          </w:p>
        </w:tc>
        <w:tc>
          <w:tcPr>
            <w:tcW w:w="1295"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nil"/>
              <w:left w:val="nil"/>
              <w:bottom w:val="single" w:sz="4" w:space="0" w:color="000000"/>
              <w:right w:val="single" w:sz="8" w:space="0" w:color="000000"/>
            </w:tcBorders>
            <w:noWrap/>
            <w:vAlign w:val="center"/>
          </w:tcPr>
          <w:p>
            <w:pPr>
              <w:jc w:val="lef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nil"/>
              <w:left w:val="single" w:sz="4" w:space="0" w:color="000000"/>
              <w:bottom w:val="single" w:sz="4" w:space="0" w:color="000000"/>
              <w:right w:val="single" w:sz="4"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二、政府性基金预算财政拨款</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30</w:t>
            </w:r>
          </w:p>
        </w:tc>
        <w:tc>
          <w:tcPr>
            <w:tcW w:w="142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nil"/>
              <w:left w:val="nil"/>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62</w:t>
            </w:r>
          </w:p>
        </w:tc>
        <w:tc>
          <w:tcPr>
            <w:tcW w:w="1295"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nil"/>
              <w:left w:val="nil"/>
              <w:bottom w:val="single" w:sz="4" w:space="0" w:color="000000"/>
              <w:right w:val="single" w:sz="8" w:space="0" w:color="000000"/>
            </w:tcBorders>
            <w:noWrap/>
            <w:vAlign w:val="center"/>
          </w:tcPr>
          <w:p>
            <w:pPr>
              <w:jc w:val="lef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nil"/>
              <w:left w:val="single" w:sz="4" w:space="0" w:color="000000"/>
              <w:bottom w:val="single" w:sz="4" w:space="0" w:color="000000"/>
              <w:right w:val="single" w:sz="4" w:space="0" w:color="000000"/>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三、国有资本经营预算财政拨款</w:t>
            </w: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31</w:t>
            </w:r>
          </w:p>
        </w:tc>
        <w:tc>
          <w:tcPr>
            <w:tcW w:w="142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nil"/>
              <w:left w:val="nil"/>
              <w:bottom w:val="single" w:sz="4" w:space="0" w:color="000000"/>
              <w:right w:val="single" w:sz="4" w:space="0" w:color="000000"/>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p>
        </w:tc>
        <w:tc>
          <w:tcPr>
            <w:tcW w:w="62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63</w:t>
            </w:r>
          </w:p>
        </w:tc>
        <w:tc>
          <w:tcPr>
            <w:tcW w:w="1295"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nil"/>
              <w:left w:val="nil"/>
              <w:bottom w:val="single" w:sz="4" w:space="0" w:color="000000"/>
              <w:right w:val="single" w:sz="8" w:space="0" w:color="000000"/>
            </w:tcBorders>
            <w:noWrap/>
            <w:vAlign w:val="center"/>
          </w:tcPr>
          <w:p>
            <w:pPr>
              <w:jc w:val="lef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nil"/>
              <w:left w:val="single" w:sz="4" w:space="0" w:color="000000"/>
              <w:bottom w:val="single" w:sz="8"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b/>
                <w:bCs/>
                <w:i w:val="0"/>
                <w:iCs w:val="0"/>
                <w:color w:val="000000"/>
                <w:sz w:val="20"/>
                <w:szCs w:val="20"/>
                <w:u w:val="none"/>
                <w:highlight w:val="auto"/>
              </w:rPr>
            </w:pPr>
            <w:r>
              <w:rPr>
                <w:rFonts w:ascii="方正仿宋_GB2312" w:eastAsia="方正仿宋_GB2312" w:cs="方正仿宋_GB2312" w:hAnsi="方正仿宋_GB2312" w:hint="eastAsia"/>
                <w:b/>
                <w:bCs/>
                <w:i w:val="0"/>
                <w:iCs w:val="0"/>
                <w:color w:val="000000"/>
                <w:kern w:val="0"/>
                <w:sz w:val="20"/>
                <w:szCs w:val="20"/>
                <w:u w:val="none"/>
                <w:lang w:val="en-US" w:eastAsia="zh-CN"/>
                <w:highlight w:val="auto"/>
              </w:rPr>
              <w:t>总计</w:t>
            </w:r>
          </w:p>
        </w:tc>
        <w:tc>
          <w:tcPr>
            <w:tcW w:w="624" w:type="dxa"/>
            <w:tcBorders>
              <w:top w:val="nil"/>
              <w:left w:val="nil"/>
              <w:bottom w:val="single" w:sz="8"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32</w:t>
            </w:r>
          </w:p>
        </w:tc>
        <w:tc>
          <w:tcPr>
            <w:tcW w:w="1427" w:type="dxa"/>
            <w:tcBorders>
              <w:top w:val="nil"/>
              <w:left w:val="nil"/>
              <w:bottom w:val="single" w:sz="8"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7,853.23</w:t>
            </w:r>
          </w:p>
        </w:tc>
        <w:tc>
          <w:tcPr>
            <w:tcW w:w="2098" w:type="dxa"/>
            <w:gridSpan w:val="2"/>
            <w:tcBorders>
              <w:top w:val="nil"/>
              <w:left w:val="nil"/>
              <w:bottom w:val="single" w:sz="8"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b/>
                <w:bCs/>
                <w:i w:val="0"/>
                <w:iCs w:val="0"/>
                <w:color w:val="000000"/>
                <w:sz w:val="20"/>
                <w:szCs w:val="20"/>
                <w:u w:val="none"/>
                <w:highlight w:val="auto"/>
              </w:rPr>
            </w:pPr>
            <w:r>
              <w:rPr>
                <w:rFonts w:ascii="方正仿宋_GB2312" w:eastAsia="方正仿宋_GB2312" w:cs="方正仿宋_GB2312" w:hAnsi="方正仿宋_GB2312" w:hint="eastAsia"/>
                <w:b/>
                <w:bCs/>
                <w:i w:val="0"/>
                <w:iCs w:val="0"/>
                <w:color w:val="000000"/>
                <w:kern w:val="0"/>
                <w:sz w:val="20"/>
                <w:szCs w:val="20"/>
                <w:u w:val="none"/>
                <w:lang w:val="en-US" w:eastAsia="zh-CN"/>
                <w:highlight w:val="auto"/>
              </w:rPr>
              <w:t>总计</w:t>
            </w:r>
          </w:p>
        </w:tc>
        <w:tc>
          <w:tcPr>
            <w:tcW w:w="624" w:type="dxa"/>
            <w:tcBorders>
              <w:top w:val="nil"/>
              <w:left w:val="nil"/>
              <w:bottom w:val="single" w:sz="8" w:space="0" w:color="000000"/>
              <w:right w:val="single" w:sz="4" w:space="0" w:color="000000"/>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64</w:t>
            </w:r>
          </w:p>
        </w:tc>
        <w:tc>
          <w:tcPr>
            <w:tcW w:w="1295" w:type="dxa"/>
            <w:gridSpan w:val="2"/>
            <w:tcBorders>
              <w:top w:val="nil"/>
              <w:left w:val="nil"/>
              <w:bottom w:val="single" w:sz="8"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7,853.23</w:t>
            </w:r>
          </w:p>
        </w:tc>
        <w:tc>
          <w:tcPr>
            <w:tcW w:w="1219" w:type="dxa"/>
            <w:tcBorders>
              <w:top w:val="nil"/>
              <w:left w:val="nil"/>
              <w:bottom w:val="single" w:sz="8" w:space="0" w:color="000000"/>
              <w:right w:val="single" w:sz="4" w:space="0" w:color="000000"/>
            </w:tcBorders>
            <w:noWrap/>
            <w:vAlign w:val="center"/>
          </w:tcPr>
          <w:p>
            <w:pPr>
              <w:jc w:val="right"/>
              <w:rPr>
                <w:rFonts w:ascii="Times New Roman" w:cs="Times New Roman" w:hAnsi="Times New Roman"/>
                <w:sz w:val="20"/>
                <w:szCs w:val="20"/>
                <w:highlight w:val="auto"/>
              </w:rPr>
            </w:pPr>
          </w:p>
          <w:p>
            <w:pPr>
              <w:jc w:val="right"/>
              <w:rPr>
                <w:rFonts w:ascii="Times New Roman" w:cs="Times New Roman" w:hAnsi="Times New Roman"/>
                <w:sz w:val="20"/>
                <w:szCs w:val="20"/>
                <w:highlight w:val="auto"/>
              </w:rPr>
            </w:pPr>
            <w:r>
              <w:rPr>
                <w:rFonts w:ascii="Times New Roman" w:cs="Times New Roman" w:hAnsi="Times New Roman"/>
                <w:sz w:val="20"/>
                <w:szCs w:val="20"/>
                <w:highlight w:val="auto"/>
              </w:rPr>
              <w:t>7,853.23</w:t>
            </w:r>
          </w:p>
          <w:p>
            <w:pPr>
              <w:jc w:val="right"/>
              <w:rPr>
                <w:rFonts w:ascii="Times New Roman" w:eastAsia="宋体" w:cs="Times New Roman" w:hAnsi="Times New Roman"/>
                <w:i w:val="0"/>
                <w:iCs w:val="0"/>
                <w:color w:val="000000"/>
                <w:sz w:val="20"/>
                <w:szCs w:val="20"/>
                <w:u w:val="none"/>
                <w:highlight w:val="auto"/>
              </w:rPr>
            </w:pPr>
          </w:p>
        </w:tc>
        <w:tc>
          <w:tcPr>
            <w:tcW w:w="1219" w:type="dxa"/>
            <w:tcBorders>
              <w:top w:val="nil"/>
              <w:left w:val="nil"/>
              <w:bottom w:val="single" w:sz="8"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nil"/>
              <w:left w:val="nil"/>
              <w:bottom w:val="single" w:sz="8" w:space="0" w:color="000000"/>
              <w:right w:val="single" w:sz="8"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1709" w:type="dxa"/>
            <w:gridSpan w:val="11"/>
            <w:tcBorders>
              <w:top w:val="nil"/>
              <w:left w:val="nil"/>
              <w:bottom w:val="nil"/>
              <w:right w:val="nil"/>
            </w:tcBorders>
            <w:noWrap/>
            <w:vAlign w:val="center"/>
          </w:tcPr>
          <w:p>
            <w:pPr>
              <w:keepNext w:val="0"/>
              <w:keepLines w:val="0"/>
              <w:widowControl/>
              <w:suppressLineNumbers w:val="0"/>
              <w:jc w:val="left"/>
              <w:textAlignment w:val="center"/>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注：本表反映</w:t>
            </w:r>
            <w:r>
              <w:rPr>
                <w:rFonts w:ascii="方正仿宋_GB2312" w:eastAsia="方正仿宋_GB2312" w:cs="方正仿宋_GB2312" w:hAnsi="方正仿宋_GB2312" w:hint="eastAsia"/>
                <w:i w:val="0"/>
                <w:iCs w:val="0"/>
                <w:color w:val="000000"/>
                <w:kern w:val="0"/>
                <w:sz w:val="20"/>
                <w:szCs w:val="20"/>
                <w:u w:val="none"/>
                <w:lang w:val="en-US" w:eastAsia="zh-CN"/>
              </w:rPr>
              <w:t>单位</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本年度一般公共预算财政拨款、政府性基金预算财政拨款和国有资本经营预算财政拨款的总收支和年末结转结余情况。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ascii="仿宋_GB2312" w:eastAsia="仿宋_GB2312" w:hAnsi="宋体" w:hint="eastAsia"/>
          <w:b/>
          <w:color w:val="auto"/>
          <w:kern w:val="0"/>
          <w:sz w:val="32"/>
          <w:szCs w:val="32"/>
          <w:highlight w:val="auto"/>
        </w:rPr>
      </w:pPr>
    </w:p>
    <w:p>
      <w:pPr>
        <w:rPr>
          <w:rFonts w:ascii="仿宋_GB2312" w:eastAsia="仿宋_GB2312" w:hAnsi="宋体" w:hint="eastAsia"/>
          <w:b/>
          <w:color w:val="auto"/>
          <w:kern w:val="0"/>
          <w:sz w:val="32"/>
          <w:szCs w:val="32"/>
          <w:highlight w:val="auto"/>
        </w:rPr>
      </w:pPr>
      <w:r>
        <w:rPr>
          <w:rFonts w:ascii="仿宋_GB2312" w:eastAsia="仿宋_GB2312" w:hAnsi="宋体" w:hint="eastAsia"/>
          <w:b/>
          <w:color w:val="auto"/>
          <w:kern w:val="0"/>
          <w:sz w:val="32"/>
          <w:szCs w:val="32"/>
          <w:highlight w:val="auto"/>
        </w:rPr>
        <w:br w:type="page"/>
      </w:r>
    </w:p>
    <w:tbl>
      <w:tblPr>
        <w:jc w:val="left"/>
        <w:tblInd w:w="-657" w:type="dxa"/>
        <w:tblW w:w="9360"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239"/>
        <w:gridCol w:w="1329"/>
        <w:gridCol w:w="705"/>
        <w:gridCol w:w="1305"/>
        <w:gridCol w:w="1366"/>
        <w:gridCol w:w="645"/>
        <w:gridCol w:w="2771"/>
      </w:tblGrid>
      <w:tr>
        <w:trPr>
          <w:trHeight w:val="657"/>
        </w:trPr>
        <w:tc>
          <w:tcPr>
            <w:tcW w:w="9360" w:type="dxa"/>
            <w:gridSpan w:val="7"/>
            <w:tcBorders>
              <w:top w:val="nil"/>
              <w:left w:val="nil"/>
              <w:bottom w:val="nil"/>
              <w:right w:val="nil"/>
            </w:tcBorders>
            <w:noWrap/>
            <w:vAlign w:val="bottom"/>
          </w:tcPr>
          <w:p>
            <w:pPr>
              <w:keepNext w:val="0"/>
              <w:keepLines w:val="0"/>
              <w:widowControl/>
              <w:suppressLineNumbers w:val="0"/>
              <w:jc w:val="center"/>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b w:val="0"/>
                <w:bCs/>
                <w:color w:val="auto"/>
                <w:kern w:val="0"/>
                <w:sz w:val="32"/>
                <w:szCs w:val="32"/>
                <w:lang w:val="en-US" w:eastAsia="zh-CN"/>
                <w:highlight w:val="auto"/>
              </w:rPr>
              <w:t>一般公共预算财政拨款支出决算表</w:t>
            </w:r>
          </w:p>
        </w:tc>
      </w:tr>
      <w:tr>
        <w:trPr>
          <w:trHeight w:val="329"/>
        </w:trPr>
        <w:tc>
          <w:tcPr>
            <w:tcW w:w="9360" w:type="dxa"/>
            <w:gridSpan w:val="7"/>
            <w:tcBorders>
              <w:top w:val="nil"/>
              <w:left w:val="nil"/>
              <w:bottom w:val="nil"/>
              <w:right w:val="nil"/>
            </w:tcBorders>
            <w:noWrap/>
            <w:vAlign w:val="bottom"/>
          </w:tcPr>
          <w:p>
            <w:pPr>
              <w:keepNext w:val="0"/>
              <w:keepLines w:val="0"/>
              <w:widowControl/>
              <w:suppressLineNumbers w:val="0"/>
              <w:jc w:val="right"/>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公开</w:t>
            </w:r>
            <w:r>
              <w:rPr>
                <w:rFonts w:ascii="Times New Roman" w:eastAsia="方正仿宋_GB2312" w:cs="Times New Roman" w:hAnsi="Times New Roman"/>
                <w:i w:val="0"/>
                <w:iCs w:val="0"/>
                <w:color w:val="000000"/>
                <w:kern w:val="0"/>
                <w:sz w:val="20"/>
                <w:szCs w:val="20"/>
                <w:u w:val="none"/>
                <w:lang w:val="en-US" w:eastAsia="zh-CN"/>
                <w:highlight w:val="auto"/>
              </w:rPr>
              <w:t>05</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表</w:t>
            </w:r>
          </w:p>
        </w:tc>
      </w:tr>
      <w:tr>
        <w:trPr>
          <w:trHeight w:val="329"/>
        </w:trPr>
        <w:tc>
          <w:tcPr>
            <w:tcW w:w="3273" w:type="dxa"/>
            <w:gridSpan w:val="3"/>
            <w:tcBorders>
              <w:top w:val="nil"/>
              <w:left w:val="nil"/>
              <w:bottom w:val="single" w:sz="4" w:space="0" w:color="auto"/>
              <w:right w:val="nil"/>
            </w:tcBorders>
            <w:noWrap/>
            <w:vAlign w:val="bottom"/>
          </w:tcPr>
          <w:p>
            <w:pPr>
              <w:keepNext w:val="0"/>
              <w:keepLines w:val="0"/>
              <w:widowControl/>
              <w:suppressLineNumbers w:val="0"/>
              <w:jc w:val="left"/>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编制</w:t>
            </w:r>
            <w:r>
              <w:rPr>
                <w:rFonts w:ascii="方正仿宋_GB2312" w:eastAsia="方正仿宋_GB2312" w:cs="方正仿宋_GB2312" w:hAnsi="方正仿宋_GB2312" w:hint="eastAsia"/>
                <w:i w:val="0"/>
                <w:iCs w:val="0"/>
                <w:color w:val="000000"/>
                <w:kern w:val="0"/>
                <w:sz w:val="20"/>
                <w:szCs w:val="20"/>
                <w:u w:val="none"/>
                <w:lang w:val="en-US" w:eastAsia="zh-CN"/>
              </w:rPr>
              <w:t>单位</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（单位）：行唐县交通运输局(本级)</w:t>
            </w:r>
          </w:p>
        </w:tc>
        <w:tc>
          <w:tcPr>
            <w:tcW w:w="2671" w:type="dxa"/>
            <w:gridSpan w:val="2"/>
            <w:tcBorders>
              <w:top w:val="nil"/>
              <w:left w:val="nil"/>
              <w:bottom w:val="single" w:sz="4" w:space="0" w:color="auto"/>
              <w:right w:val="nil"/>
            </w:tcBorders>
            <w:noWrap/>
            <w:vAlign w:val="bottom"/>
          </w:tcPr>
          <w:p>
            <w:pPr>
              <w:keepNext w:val="0"/>
              <w:keepLines w:val="0"/>
              <w:widowControl/>
              <w:suppressLineNumbers w:val="0"/>
              <w:jc w:val="center"/>
              <w:textAlignment w:val="bottom"/>
              <w:rPr>
                <w:rFonts w:ascii="宋体" w:eastAsia="宋体" w:cs="宋体"/>
                <w:i w:val="0"/>
                <w:iCs w:val="0"/>
                <w:color w:val="000000"/>
                <w:kern w:val="0"/>
                <w:sz w:val="20"/>
                <w:szCs w:val="20"/>
                <w:u w:val="none"/>
                <w:lang w:val="en-US" w:eastAsia="zh-CN"/>
                <w:highlight w:val="auto"/>
              </w:rPr>
            </w:pPr>
            <w:r>
              <w:rPr>
                <w:rFonts w:ascii="Times New Roman" w:cs="Times New Roman" w:hAnsi="Times New Roman"/>
                <w:i w:val="0"/>
                <w:iCs w:val="0"/>
                <w:color w:val="000000"/>
                <w:kern w:val="0"/>
                <w:sz w:val="20"/>
                <w:szCs w:val="20"/>
                <w:u w:val="none"/>
                <w:lang w:val="en-US" w:eastAsia="zh-CN"/>
                <w:highlight w:val="auto"/>
              </w:rPr>
              <w:t>202</w:t>
            </w:r>
            <w:r>
              <w:rPr>
                <w:rFonts w:ascii="Times New Roman" w:cs="Times New Roman" w:hAnsi="Times New Roman" w:hint="eastAsia"/>
                <w:i w:val="0"/>
                <w:iCs w:val="0"/>
                <w:color w:val="000000"/>
                <w:kern w:val="0"/>
                <w:sz w:val="20"/>
                <w:szCs w:val="20"/>
                <w:u w:val="none"/>
                <w:lang w:val="en-US" w:eastAsia="zh-CN"/>
                <w:highlight w:val="auto"/>
              </w:rPr>
              <w:t>4</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年度</w:t>
            </w:r>
          </w:p>
        </w:tc>
        <w:tc>
          <w:tcPr>
            <w:tcW w:w="3416" w:type="dxa"/>
            <w:gridSpan w:val="2"/>
            <w:tcBorders>
              <w:top w:val="nil"/>
              <w:left w:val="nil"/>
              <w:bottom w:val="single" w:sz="4" w:space="0" w:color="auto"/>
              <w:right w:val="nil"/>
            </w:tcBorders>
            <w:noWrap/>
            <w:vAlign w:val="bottom"/>
          </w:tcPr>
          <w:p>
            <w:pPr>
              <w:keepNext w:val="0"/>
              <w:keepLines w:val="0"/>
              <w:widowControl/>
              <w:suppressLineNumbers w:val="0"/>
              <w:jc w:val="right"/>
              <w:textAlignment w:val="bottom"/>
              <w:rPr>
                <w:rFonts w:ascii="方正仿宋_GB2312" w:eastAsia="方正仿宋_GB2312" w:cs="方正仿宋_GB2312" w:hAnsi="方正仿宋_GB2312" w:hint="eastAsia"/>
                <w:i w:val="0"/>
                <w:iCs w:val="0"/>
                <w:color w:val="000000"/>
                <w:kern w:val="0"/>
                <w:sz w:val="20"/>
                <w:szCs w:val="20"/>
                <w:u w:val="none"/>
                <w:lang w:val="en-US" w:eastAsia="zh-CN"/>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金额单位：万元</w:t>
            </w:r>
          </w:p>
        </w:tc>
      </w:tr>
      <w:tr>
        <w:trPr>
          <w:trHeight w:val="510"/>
        </w:trPr>
        <w:tc>
          <w:tcPr>
            <w:tcW w:w="2568"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项目</w:t>
            </w:r>
          </w:p>
        </w:tc>
        <w:tc>
          <w:tcPr>
            <w:tcW w:w="6792" w:type="dxa"/>
            <w:gridSpan w:val="5"/>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本年支出</w:t>
            </w:r>
          </w:p>
        </w:tc>
      </w:tr>
      <w:tr>
        <w:trPr>
          <w:trHeight w:val="1103"/>
        </w:trPr>
        <w:tc>
          <w:tcPr>
            <w:tcW w:w="1239"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科目代码</w:t>
            </w:r>
          </w:p>
        </w:tc>
        <w:tc>
          <w:tcPr>
            <w:tcW w:w="1329"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科目名称</w:t>
            </w:r>
          </w:p>
        </w:tc>
        <w:tc>
          <w:tcPr>
            <w:tcW w:w="2010"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小计</w:t>
            </w:r>
          </w:p>
        </w:tc>
        <w:tc>
          <w:tcPr>
            <w:tcW w:w="2011"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基本支出</w:t>
            </w:r>
          </w:p>
        </w:tc>
        <w:tc>
          <w:tcPr>
            <w:tcW w:w="2771" w:type="dxa"/>
            <w:vMerge w:val="restart"/>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项目支出</w:t>
            </w:r>
          </w:p>
          <w:p>
            <w:pPr>
              <w:keepNext w:val="0"/>
              <w:keepLines w:val="0"/>
              <w:widowControl/>
              <w:suppressLineNumbers w:val="0"/>
              <w:jc w:val="center"/>
              <w:textAlignment w:val="center"/>
              <w:rPr>
                <w:rFonts w:ascii="宋体" w:eastAsia="宋体" w:cs="宋体" w:hAnsi="宋体" w:hint="eastAsia"/>
                <w:i w:val="0"/>
                <w:iCs w:val="0"/>
                <w:color w:val="000000"/>
                <w:sz w:val="20"/>
                <w:szCs w:val="20"/>
                <w:u w:val="none"/>
                <w:lang w:val="en-US" w:eastAsia="zh-CN"/>
                <w:highlight w:val="auto"/>
              </w:rPr>
            </w:pPr>
            <w:r>
              <w:rPr>
                <w:rFonts w:ascii="宋体" w:eastAsia="宋体" w:cs="宋体" w:hAnsi="宋体" w:hint="eastAsia"/>
                <w:i w:val="0"/>
                <w:iCs w:val="0"/>
                <w:color w:val="000000"/>
                <w:sz w:val="20"/>
                <w:szCs w:val="20"/>
                <w:u w:val="none"/>
                <w:lang w:val="en-US" w:eastAsia="zh-CN"/>
                <w:highlight w:val="auto"/>
              </w:rPr>
              <w:t>3</w:t>
            </w:r>
          </w:p>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5,760.66</w:t>
            </w:r>
          </w:p>
        </w:tc>
      </w:tr>
      <w:tr>
        <w:trPr>
          <w:trHeight w:val="369"/>
        </w:trPr>
        <w:tc>
          <w:tcPr>
            <w:tcW w:w="2568"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栏次</w:t>
            </w:r>
          </w:p>
        </w:tc>
        <w:tc>
          <w:tcPr>
            <w:tcW w:w="2010"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lang w:val="en-US" w:eastAsia="zh-CN"/>
                <w:highlight w:val="auto"/>
              </w:rPr>
            </w:pPr>
            <w:r>
              <w:rPr>
                <w:rFonts w:ascii="宋体" w:eastAsia="宋体" w:cs="宋体" w:hAnsi="宋体" w:hint="eastAsia"/>
                <w:i w:val="0"/>
                <w:iCs w:val="0"/>
                <w:color w:val="000000"/>
                <w:sz w:val="20"/>
                <w:szCs w:val="20"/>
                <w:u w:val="none"/>
                <w:lang w:val="en-US" w:eastAsia="zh-CN"/>
                <w:highlight w:val="auto"/>
              </w:rPr>
              <w:t>1</w:t>
            </w:r>
          </w:p>
        </w:tc>
        <w:tc>
          <w:tcPr>
            <w:tcW w:w="2011"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lang w:val="en-US" w:eastAsia="zh-CN"/>
                <w:highlight w:val="auto"/>
              </w:rPr>
            </w:pPr>
            <w:r>
              <w:rPr>
                <w:rFonts w:ascii="宋体" w:eastAsia="宋体" w:cs="宋体" w:hAnsi="宋体" w:hint="eastAsia"/>
                <w:i w:val="0"/>
                <w:iCs w:val="0"/>
                <w:color w:val="000000"/>
                <w:sz w:val="20"/>
                <w:szCs w:val="20"/>
                <w:u w:val="none"/>
                <w:lang w:val="en-US" w:eastAsia="zh-CN"/>
                <w:highlight w:val="auto"/>
              </w:rPr>
              <w:t>2</w:t>
            </w:r>
          </w:p>
        </w:tc>
        <w:tc>
          <w:tcPr>
            <w:tcW w:w="2771" w:type="dxa"/>
            <w:vMerge/>
            <w:tcBorders>
              <w:top w:val="single" w:sz="4" w:space="0" w:color="auto"/>
              <w:left w:val="single" w:sz="4" w:space="0" w:color="auto"/>
              <w:bottom w:val="single" w:sz="4" w:space="0" w:color="auto"/>
              <w:right w:val="single" w:sz="4" w:space="0" w:color="auto"/>
            </w:tcBorders>
            <w:noWrap/>
            <w:vAlign w:val="center"/>
          </w:tcPr>
          <w:p/>
        </w:tc>
      </w:tr>
      <w:tr>
        <w:trPr>
          <w:trHeight w:val="369"/>
        </w:trPr>
        <w:tc>
          <w:tcPr>
            <w:tcW w:w="2568"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合计</w:t>
            </w:r>
          </w:p>
        </w:tc>
        <w:tc>
          <w:tcPr>
            <w:tcW w:w="2010"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7,853.23</w:t>
            </w:r>
          </w:p>
        </w:tc>
        <w:tc>
          <w:tcPr>
            <w:tcW w:w="2011"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2,092.57</w:t>
            </w:r>
          </w:p>
        </w:tc>
        <w:tc>
          <w:tcPr>
            <w:tcW w:w="2771" w:type="dxa"/>
            <w:vMerge/>
            <w:tcBorders>
              <w:top w:val="single" w:sz="4" w:space="0" w:color="auto"/>
              <w:left w:val="single" w:sz="4" w:space="0" w:color="auto"/>
              <w:bottom w:val="single" w:sz="4" w:space="0" w:color="auto"/>
              <w:right w:val="single" w:sz="4" w:space="0" w:color="auto"/>
            </w:tcBorders>
            <w:noWrap/>
            <w:vAlign w:val="center"/>
          </w:tcPr>
          <w:p/>
        </w:tc>
      </w:tr>
      <w:tr>
        <w:trPr>
          <w:trHeight w:val="661"/>
        </w:trPr>
        <w:tc>
          <w:tcPr>
            <w:tcW w:w="1239" w:type="dxa"/>
            <w:tcBorders>
              <w:top w:val="single" w:sz="4" w:space="0" w:color="auto"/>
              <w:left w:val="single" w:sz="4" w:space="0" w:color="auto"/>
              <w:bottom w:val="single" w:sz="4" w:space="0" w:color="auto"/>
              <w:right w:val="single" w:sz="4" w:space="0" w:color="auto"/>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212</w:t>
            </w:r>
          </w:p>
        </w:tc>
        <w:tc>
          <w:tcPr>
            <w:tcW w:w="1329" w:type="dxa"/>
            <w:tcBorders>
              <w:top w:val="single" w:sz="4" w:space="0" w:color="auto"/>
              <w:left w:val="single" w:sz="4" w:space="0" w:color="auto"/>
              <w:bottom w:val="single" w:sz="4" w:space="0" w:color="auto"/>
              <w:right w:val="single" w:sz="4" w:space="0" w:color="auto"/>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城乡社区支出</w:t>
            </w:r>
          </w:p>
        </w:tc>
        <w:tc>
          <w:tcPr>
            <w:tcW w:w="2010"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130.00</w:t>
            </w:r>
          </w:p>
        </w:tc>
        <w:tc>
          <w:tcPr>
            <w:tcW w:w="2011"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2771"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130.00</w:t>
            </w:r>
          </w:p>
        </w:tc>
      </w:tr>
      <w:tr>
        <w:trPr>
          <w:trHeight w:val="661"/>
        </w:trPr>
        <w:tc>
          <w:tcPr>
            <w:tcW w:w="1239" w:type="dxa"/>
            <w:tcBorders>
              <w:top w:val="single" w:sz="4" w:space="0" w:color="auto"/>
              <w:left w:val="single" w:sz="4" w:space="0" w:color="auto"/>
              <w:bottom w:val="single" w:sz="4" w:space="0" w:color="auto"/>
              <w:right w:val="single" w:sz="4" w:space="0" w:color="auto"/>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21205</w:t>
            </w:r>
          </w:p>
        </w:tc>
        <w:tc>
          <w:tcPr>
            <w:tcW w:w="1329" w:type="dxa"/>
            <w:tcBorders>
              <w:top w:val="single" w:sz="4" w:space="0" w:color="auto"/>
              <w:left w:val="single" w:sz="4" w:space="0" w:color="auto"/>
              <w:bottom w:val="single" w:sz="4" w:space="0" w:color="auto"/>
              <w:right w:val="single" w:sz="4" w:space="0" w:color="auto"/>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城乡社区环境卫生</w:t>
            </w:r>
          </w:p>
        </w:tc>
        <w:tc>
          <w:tcPr>
            <w:tcW w:w="2010"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130.00</w:t>
            </w:r>
          </w:p>
        </w:tc>
        <w:tc>
          <w:tcPr>
            <w:tcW w:w="2011"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2771"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130.00</w:t>
            </w:r>
          </w:p>
        </w:tc>
      </w:tr>
      <w:tr>
        <w:trPr>
          <w:trHeight w:val="661"/>
        </w:trPr>
        <w:tc>
          <w:tcPr>
            <w:tcW w:w="1239" w:type="dxa"/>
            <w:tcBorders>
              <w:top w:val="single" w:sz="4" w:space="0" w:color="auto"/>
              <w:left w:val="single" w:sz="4" w:space="0" w:color="auto"/>
              <w:bottom w:val="single" w:sz="4" w:space="0" w:color="auto"/>
              <w:right w:val="single" w:sz="4" w:space="0" w:color="auto"/>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2120501</w:t>
            </w:r>
          </w:p>
        </w:tc>
        <w:tc>
          <w:tcPr>
            <w:tcW w:w="1329" w:type="dxa"/>
            <w:tcBorders>
              <w:top w:val="single" w:sz="4" w:space="0" w:color="auto"/>
              <w:left w:val="single" w:sz="4" w:space="0" w:color="auto"/>
              <w:bottom w:val="single" w:sz="4" w:space="0" w:color="auto"/>
              <w:right w:val="single" w:sz="4" w:space="0" w:color="auto"/>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城乡社区环境卫生</w:t>
            </w:r>
          </w:p>
        </w:tc>
        <w:tc>
          <w:tcPr>
            <w:tcW w:w="2010"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130.00</w:t>
            </w:r>
          </w:p>
        </w:tc>
        <w:tc>
          <w:tcPr>
            <w:tcW w:w="2011"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2771"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130.00</w:t>
            </w:r>
          </w:p>
        </w:tc>
      </w:tr>
      <w:tr>
        <w:trPr>
          <w:trHeight w:val="661"/>
        </w:trPr>
        <w:tc>
          <w:tcPr>
            <w:tcW w:w="1239" w:type="dxa"/>
            <w:tcBorders>
              <w:top w:val="single" w:sz="4" w:space="0" w:color="auto"/>
              <w:left w:val="single" w:sz="4" w:space="0" w:color="auto"/>
              <w:bottom w:val="single" w:sz="4" w:space="0" w:color="auto"/>
              <w:right w:val="single" w:sz="4" w:space="0" w:color="auto"/>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213</w:t>
            </w:r>
          </w:p>
        </w:tc>
        <w:tc>
          <w:tcPr>
            <w:tcW w:w="1329" w:type="dxa"/>
            <w:tcBorders>
              <w:top w:val="single" w:sz="4" w:space="0" w:color="auto"/>
              <w:left w:val="single" w:sz="4" w:space="0" w:color="auto"/>
              <w:bottom w:val="single" w:sz="4" w:space="0" w:color="auto"/>
              <w:right w:val="single" w:sz="4" w:space="0" w:color="auto"/>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农林水支出</w:t>
            </w:r>
          </w:p>
        </w:tc>
        <w:tc>
          <w:tcPr>
            <w:tcW w:w="2010"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1,849.49</w:t>
            </w:r>
          </w:p>
        </w:tc>
        <w:tc>
          <w:tcPr>
            <w:tcW w:w="2011"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2771"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1,849.49</w:t>
            </w:r>
          </w:p>
        </w:tc>
      </w:tr>
      <w:tr>
        <w:trPr>
          <w:trHeight w:val="661"/>
        </w:trPr>
        <w:tc>
          <w:tcPr>
            <w:tcW w:w="1239" w:type="dxa"/>
            <w:tcBorders>
              <w:top w:val="single" w:sz="4" w:space="0" w:color="auto"/>
              <w:left w:val="single" w:sz="4" w:space="0" w:color="auto"/>
              <w:bottom w:val="single" w:sz="4" w:space="0" w:color="auto"/>
              <w:right w:val="single" w:sz="4" w:space="0" w:color="auto"/>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21305</w:t>
            </w:r>
          </w:p>
        </w:tc>
        <w:tc>
          <w:tcPr>
            <w:tcW w:w="1329" w:type="dxa"/>
            <w:tcBorders>
              <w:top w:val="single" w:sz="4" w:space="0" w:color="auto"/>
              <w:left w:val="single" w:sz="4" w:space="0" w:color="auto"/>
              <w:bottom w:val="single" w:sz="4" w:space="0" w:color="auto"/>
              <w:right w:val="single" w:sz="4" w:space="0" w:color="auto"/>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巩固脱贫攻坚成果衔接乡村振兴</w:t>
            </w:r>
          </w:p>
        </w:tc>
        <w:tc>
          <w:tcPr>
            <w:tcW w:w="2010"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1,849.49</w:t>
            </w:r>
          </w:p>
        </w:tc>
        <w:tc>
          <w:tcPr>
            <w:tcW w:w="2011"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2771"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1,849.49</w:t>
            </w:r>
          </w:p>
        </w:tc>
      </w:tr>
      <w:tr>
        <w:trPr>
          <w:trHeight w:val="661"/>
        </w:trPr>
        <w:tc>
          <w:tcPr>
            <w:tcW w:w="1239" w:type="dxa"/>
            <w:tcBorders>
              <w:top w:val="single" w:sz="4" w:space="0" w:color="auto"/>
              <w:left w:val="single" w:sz="4" w:space="0" w:color="auto"/>
              <w:bottom w:val="single" w:sz="4" w:space="0" w:color="auto"/>
              <w:right w:val="single" w:sz="4" w:space="0" w:color="auto"/>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2130504</w:t>
            </w:r>
          </w:p>
        </w:tc>
        <w:tc>
          <w:tcPr>
            <w:tcW w:w="1329" w:type="dxa"/>
            <w:tcBorders>
              <w:top w:val="single" w:sz="4" w:space="0" w:color="auto"/>
              <w:left w:val="single" w:sz="4" w:space="0" w:color="auto"/>
              <w:bottom w:val="single" w:sz="4" w:space="0" w:color="auto"/>
              <w:right w:val="single" w:sz="4" w:space="0" w:color="auto"/>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农村基础设施建设</w:t>
            </w:r>
          </w:p>
        </w:tc>
        <w:tc>
          <w:tcPr>
            <w:tcW w:w="2010"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1,849.49</w:t>
            </w:r>
          </w:p>
        </w:tc>
        <w:tc>
          <w:tcPr>
            <w:tcW w:w="2011"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2771"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1,849.49</w:t>
            </w:r>
          </w:p>
        </w:tc>
      </w:tr>
      <w:tr>
        <w:trPr>
          <w:trHeight w:val="661"/>
        </w:trPr>
        <w:tc>
          <w:tcPr>
            <w:tcW w:w="1239" w:type="dxa"/>
            <w:tcBorders>
              <w:top w:val="single" w:sz="4" w:space="0" w:color="auto"/>
              <w:left w:val="single" w:sz="4" w:space="0" w:color="auto"/>
              <w:bottom w:val="single" w:sz="4" w:space="0" w:color="auto"/>
              <w:right w:val="single" w:sz="4" w:space="0" w:color="auto"/>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214</w:t>
            </w:r>
          </w:p>
        </w:tc>
        <w:tc>
          <w:tcPr>
            <w:tcW w:w="1329" w:type="dxa"/>
            <w:tcBorders>
              <w:top w:val="single" w:sz="4" w:space="0" w:color="auto"/>
              <w:left w:val="single" w:sz="4" w:space="0" w:color="auto"/>
              <w:bottom w:val="single" w:sz="4" w:space="0" w:color="auto"/>
              <w:right w:val="single" w:sz="4" w:space="0" w:color="auto"/>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交通运输支出</w:t>
            </w:r>
          </w:p>
        </w:tc>
        <w:tc>
          <w:tcPr>
            <w:tcW w:w="2010"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5,366.74</w:t>
            </w:r>
          </w:p>
        </w:tc>
        <w:tc>
          <w:tcPr>
            <w:tcW w:w="2011"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2,092.57</w:t>
            </w:r>
          </w:p>
        </w:tc>
        <w:tc>
          <w:tcPr>
            <w:tcW w:w="2771"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3,274.17</w:t>
            </w:r>
          </w:p>
        </w:tc>
      </w:tr>
      <w:tr>
        <w:trPr>
          <w:trHeight w:val="661"/>
        </w:trPr>
        <w:tc>
          <w:tcPr>
            <w:tcW w:w="1239" w:type="dxa"/>
            <w:tcBorders>
              <w:top w:val="single" w:sz="4" w:space="0" w:color="auto"/>
              <w:left w:val="single" w:sz="4" w:space="0" w:color="auto"/>
              <w:bottom w:val="single" w:sz="4" w:space="0" w:color="auto"/>
              <w:right w:val="single" w:sz="4" w:space="0" w:color="auto"/>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21401</w:t>
            </w:r>
          </w:p>
        </w:tc>
        <w:tc>
          <w:tcPr>
            <w:tcW w:w="1329" w:type="dxa"/>
            <w:tcBorders>
              <w:top w:val="single" w:sz="4" w:space="0" w:color="auto"/>
              <w:left w:val="single" w:sz="4" w:space="0" w:color="auto"/>
              <w:bottom w:val="single" w:sz="4" w:space="0" w:color="auto"/>
              <w:right w:val="single" w:sz="4" w:space="0" w:color="auto"/>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公路水路运输</w:t>
            </w:r>
          </w:p>
        </w:tc>
        <w:tc>
          <w:tcPr>
            <w:tcW w:w="2010"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4,659.17</w:t>
            </w:r>
          </w:p>
        </w:tc>
        <w:tc>
          <w:tcPr>
            <w:tcW w:w="2011"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2,092.57</w:t>
            </w:r>
          </w:p>
        </w:tc>
        <w:tc>
          <w:tcPr>
            <w:tcW w:w="2771"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2,566.61</w:t>
            </w:r>
          </w:p>
        </w:tc>
      </w:tr>
      <w:tr>
        <w:trPr>
          <w:trHeight w:val="661"/>
        </w:trPr>
        <w:tc>
          <w:tcPr>
            <w:tcW w:w="1239" w:type="dxa"/>
            <w:tcBorders>
              <w:top w:val="single" w:sz="4" w:space="0" w:color="auto"/>
              <w:left w:val="single" w:sz="4" w:space="0" w:color="auto"/>
              <w:bottom w:val="single" w:sz="4" w:space="0" w:color="auto"/>
              <w:right w:val="single" w:sz="4" w:space="0" w:color="auto"/>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2140101</w:t>
            </w:r>
          </w:p>
        </w:tc>
        <w:tc>
          <w:tcPr>
            <w:tcW w:w="1329" w:type="dxa"/>
            <w:tcBorders>
              <w:top w:val="single" w:sz="4" w:space="0" w:color="auto"/>
              <w:left w:val="single" w:sz="4" w:space="0" w:color="auto"/>
              <w:bottom w:val="single" w:sz="4" w:space="0" w:color="auto"/>
              <w:right w:val="single" w:sz="4" w:space="0" w:color="auto"/>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行政运行</w:t>
            </w:r>
          </w:p>
        </w:tc>
        <w:tc>
          <w:tcPr>
            <w:tcW w:w="2010"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2,092.57</w:t>
            </w:r>
          </w:p>
        </w:tc>
        <w:tc>
          <w:tcPr>
            <w:tcW w:w="2011"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2,092.57</w:t>
            </w:r>
          </w:p>
        </w:tc>
        <w:tc>
          <w:tcPr>
            <w:tcW w:w="2771"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661"/>
        </w:trPr>
        <w:tc>
          <w:tcPr>
            <w:tcW w:w="1239" w:type="dxa"/>
            <w:tcBorders>
              <w:top w:val="single" w:sz="4" w:space="0" w:color="auto"/>
              <w:left w:val="single" w:sz="4" w:space="0" w:color="auto"/>
              <w:bottom w:val="single" w:sz="4" w:space="0" w:color="auto"/>
              <w:right w:val="single" w:sz="4" w:space="0" w:color="auto"/>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2140102</w:t>
            </w:r>
          </w:p>
        </w:tc>
        <w:tc>
          <w:tcPr>
            <w:tcW w:w="1329" w:type="dxa"/>
            <w:tcBorders>
              <w:top w:val="single" w:sz="4" w:space="0" w:color="auto"/>
              <w:left w:val="single" w:sz="4" w:space="0" w:color="auto"/>
              <w:bottom w:val="single" w:sz="4" w:space="0" w:color="auto"/>
              <w:right w:val="single" w:sz="4" w:space="0" w:color="auto"/>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一般行政管理事务</w:t>
            </w:r>
          </w:p>
        </w:tc>
        <w:tc>
          <w:tcPr>
            <w:tcW w:w="2010"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1,719.61</w:t>
            </w:r>
          </w:p>
        </w:tc>
        <w:tc>
          <w:tcPr>
            <w:tcW w:w="2011"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2771"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1,719.61</w:t>
            </w:r>
          </w:p>
        </w:tc>
      </w:tr>
      <w:tr>
        <w:trPr>
          <w:trHeight w:val="661"/>
        </w:trPr>
        <w:tc>
          <w:tcPr>
            <w:tcW w:w="1239" w:type="dxa"/>
            <w:tcBorders>
              <w:top w:val="single" w:sz="4" w:space="0" w:color="auto"/>
              <w:left w:val="single" w:sz="4" w:space="0" w:color="auto"/>
              <w:bottom w:val="single" w:sz="4" w:space="0" w:color="auto"/>
              <w:right w:val="single" w:sz="4" w:space="0" w:color="auto"/>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2140106</w:t>
            </w:r>
          </w:p>
        </w:tc>
        <w:tc>
          <w:tcPr>
            <w:tcW w:w="1329" w:type="dxa"/>
            <w:tcBorders>
              <w:top w:val="single" w:sz="4" w:space="0" w:color="auto"/>
              <w:left w:val="single" w:sz="4" w:space="0" w:color="auto"/>
              <w:bottom w:val="single" w:sz="4" w:space="0" w:color="auto"/>
              <w:right w:val="single" w:sz="4" w:space="0" w:color="auto"/>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公路养护</w:t>
            </w:r>
          </w:p>
        </w:tc>
        <w:tc>
          <w:tcPr>
            <w:tcW w:w="2010"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847.00</w:t>
            </w:r>
          </w:p>
        </w:tc>
        <w:tc>
          <w:tcPr>
            <w:tcW w:w="2011"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2771"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847.00</w:t>
            </w:r>
          </w:p>
        </w:tc>
      </w:tr>
      <w:tr>
        <w:trPr>
          <w:trHeight w:val="661"/>
        </w:trPr>
        <w:tc>
          <w:tcPr>
            <w:tcW w:w="1239" w:type="dxa"/>
            <w:tcBorders>
              <w:top w:val="single" w:sz="4" w:space="0" w:color="auto"/>
              <w:left w:val="single" w:sz="4" w:space="0" w:color="auto"/>
              <w:bottom w:val="single" w:sz="4" w:space="0" w:color="auto"/>
              <w:right w:val="single" w:sz="4" w:space="0" w:color="auto"/>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21499</w:t>
            </w:r>
          </w:p>
        </w:tc>
        <w:tc>
          <w:tcPr>
            <w:tcW w:w="1329" w:type="dxa"/>
            <w:tcBorders>
              <w:top w:val="single" w:sz="4" w:space="0" w:color="auto"/>
              <w:left w:val="single" w:sz="4" w:space="0" w:color="auto"/>
              <w:bottom w:val="single" w:sz="4" w:space="0" w:color="auto"/>
              <w:right w:val="single" w:sz="4" w:space="0" w:color="auto"/>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其他交通运输支出</w:t>
            </w:r>
          </w:p>
        </w:tc>
        <w:tc>
          <w:tcPr>
            <w:tcW w:w="2010"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707.57</w:t>
            </w:r>
          </w:p>
        </w:tc>
        <w:tc>
          <w:tcPr>
            <w:tcW w:w="2011"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2771"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707.57</w:t>
            </w:r>
          </w:p>
        </w:tc>
      </w:tr>
      <w:tr>
        <w:trPr>
          <w:trHeight w:val="661"/>
        </w:trPr>
        <w:tc>
          <w:tcPr>
            <w:tcW w:w="1239" w:type="dxa"/>
            <w:tcBorders>
              <w:top w:val="single" w:sz="4" w:space="0" w:color="auto"/>
              <w:left w:val="single" w:sz="4" w:space="0" w:color="auto"/>
              <w:bottom w:val="single" w:sz="4" w:space="0" w:color="auto"/>
              <w:right w:val="single" w:sz="4" w:space="0" w:color="auto"/>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2149901</w:t>
            </w:r>
          </w:p>
        </w:tc>
        <w:tc>
          <w:tcPr>
            <w:tcW w:w="1329" w:type="dxa"/>
            <w:tcBorders>
              <w:top w:val="single" w:sz="4" w:space="0" w:color="auto"/>
              <w:left w:val="single" w:sz="4" w:space="0" w:color="auto"/>
              <w:bottom w:val="single" w:sz="4" w:space="0" w:color="auto"/>
              <w:right w:val="single" w:sz="4" w:space="0" w:color="auto"/>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公共交通运营补助</w:t>
            </w:r>
          </w:p>
        </w:tc>
        <w:tc>
          <w:tcPr>
            <w:tcW w:w="2010"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244.33</w:t>
            </w:r>
          </w:p>
        </w:tc>
        <w:tc>
          <w:tcPr>
            <w:tcW w:w="2011"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2771"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244.33</w:t>
            </w:r>
          </w:p>
        </w:tc>
      </w:tr>
      <w:tr>
        <w:trPr>
          <w:trHeight w:val="661"/>
        </w:trPr>
        <w:tc>
          <w:tcPr>
            <w:tcW w:w="1239" w:type="dxa"/>
            <w:tcBorders>
              <w:top w:val="single" w:sz="4" w:space="0" w:color="auto"/>
              <w:left w:val="single" w:sz="4" w:space="0" w:color="auto"/>
              <w:bottom w:val="single" w:sz="4" w:space="0" w:color="auto"/>
              <w:right w:val="single" w:sz="4" w:space="0" w:color="auto"/>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2149999</w:t>
            </w:r>
          </w:p>
        </w:tc>
        <w:tc>
          <w:tcPr>
            <w:tcW w:w="1329" w:type="dxa"/>
            <w:tcBorders>
              <w:top w:val="single" w:sz="4" w:space="0" w:color="auto"/>
              <w:left w:val="single" w:sz="4" w:space="0" w:color="auto"/>
              <w:bottom w:val="single" w:sz="4" w:space="0" w:color="auto"/>
              <w:right w:val="single" w:sz="4" w:space="0" w:color="auto"/>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其他交通运输支出</w:t>
            </w:r>
          </w:p>
        </w:tc>
        <w:tc>
          <w:tcPr>
            <w:tcW w:w="2010"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463.24</w:t>
            </w:r>
          </w:p>
        </w:tc>
        <w:tc>
          <w:tcPr>
            <w:tcW w:w="2011"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2771"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463.24</w:t>
            </w:r>
          </w:p>
        </w:tc>
      </w:tr>
      <w:tr>
        <w:trPr>
          <w:trHeight w:val="661"/>
        </w:trPr>
        <w:tc>
          <w:tcPr>
            <w:tcW w:w="1239" w:type="dxa"/>
            <w:tcBorders>
              <w:top w:val="single" w:sz="4" w:space="0" w:color="auto"/>
              <w:left w:val="single" w:sz="4" w:space="0" w:color="auto"/>
              <w:bottom w:val="single" w:sz="4" w:space="0" w:color="auto"/>
              <w:right w:val="single" w:sz="4" w:space="0" w:color="auto"/>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224</w:t>
            </w:r>
          </w:p>
        </w:tc>
        <w:tc>
          <w:tcPr>
            <w:tcW w:w="1329" w:type="dxa"/>
            <w:tcBorders>
              <w:top w:val="single" w:sz="4" w:space="0" w:color="auto"/>
              <w:left w:val="single" w:sz="4" w:space="0" w:color="auto"/>
              <w:bottom w:val="single" w:sz="4" w:space="0" w:color="auto"/>
              <w:right w:val="single" w:sz="4" w:space="0" w:color="auto"/>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灾害防治及应急管理支出</w:t>
            </w:r>
          </w:p>
        </w:tc>
        <w:tc>
          <w:tcPr>
            <w:tcW w:w="2010"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507.00</w:t>
            </w:r>
          </w:p>
        </w:tc>
        <w:tc>
          <w:tcPr>
            <w:tcW w:w="2011"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2771"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507.00</w:t>
            </w:r>
          </w:p>
        </w:tc>
      </w:tr>
      <w:tr>
        <w:trPr>
          <w:trHeight w:val="661"/>
        </w:trPr>
        <w:tc>
          <w:tcPr>
            <w:tcW w:w="1239" w:type="dxa"/>
            <w:tcBorders>
              <w:top w:val="single" w:sz="4" w:space="0" w:color="auto"/>
              <w:left w:val="single" w:sz="4" w:space="0" w:color="auto"/>
              <w:bottom w:val="single" w:sz="4" w:space="0" w:color="auto"/>
              <w:right w:val="single" w:sz="4" w:space="0" w:color="auto"/>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22407</w:t>
            </w:r>
          </w:p>
        </w:tc>
        <w:tc>
          <w:tcPr>
            <w:tcW w:w="1329" w:type="dxa"/>
            <w:tcBorders>
              <w:top w:val="single" w:sz="4" w:space="0" w:color="auto"/>
              <w:left w:val="single" w:sz="4" w:space="0" w:color="auto"/>
              <w:bottom w:val="single" w:sz="4" w:space="0" w:color="auto"/>
              <w:right w:val="single" w:sz="4" w:space="0" w:color="auto"/>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自然灾害救灾及恢复重建支出</w:t>
            </w:r>
          </w:p>
        </w:tc>
        <w:tc>
          <w:tcPr>
            <w:tcW w:w="2010"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507.00</w:t>
            </w:r>
          </w:p>
        </w:tc>
        <w:tc>
          <w:tcPr>
            <w:tcW w:w="2011"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2771"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507.00</w:t>
            </w:r>
          </w:p>
        </w:tc>
      </w:tr>
      <w:tr>
        <w:trPr>
          <w:trHeight w:val="661"/>
        </w:trPr>
        <w:tc>
          <w:tcPr>
            <w:tcW w:w="1239" w:type="dxa"/>
            <w:tcBorders>
              <w:top w:val="single" w:sz="4" w:space="0" w:color="auto"/>
              <w:left w:val="single" w:sz="4" w:space="0" w:color="auto"/>
              <w:bottom w:val="single" w:sz="4" w:space="0" w:color="auto"/>
              <w:right w:val="single" w:sz="4" w:space="0" w:color="auto"/>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2240703</w:t>
            </w:r>
          </w:p>
        </w:tc>
        <w:tc>
          <w:tcPr>
            <w:tcW w:w="1329" w:type="dxa"/>
            <w:tcBorders>
              <w:top w:val="single" w:sz="4" w:space="0" w:color="auto"/>
              <w:left w:val="single" w:sz="4" w:space="0" w:color="auto"/>
              <w:bottom w:val="single" w:sz="4" w:space="0" w:color="auto"/>
              <w:right w:val="single" w:sz="4" w:space="0" w:color="auto"/>
            </w:tcBorders>
            <w:noWrap/>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自然灾害救灾补助</w:t>
            </w:r>
          </w:p>
        </w:tc>
        <w:tc>
          <w:tcPr>
            <w:tcW w:w="2010"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507.00</w:t>
            </w:r>
          </w:p>
        </w:tc>
        <w:tc>
          <w:tcPr>
            <w:tcW w:w="2011"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2771"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507.00</w:t>
            </w:r>
          </w:p>
        </w:tc>
      </w:tr>
      <w:tr>
        <w:trPr>
          <w:trHeight w:val="661"/>
        </w:trPr>
        <w:tc>
          <w:tcPr>
            <w:tcW w:w="9360" w:type="dxa"/>
            <w:gridSpan w:val="7"/>
            <w:tcBorders>
              <w:top w:val="single" w:sz="4" w:space="0" w:color="auto"/>
              <w:left w:val="nil"/>
              <w:bottom w:val="nil"/>
              <w:right w:val="nil"/>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kern w:val="0"/>
                <w:sz w:val="20"/>
                <w:szCs w:val="20"/>
                <w:u w:val="none"/>
                <w:lang w:val="en-US" w:eastAsia="zh-CN"/>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注：本表反映</w:t>
            </w:r>
            <w:r>
              <w:rPr>
                <w:rFonts w:ascii="方正仿宋_GB2312" w:eastAsia="方正仿宋_GB2312" w:cs="方正仿宋_GB2312" w:hAnsi="方正仿宋_GB2312" w:hint="eastAsia"/>
                <w:i w:val="0"/>
                <w:iCs w:val="0"/>
                <w:color w:val="000000"/>
                <w:kern w:val="0"/>
                <w:sz w:val="20"/>
                <w:szCs w:val="20"/>
                <w:u w:val="none"/>
                <w:lang w:val="en-US" w:eastAsia="zh-CN"/>
              </w:rPr>
              <w:t>单位</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本年度一般公共预算财政拨款支出情况。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ascii="仿宋_GB2312" w:eastAsia="仿宋_GB2312" w:hAnsi="宋体" w:hint="eastAsia"/>
          <w:b/>
          <w:color w:val="auto"/>
          <w:kern w:val="0"/>
          <w:sz w:val="32"/>
          <w:szCs w:val="32"/>
          <w:highlight w:val="auto"/>
        </w:rPr>
      </w:pPr>
    </w:p>
    <w:p>
      <w:pPr>
        <w:rPr>
          <w:rFonts w:ascii="仿宋_GB2312" w:eastAsia="仿宋_GB2312" w:hAnsi="宋体" w:hint="eastAsia"/>
          <w:b/>
          <w:color w:val="auto"/>
          <w:kern w:val="0"/>
          <w:sz w:val="32"/>
          <w:szCs w:val="32"/>
          <w:highlight w:val="auto"/>
        </w:rPr>
      </w:pPr>
      <w:r>
        <w:rPr>
          <w:rFonts w:ascii="仿宋_GB2312" w:eastAsia="仿宋_GB2312" w:hAnsi="宋体" w:hint="eastAsia"/>
          <w:b/>
          <w:color w:val="auto"/>
          <w:kern w:val="0"/>
          <w:sz w:val="32"/>
          <w:szCs w:val="32"/>
          <w:highlight w:val="auto"/>
        </w:rPr>
        <w:br w:type="page"/>
      </w:r>
    </w:p>
    <w:tbl>
      <w:tblPr>
        <w:jc w:val="left"/>
        <w:tblInd w:w="-1617" w:type="dxa"/>
        <w:tblW w:w="11338"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964"/>
        <w:gridCol w:w="1814"/>
        <w:gridCol w:w="1020"/>
        <w:gridCol w:w="964"/>
        <w:gridCol w:w="438"/>
        <w:gridCol w:w="1376"/>
        <w:gridCol w:w="587"/>
        <w:gridCol w:w="377"/>
        <w:gridCol w:w="964"/>
        <w:gridCol w:w="1814"/>
        <w:gridCol w:w="1020"/>
      </w:tblGrid>
      <w:tr>
        <w:trPr>
          <w:trHeight w:val="624"/>
        </w:trPr>
        <w:tc>
          <w:tcPr>
            <w:tcW w:w="11338" w:type="dxa"/>
            <w:gridSpan w:val="11"/>
            <w:tcBorders>
              <w:top w:val="nil"/>
              <w:left w:val="nil"/>
              <w:bottom w:val="nil"/>
              <w:right w:val="nil"/>
            </w:tcBorders>
            <w:noWrap/>
            <w:vAlign w:val="bottom"/>
          </w:tcPr>
          <w:p>
            <w:pPr>
              <w:keepNext w:val="0"/>
              <w:keepLines w:val="0"/>
              <w:widowControl/>
              <w:suppressLineNumbers w:val="0"/>
              <w:jc w:val="center"/>
              <w:textAlignment w:val="bottom"/>
              <w:rPr>
                <w:rFonts w:ascii="宋体" w:eastAsia="宋体" w:cs="宋体" w:hint="eastAsia"/>
                <w:i w:val="0"/>
                <w:iCs w:val="0"/>
                <w:color w:val="000000"/>
                <w:sz w:val="18"/>
                <w:szCs w:val="18"/>
                <w:u w:val="none"/>
                <w:highlight w:val="auto"/>
              </w:rPr>
            </w:pPr>
            <w:r>
              <w:rPr>
                <w:rFonts w:ascii="方正仿宋_GB2312" w:eastAsia="方正仿宋_GB2312" w:cs="方正仿宋_GB2312" w:hAnsi="方正仿宋_GB2312" w:hint="eastAsia"/>
                <w:b w:val="0"/>
                <w:bCs/>
                <w:color w:val="auto"/>
                <w:kern w:val="0"/>
                <w:sz w:val="32"/>
                <w:szCs w:val="32"/>
                <w:lang w:val="en-US" w:eastAsia="zh-CN"/>
                <w:highlight w:val="auto"/>
              </w:rPr>
              <w:t>一般公共预算财政拨款基本支出决算明细表</w:t>
            </w:r>
          </w:p>
        </w:tc>
      </w:tr>
      <w:tr>
        <w:trPr>
          <w:trHeight w:val="300"/>
        </w:trPr>
        <w:tc>
          <w:tcPr>
            <w:tcW w:w="11338" w:type="dxa"/>
            <w:gridSpan w:val="11"/>
            <w:tcBorders>
              <w:top w:val="nil"/>
              <w:left w:val="nil"/>
              <w:bottom w:val="nil"/>
              <w:right w:val="nil"/>
            </w:tcBorders>
            <w:noWrap/>
            <w:vAlign w:val="bottom"/>
          </w:tcPr>
          <w:p>
            <w:pPr>
              <w:keepNext w:val="0"/>
              <w:keepLines w:val="0"/>
              <w:widowControl/>
              <w:suppressLineNumbers w:val="0"/>
              <w:jc w:val="right"/>
              <w:textAlignment w:val="bottom"/>
              <w:rPr>
                <w:rFonts w:ascii="宋体" w:eastAsia="宋体" w:cs="宋体"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公开</w:t>
            </w:r>
            <w:r>
              <w:rPr>
                <w:rFonts w:ascii="Times New Roman" w:eastAsia="方正仿宋_GB2312" w:cs="Times New Roman" w:hAnsi="Times New Roman"/>
                <w:i w:val="0"/>
                <w:iCs w:val="0"/>
                <w:color w:val="000000"/>
                <w:kern w:val="0"/>
                <w:sz w:val="18"/>
                <w:szCs w:val="18"/>
                <w:u w:val="none"/>
                <w:lang w:val="en-US" w:eastAsia="zh-CN"/>
                <w:highlight w:val="auto"/>
              </w:rPr>
              <w:t>06</w:t>
            </w:r>
            <w:r>
              <w:rPr>
                <w:rFonts w:ascii="方正仿宋_GB2312" w:eastAsia="方正仿宋_GB2312" w:cs="方正仿宋_GB2312" w:hAnsi="方正仿宋_GB2312" w:hint="eastAsia"/>
                <w:i w:val="0"/>
                <w:iCs w:val="0"/>
                <w:color w:val="000000"/>
                <w:kern w:val="0"/>
                <w:sz w:val="18"/>
                <w:szCs w:val="18"/>
                <w:u w:val="none"/>
                <w:lang w:val="en-US" w:eastAsia="zh-CN"/>
                <w:highlight w:val="auto"/>
              </w:rPr>
              <w:t>表</w:t>
            </w:r>
          </w:p>
        </w:tc>
      </w:tr>
      <w:tr>
        <w:trPr>
          <w:trHeight w:val="90"/>
        </w:trPr>
        <w:tc>
          <w:tcPr>
            <w:tcW w:w="5200" w:type="dxa"/>
            <w:gridSpan w:val="5"/>
            <w:tcBorders>
              <w:top w:val="nil"/>
              <w:left w:val="nil"/>
              <w:bottom w:val="single" w:sz="4" w:space="0" w:color="auto"/>
              <w:right w:val="nil"/>
            </w:tcBorders>
            <w:noWrap/>
            <w:vAlign w:val="bottom"/>
          </w:tcPr>
          <w:p>
            <w:pPr>
              <w:rPr>
                <w:rFonts w:ascii="宋体" w:eastAsia="宋体" w:cs="宋体"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rPr>
              <w:t>单位</w:t>
            </w:r>
            <w:r>
              <w:rPr>
                <w:rFonts w:ascii="方正仿宋_GB2312" w:eastAsia="方正仿宋_GB2312" w:cs="方正仿宋_GB2312" w:hAnsi="方正仿宋_GB2312" w:hint="eastAsia"/>
                <w:i w:val="0"/>
                <w:iCs w:val="0"/>
                <w:color w:val="000000"/>
                <w:kern w:val="0"/>
                <w:sz w:val="18"/>
                <w:szCs w:val="18"/>
                <w:u w:val="none"/>
                <w:lang w:val="en-US" w:eastAsia="zh-CN"/>
                <w:highlight w:val="auto"/>
              </w:rPr>
              <w:t xml:space="preserve">（单位）：行唐县交通运输局(本级) </w:t>
            </w:r>
            <w:r>
              <w:rPr>
                <w:rFonts w:ascii="宋体" w:cs="宋体" w:hint="eastAsia"/>
                <w:i w:val="0"/>
                <w:iCs w:val="0"/>
                <w:color w:val="000000"/>
                <w:kern w:val="0"/>
                <w:sz w:val="18"/>
                <w:szCs w:val="18"/>
                <w:u w:val="none"/>
                <w:lang w:val="en-US" w:eastAsia="zh-CN"/>
                <w:highlight w:val="auto"/>
              </w:rPr>
              <w:t xml:space="preserve">                                                                   </w:t>
            </w:r>
          </w:p>
        </w:tc>
        <w:tc>
          <w:tcPr>
            <w:tcW w:w="1963" w:type="dxa"/>
            <w:gridSpan w:val="2"/>
            <w:tcBorders>
              <w:top w:val="nil"/>
              <w:left w:val="nil"/>
              <w:bottom w:val="single" w:sz="4" w:space="0" w:color="auto"/>
              <w:right w:val="nil"/>
            </w:tcBorders>
            <w:noWrap/>
            <w:vAlign w:val="bottom"/>
          </w:tcPr>
          <w:p>
            <w:pPr>
              <w:jc w:val="center"/>
              <w:rPr>
                <w:rFonts w:ascii="宋体" w:eastAsia="宋体" w:cs="宋体"/>
                <w:i w:val="0"/>
                <w:iCs w:val="0"/>
                <w:color w:val="000000"/>
                <w:kern w:val="0"/>
                <w:sz w:val="18"/>
                <w:szCs w:val="18"/>
                <w:u w:val="none"/>
                <w:lang w:val="en-US" w:eastAsia="zh-CN"/>
                <w:highlight w:val="auto"/>
              </w:rPr>
            </w:pPr>
            <w:r>
              <w:rPr>
                <w:rFonts w:ascii="宋体" w:cs="宋体" w:hint="eastAsia"/>
                <w:i w:val="0"/>
                <w:iCs w:val="0"/>
                <w:color w:val="000000"/>
                <w:kern w:val="0"/>
                <w:sz w:val="18"/>
                <w:szCs w:val="18"/>
                <w:u w:val="none"/>
                <w:lang w:val="en-US" w:eastAsia="zh-CN"/>
                <w:highlight w:val="auto"/>
              </w:rPr>
              <w:t>2024</w:t>
            </w:r>
            <w:r>
              <w:rPr>
                <w:rFonts w:ascii="方正仿宋_GB2312" w:eastAsia="方正仿宋_GB2312" w:cs="方正仿宋_GB2312" w:hAnsi="方正仿宋_GB2312" w:hint="eastAsia"/>
                <w:i w:val="0"/>
                <w:iCs w:val="0"/>
                <w:color w:val="000000"/>
                <w:kern w:val="0"/>
                <w:sz w:val="18"/>
                <w:szCs w:val="18"/>
                <w:u w:val="none"/>
                <w:lang w:val="en-US" w:eastAsia="zh-CN"/>
                <w:highlight w:val="auto"/>
              </w:rPr>
              <w:t>年度</w:t>
            </w:r>
          </w:p>
        </w:tc>
        <w:tc>
          <w:tcPr>
            <w:tcW w:w="4175" w:type="dxa"/>
            <w:gridSpan w:val="4"/>
            <w:tcBorders>
              <w:top w:val="nil"/>
              <w:left w:val="nil"/>
              <w:bottom w:val="single" w:sz="4" w:space="0" w:color="auto"/>
              <w:right w:val="nil"/>
            </w:tcBorders>
            <w:noWrap/>
            <w:vAlign w:val="bottom"/>
          </w:tcPr>
          <w:p>
            <w:pPr>
              <w:jc w:val="right"/>
              <w:rPr>
                <w:rFonts w:ascii="宋体" w:eastAsia="宋体" w:cs="宋体"/>
                <w:i w:val="0"/>
                <w:iCs w:val="0"/>
                <w:color w:val="000000"/>
                <w:kern w:val="0"/>
                <w:sz w:val="18"/>
                <w:szCs w:val="18"/>
                <w:u w:val="none"/>
                <w:lang w:val="en-US" w:eastAsia="zh-CN"/>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金额单位：万元</w:t>
            </w:r>
          </w:p>
        </w:tc>
      </w:tr>
      <w:tr>
        <w:trPr>
          <w:trHeight w:val="510"/>
        </w:trPr>
        <w:tc>
          <w:tcPr>
            <w:tcW w:w="3798" w:type="dxa"/>
            <w:gridSpan w:val="3"/>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人员经费</w:t>
            </w:r>
          </w:p>
        </w:tc>
        <w:tc>
          <w:tcPr>
            <w:tcW w:w="7540" w:type="dxa"/>
            <w:gridSpan w:val="8"/>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公用经费</w:t>
            </w:r>
          </w:p>
        </w:tc>
      </w:tr>
      <w:tr>
        <w:trPr>
          <w:trHeight w:val="510"/>
        </w:trPr>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lang w:val="en-US"/>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科目代码</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科目名称</w:t>
            </w:r>
          </w:p>
        </w:tc>
        <w:tc>
          <w:tcPr>
            <w:tcW w:w="1020"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金额</w:t>
            </w: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lang w:val="en-US" w:eastAsia="zh-CN"/>
                <w:highlight w:val="auto"/>
              </w:rPr>
            </w:pPr>
            <w:r>
              <w:rPr>
                <w:rFonts w:ascii="方正仿宋_GB2312" w:eastAsia="方正仿宋_GB2312" w:cs="方正仿宋_GB2312" w:hAnsi="方正仿宋_GB2312" w:hint="eastAsia"/>
                <w:i w:val="0"/>
                <w:iCs w:val="0"/>
                <w:color w:val="000000"/>
                <w:sz w:val="18"/>
                <w:szCs w:val="18"/>
                <w:u w:val="none"/>
                <w:lang w:val="en-US" w:eastAsia="zh-CN"/>
                <w:highlight w:val="auto"/>
              </w:rPr>
              <w:t>科目代码</w:t>
            </w:r>
          </w:p>
        </w:tc>
        <w:tc>
          <w:tcPr>
            <w:tcW w:w="1814"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科目名称</w:t>
            </w:r>
          </w:p>
        </w:tc>
        <w:tc>
          <w:tcPr>
            <w:tcW w:w="964"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金额</w:t>
            </w: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lang w:val="en-US" w:eastAsia="zh-CN"/>
                <w:highlight w:val="auto"/>
              </w:rPr>
            </w:pPr>
            <w:r>
              <w:rPr>
                <w:rFonts w:ascii="方正仿宋_GB2312" w:eastAsia="方正仿宋_GB2312" w:cs="方正仿宋_GB2312" w:hAnsi="方正仿宋_GB2312" w:hint="eastAsia"/>
                <w:i w:val="0"/>
                <w:iCs w:val="0"/>
                <w:color w:val="000000"/>
                <w:sz w:val="18"/>
                <w:szCs w:val="18"/>
                <w:u w:val="none"/>
                <w:lang w:val="en-US" w:eastAsia="zh-CN"/>
                <w:highlight w:val="auto"/>
              </w:rPr>
              <w:t>科目代码</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科目名称</w:t>
            </w:r>
          </w:p>
        </w:tc>
        <w:tc>
          <w:tcPr>
            <w:tcW w:w="1020"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金额</w:t>
            </w:r>
          </w:p>
        </w:tc>
      </w:tr>
      <w:tr>
        <w:trPr>
          <w:trHeight w:val="510"/>
        </w:trPr>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301</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工资福利支出</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宋体" w:eastAsia="宋体" w:cs="宋体" w:hint="eastAsia"/>
                <w:i w:val="0"/>
                <w:iCs w:val="0"/>
                <w:color w:val="000000"/>
                <w:sz w:val="18"/>
                <w:szCs w:val="18"/>
                <w:u w:val="none"/>
                <w:highlight w:val="auto"/>
              </w:rPr>
            </w:pPr>
            <w:r>
              <w:rPr>
                <w:rFonts w:ascii="Times New Roman" w:cs="Times New Roman" w:hAnsi="Times New Roman" w:hint="eastAsia"/>
                <w:sz w:val="18"/>
                <w:szCs w:val="18"/>
                <w:lang w:eastAsia="zh-CN"/>
                <w:highlight w:val="auto"/>
              </w:rPr>
              <w:t>1,426.17</w:t>
            </w: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302</w:t>
            </w:r>
          </w:p>
        </w:tc>
        <w:tc>
          <w:tcPr>
            <w:tcW w:w="1814"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商品和服务支出</w:t>
            </w:r>
          </w:p>
        </w:tc>
        <w:tc>
          <w:tcPr>
            <w:tcW w:w="964"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宋体" w:eastAsia="宋体" w:cs="宋体" w:hint="eastAsia"/>
                <w:i w:val="0"/>
                <w:iCs w:val="0"/>
                <w:color w:val="000000"/>
                <w:sz w:val="18"/>
                <w:szCs w:val="18"/>
                <w:u w:val="none"/>
                <w:highlight w:val="auto"/>
              </w:rPr>
            </w:pPr>
            <w:r>
              <w:rPr>
                <w:rFonts w:ascii="Times New Roman" w:cs="Times New Roman" w:hAnsi="Times New Roman" w:hint="eastAsia"/>
                <w:sz w:val="18"/>
                <w:szCs w:val="18"/>
                <w:lang w:eastAsia="zh-CN"/>
                <w:highlight w:val="auto"/>
              </w:rPr>
              <w:t>105.71</w:t>
            </w: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307</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债务利息及费用支出</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cs="Times New Roman" w:hAnsi="Times New Roman" w:hint="eastAsia"/>
                <w:sz w:val="18"/>
                <w:szCs w:val="18"/>
                <w:lang w:eastAsia="zh-CN"/>
                <w:highlight w:val="auto"/>
              </w:rPr>
            </w:pPr>
          </w:p>
        </w:tc>
      </w:tr>
      <w:tr>
        <w:trPr>
          <w:trHeight w:val="510"/>
        </w:trPr>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30101</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 xml:space="preserve">  基本工资</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宋体" w:eastAsia="宋体" w:cs="宋体" w:hint="eastAsia"/>
                <w:i w:val="0"/>
                <w:iCs w:val="0"/>
                <w:color w:val="000000"/>
                <w:sz w:val="18"/>
                <w:szCs w:val="18"/>
                <w:u w:val="none"/>
                <w:highlight w:val="auto"/>
              </w:rPr>
            </w:pPr>
            <w:r>
              <w:rPr>
                <w:rFonts w:ascii="Times New Roman" w:cs="Times New Roman" w:hAnsi="Times New Roman" w:hint="eastAsia"/>
                <w:sz w:val="18"/>
                <w:szCs w:val="18"/>
                <w:lang w:eastAsia="zh-CN"/>
                <w:highlight w:val="auto"/>
              </w:rPr>
              <w:t>655.29</w:t>
            </w: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30201</w:t>
            </w:r>
          </w:p>
        </w:tc>
        <w:tc>
          <w:tcPr>
            <w:tcW w:w="1814"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办公费</w:t>
            </w:r>
          </w:p>
        </w:tc>
        <w:tc>
          <w:tcPr>
            <w:tcW w:w="964"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cs="Times New Roman" w:hAnsi="Times New Roman" w:hint="eastAsia"/>
                <w:sz w:val="18"/>
                <w:szCs w:val="18"/>
                <w:lang w:eastAsia="zh-CN"/>
                <w:highlight w:val="auto"/>
              </w:rPr>
            </w:pPr>
            <w:r>
              <w:rPr>
                <w:rFonts w:ascii="Times New Roman" w:cs="Times New Roman" w:hAnsi="Times New Roman" w:hint="eastAsia"/>
                <w:sz w:val="18"/>
                <w:szCs w:val="18"/>
                <w:lang w:eastAsia="zh-CN"/>
                <w:highlight w:val="auto"/>
              </w:rPr>
              <w:t>19.64</w:t>
            </w: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30701</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国内债务付息</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cs="Times New Roman" w:hAnsi="Times New Roman" w:hint="eastAsia"/>
                <w:sz w:val="18"/>
                <w:szCs w:val="18"/>
                <w:lang w:eastAsia="zh-CN"/>
                <w:highlight w:val="auto"/>
              </w:rPr>
            </w:pPr>
          </w:p>
        </w:tc>
      </w:tr>
      <w:tr>
        <w:trPr>
          <w:trHeight w:val="510"/>
        </w:trPr>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30102</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 xml:space="preserve">  津贴补贴</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宋体" w:eastAsia="宋体" w:cs="宋体" w:hint="eastAsia"/>
                <w:i w:val="0"/>
                <w:iCs w:val="0"/>
                <w:color w:val="000000"/>
                <w:sz w:val="18"/>
                <w:szCs w:val="18"/>
                <w:u w:val="none"/>
                <w:highlight w:val="auto"/>
              </w:rPr>
            </w:pPr>
            <w:r>
              <w:rPr>
                <w:rFonts w:ascii="Times New Roman" w:cs="Times New Roman" w:hAnsi="Times New Roman" w:hint="eastAsia"/>
                <w:sz w:val="18"/>
                <w:szCs w:val="18"/>
                <w:lang w:eastAsia="zh-CN"/>
                <w:highlight w:val="auto"/>
              </w:rPr>
              <w:t>8.94</w:t>
            </w: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30202</w:t>
            </w:r>
          </w:p>
        </w:tc>
        <w:tc>
          <w:tcPr>
            <w:tcW w:w="1814"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印刷费</w:t>
            </w:r>
          </w:p>
        </w:tc>
        <w:tc>
          <w:tcPr>
            <w:tcW w:w="964"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cs="Times New Roman" w:hAnsi="Times New Roman" w:hint="eastAsia"/>
                <w:sz w:val="18"/>
                <w:szCs w:val="18"/>
                <w:lang w:eastAsia="zh-CN"/>
                <w:highlight w:val="auto"/>
              </w:rPr>
            </w:pP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30702</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国外债务付息</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cs="Times New Roman" w:hAnsi="Times New Roman" w:hint="eastAsia"/>
                <w:sz w:val="18"/>
                <w:szCs w:val="18"/>
                <w:lang w:eastAsia="zh-CN"/>
                <w:highlight w:val="auto"/>
              </w:rPr>
            </w:pPr>
          </w:p>
        </w:tc>
      </w:tr>
      <w:tr>
        <w:trPr>
          <w:trHeight w:val="510"/>
        </w:trPr>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30103</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 xml:space="preserve">  奖金</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宋体" w:eastAsia="宋体" w:cs="宋体" w:hint="eastAsia"/>
                <w:i w:val="0"/>
                <w:iCs w:val="0"/>
                <w:color w:val="000000"/>
                <w:sz w:val="18"/>
                <w:szCs w:val="18"/>
                <w:u w:val="none"/>
                <w:highlight w:val="auto"/>
              </w:rPr>
            </w:pPr>
            <w:r>
              <w:rPr>
                <w:rFonts w:ascii="Times New Roman" w:cs="Times New Roman" w:hAnsi="Times New Roman" w:hint="eastAsia"/>
                <w:sz w:val="18"/>
                <w:szCs w:val="18"/>
                <w:lang w:eastAsia="zh-CN"/>
                <w:highlight w:val="auto"/>
              </w:rPr>
              <w:t>3.45</w:t>
            </w: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30203</w:t>
            </w:r>
          </w:p>
        </w:tc>
        <w:tc>
          <w:tcPr>
            <w:tcW w:w="1814"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咨询费</w:t>
            </w:r>
          </w:p>
        </w:tc>
        <w:tc>
          <w:tcPr>
            <w:tcW w:w="964"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cs="Times New Roman" w:hAnsi="Times New Roman" w:hint="eastAsia"/>
                <w:sz w:val="18"/>
                <w:szCs w:val="18"/>
                <w:lang w:eastAsia="zh-CN"/>
                <w:highlight w:val="auto"/>
              </w:rPr>
            </w:pP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310</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资本性支出</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cs="Times New Roman" w:hAnsi="Times New Roman" w:hint="eastAsia"/>
                <w:sz w:val="18"/>
                <w:szCs w:val="18"/>
                <w:lang w:eastAsia="zh-CN"/>
                <w:highlight w:val="auto"/>
              </w:rPr>
            </w:pPr>
          </w:p>
        </w:tc>
      </w:tr>
      <w:tr>
        <w:trPr>
          <w:trHeight w:val="510"/>
        </w:trPr>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30106</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 xml:space="preserve">  伙食补助费</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宋体" w:eastAsia="宋体" w:cs="宋体" w:hint="eastAsia"/>
                <w:i w:val="0"/>
                <w:iCs w:val="0"/>
                <w:color w:val="000000"/>
                <w:sz w:val="18"/>
                <w:szCs w:val="18"/>
                <w:u w:val="none"/>
                <w:highlight w:val="auto"/>
              </w:rPr>
            </w:pP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30204</w:t>
            </w:r>
          </w:p>
        </w:tc>
        <w:tc>
          <w:tcPr>
            <w:tcW w:w="1814"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手续费</w:t>
            </w:r>
          </w:p>
        </w:tc>
        <w:tc>
          <w:tcPr>
            <w:tcW w:w="964"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cs="Times New Roman" w:hAnsi="Times New Roman" w:hint="eastAsia"/>
                <w:sz w:val="18"/>
                <w:szCs w:val="18"/>
                <w:lang w:eastAsia="zh-CN"/>
                <w:highlight w:val="auto"/>
              </w:rPr>
            </w:pP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31001</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房屋建筑物购建</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cs="Times New Roman" w:hAnsi="Times New Roman" w:hint="eastAsia"/>
                <w:sz w:val="18"/>
                <w:szCs w:val="18"/>
                <w:lang w:eastAsia="zh-CN"/>
                <w:highlight w:val="auto"/>
              </w:rPr>
            </w:pPr>
          </w:p>
        </w:tc>
      </w:tr>
      <w:tr>
        <w:trPr>
          <w:trHeight w:val="510"/>
        </w:trPr>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30107</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 xml:space="preserve">  绩效工资</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宋体" w:eastAsia="宋体" w:cs="宋体" w:hint="eastAsia"/>
                <w:i w:val="0"/>
                <w:iCs w:val="0"/>
                <w:color w:val="000000"/>
                <w:sz w:val="18"/>
                <w:szCs w:val="18"/>
                <w:u w:val="none"/>
                <w:highlight w:val="auto"/>
              </w:rPr>
            </w:pPr>
            <w:r>
              <w:rPr>
                <w:rFonts w:ascii="Times New Roman" w:cs="Times New Roman" w:hAnsi="Times New Roman" w:hint="eastAsia"/>
                <w:sz w:val="18"/>
                <w:szCs w:val="18"/>
                <w:lang w:eastAsia="zh-CN"/>
                <w:highlight w:val="auto"/>
              </w:rPr>
              <w:t>317.47</w:t>
            </w: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30205</w:t>
            </w:r>
          </w:p>
        </w:tc>
        <w:tc>
          <w:tcPr>
            <w:tcW w:w="1814"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水费</w:t>
            </w:r>
          </w:p>
        </w:tc>
        <w:tc>
          <w:tcPr>
            <w:tcW w:w="964"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cs="Times New Roman" w:hAnsi="Times New Roman" w:hint="eastAsia"/>
                <w:sz w:val="18"/>
                <w:szCs w:val="18"/>
                <w:lang w:eastAsia="zh-CN"/>
                <w:highlight w:val="auto"/>
              </w:rPr>
            </w:pPr>
            <w:r>
              <w:rPr>
                <w:rFonts w:ascii="Times New Roman" w:cs="Times New Roman" w:hAnsi="Times New Roman" w:hint="eastAsia"/>
                <w:sz w:val="18"/>
                <w:szCs w:val="18"/>
                <w:lang w:eastAsia="zh-CN"/>
                <w:highlight w:val="auto"/>
              </w:rPr>
              <w:t>0.94</w:t>
            </w: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31002</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办公设备购置</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cs="Times New Roman" w:hAnsi="Times New Roman" w:hint="eastAsia"/>
                <w:sz w:val="18"/>
                <w:szCs w:val="18"/>
                <w:lang w:eastAsia="zh-CN"/>
                <w:highlight w:val="auto"/>
              </w:rPr>
            </w:pPr>
          </w:p>
        </w:tc>
      </w:tr>
      <w:tr>
        <w:trPr>
          <w:trHeight w:val="510"/>
        </w:trPr>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30108</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机关事业单位基本养老保险缴费</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cs="Times New Roman" w:hAnsi="Times New Roman" w:hint="eastAsia"/>
                <w:sz w:val="18"/>
                <w:szCs w:val="18"/>
                <w:lang w:eastAsia="zh-CN"/>
                <w:highlight w:val="auto"/>
              </w:rPr>
            </w:pPr>
            <w:r>
              <w:rPr>
                <w:rFonts w:ascii="Times New Roman" w:cs="Times New Roman" w:hAnsi="Times New Roman" w:hint="eastAsia"/>
                <w:sz w:val="18"/>
                <w:szCs w:val="18"/>
                <w:lang w:eastAsia="zh-CN"/>
                <w:highlight w:val="auto"/>
              </w:rPr>
              <w:t>173.45</w:t>
            </w: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30206</w:t>
            </w:r>
          </w:p>
        </w:tc>
        <w:tc>
          <w:tcPr>
            <w:tcW w:w="1814"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电费</w:t>
            </w:r>
          </w:p>
        </w:tc>
        <w:tc>
          <w:tcPr>
            <w:tcW w:w="964"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cs="Times New Roman" w:hAnsi="Times New Roman" w:hint="eastAsia"/>
                <w:sz w:val="18"/>
                <w:szCs w:val="18"/>
                <w:lang w:eastAsia="zh-CN"/>
                <w:highlight w:val="auto"/>
              </w:rPr>
            </w:pPr>
            <w:r>
              <w:rPr>
                <w:rFonts w:ascii="Times New Roman" w:cs="Times New Roman" w:hAnsi="Times New Roman" w:hint="eastAsia"/>
                <w:sz w:val="18"/>
                <w:szCs w:val="18"/>
                <w:lang w:eastAsia="zh-CN"/>
                <w:highlight w:val="auto"/>
              </w:rPr>
              <w:t>2.03</w:t>
            </w: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31003</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专用设备购置</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宋体" w:eastAsia="宋体" w:cs="宋体" w:hint="eastAsia"/>
                <w:i w:val="0"/>
                <w:iCs w:val="0"/>
                <w:color w:val="000000"/>
                <w:sz w:val="18"/>
                <w:szCs w:val="18"/>
                <w:u w:val="none"/>
                <w:highlight w:val="auto"/>
              </w:rPr>
            </w:pPr>
          </w:p>
        </w:tc>
      </w:tr>
      <w:tr>
        <w:trPr>
          <w:trHeight w:val="510"/>
        </w:trPr>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30109</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职业年金缴费</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cs="Times New Roman" w:hAnsi="Times New Roman" w:hint="eastAsia"/>
                <w:sz w:val="18"/>
                <w:szCs w:val="18"/>
                <w:lang w:eastAsia="zh-CN"/>
                <w:highlight w:val="auto"/>
              </w:rPr>
            </w:pPr>
            <w:r>
              <w:rPr>
                <w:rFonts w:ascii="Times New Roman" w:cs="Times New Roman" w:hAnsi="Times New Roman" w:hint="eastAsia"/>
                <w:sz w:val="18"/>
                <w:szCs w:val="18"/>
                <w:lang w:eastAsia="zh-CN"/>
                <w:highlight w:val="auto"/>
              </w:rPr>
              <w:t>3.35</w:t>
            </w: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30207</w:t>
            </w:r>
          </w:p>
        </w:tc>
        <w:tc>
          <w:tcPr>
            <w:tcW w:w="1814"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邮电费</w:t>
            </w:r>
          </w:p>
        </w:tc>
        <w:tc>
          <w:tcPr>
            <w:tcW w:w="964"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cs="Times New Roman" w:hAnsi="Times New Roman" w:hint="eastAsia"/>
                <w:sz w:val="18"/>
                <w:szCs w:val="18"/>
                <w:lang w:eastAsia="zh-CN"/>
                <w:highlight w:val="auto"/>
              </w:rPr>
            </w:pPr>
            <w:r>
              <w:rPr>
                <w:rFonts w:ascii="Times New Roman" w:cs="Times New Roman" w:hAnsi="Times New Roman" w:hint="eastAsia"/>
                <w:sz w:val="18"/>
                <w:szCs w:val="18"/>
                <w:lang w:eastAsia="zh-CN"/>
                <w:highlight w:val="auto"/>
              </w:rPr>
              <w:t>2.03</w:t>
            </w: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31005</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基础设施建设</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宋体" w:eastAsia="宋体" w:cs="宋体" w:hint="eastAsia"/>
                <w:i w:val="0"/>
                <w:iCs w:val="0"/>
                <w:color w:val="000000"/>
                <w:sz w:val="18"/>
                <w:szCs w:val="18"/>
                <w:u w:val="none"/>
                <w:highlight w:val="auto"/>
              </w:rPr>
            </w:pPr>
          </w:p>
        </w:tc>
      </w:tr>
      <w:tr>
        <w:trPr>
          <w:trHeight w:val="510"/>
        </w:trPr>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30110</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职工基本医疗保险缴费</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sz w:val="18"/>
                <w:szCs w:val="18"/>
                <w:highlight w:val="auto"/>
              </w:rPr>
              <w:t>89.22</w:t>
            </w: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30208</w:t>
            </w:r>
          </w:p>
        </w:tc>
        <w:tc>
          <w:tcPr>
            <w:tcW w:w="1814"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取暖费</w:t>
            </w:r>
          </w:p>
        </w:tc>
        <w:tc>
          <w:tcPr>
            <w:tcW w:w="964"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sz w:val="18"/>
                <w:szCs w:val="18"/>
                <w:highlight w:val="auto"/>
              </w:rPr>
              <w:t>19.73</w:t>
            </w: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31006</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大型修缮</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p>
        </w:tc>
      </w:tr>
      <w:tr>
        <w:trPr>
          <w:trHeight w:val="510"/>
        </w:trPr>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30111</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公务员医疗补助缴费</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30209</w:t>
            </w:r>
          </w:p>
        </w:tc>
        <w:tc>
          <w:tcPr>
            <w:tcW w:w="1814"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物业管理费</w:t>
            </w:r>
          </w:p>
        </w:tc>
        <w:tc>
          <w:tcPr>
            <w:tcW w:w="964"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31007</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信息网络及软件购置更新</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p>
        </w:tc>
      </w:tr>
      <w:tr>
        <w:trPr>
          <w:trHeight w:val="510"/>
        </w:trPr>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30112</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其他社会保障缴费</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sz w:val="18"/>
                <w:szCs w:val="18"/>
                <w:highlight w:val="auto"/>
              </w:rPr>
              <w:t>12.36</w:t>
            </w: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30211</w:t>
            </w:r>
          </w:p>
        </w:tc>
        <w:tc>
          <w:tcPr>
            <w:tcW w:w="1814"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差旅费</w:t>
            </w:r>
          </w:p>
        </w:tc>
        <w:tc>
          <w:tcPr>
            <w:tcW w:w="964"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31008</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物资储备</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p>
        </w:tc>
      </w:tr>
      <w:tr>
        <w:trPr>
          <w:trHeight w:val="510"/>
        </w:trPr>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30113</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住房公积金</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sz w:val="18"/>
                <w:szCs w:val="18"/>
                <w:highlight w:val="auto"/>
              </w:rPr>
              <w:t>162.65</w:t>
            </w: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30212</w:t>
            </w:r>
          </w:p>
        </w:tc>
        <w:tc>
          <w:tcPr>
            <w:tcW w:w="1814"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因公出国（境）费用</w:t>
            </w:r>
          </w:p>
        </w:tc>
        <w:tc>
          <w:tcPr>
            <w:tcW w:w="964"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31009</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土地补偿</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p>
        </w:tc>
      </w:tr>
      <w:tr>
        <w:trPr>
          <w:trHeight w:val="510"/>
        </w:trPr>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30114</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医疗费</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30213</w:t>
            </w:r>
          </w:p>
        </w:tc>
        <w:tc>
          <w:tcPr>
            <w:tcW w:w="1814"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维修（护）费</w:t>
            </w:r>
          </w:p>
        </w:tc>
        <w:tc>
          <w:tcPr>
            <w:tcW w:w="964"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sz w:val="18"/>
                <w:szCs w:val="18"/>
                <w:highlight w:val="auto"/>
              </w:rPr>
              <w:t>24.39</w:t>
            </w: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31010</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安置补助</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p>
        </w:tc>
      </w:tr>
      <w:tr>
        <w:trPr>
          <w:trHeight w:val="510"/>
        </w:trPr>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30199</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其他工资福利支出</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30214</w:t>
            </w:r>
          </w:p>
        </w:tc>
        <w:tc>
          <w:tcPr>
            <w:tcW w:w="1814"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 xml:space="preserve">  租赁费</w:t>
            </w:r>
          </w:p>
        </w:tc>
        <w:tc>
          <w:tcPr>
            <w:tcW w:w="964"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31011</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地上附着物和青苗补偿</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p>
        </w:tc>
      </w:tr>
      <w:tr>
        <w:trPr>
          <w:trHeight w:val="510"/>
        </w:trPr>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303</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对个人和家庭的补助</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sz w:val="18"/>
                <w:szCs w:val="18"/>
                <w:highlight w:val="auto"/>
              </w:rPr>
              <w:t>560.68</w:t>
            </w: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30215</w:t>
            </w:r>
          </w:p>
        </w:tc>
        <w:tc>
          <w:tcPr>
            <w:tcW w:w="1814"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会议费</w:t>
            </w:r>
          </w:p>
        </w:tc>
        <w:tc>
          <w:tcPr>
            <w:tcW w:w="964"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31012</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拆迁补偿</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p>
        </w:tc>
      </w:tr>
      <w:tr>
        <w:trPr>
          <w:trHeight w:val="510"/>
        </w:trPr>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30301</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离休费</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30216</w:t>
            </w:r>
          </w:p>
        </w:tc>
        <w:tc>
          <w:tcPr>
            <w:tcW w:w="1814"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培训费</w:t>
            </w:r>
          </w:p>
        </w:tc>
        <w:tc>
          <w:tcPr>
            <w:tcW w:w="964"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31013</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公务用车购置</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p>
        </w:tc>
      </w:tr>
      <w:tr>
        <w:trPr>
          <w:trHeight w:val="510"/>
        </w:trPr>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30302</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退休费</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sz w:val="18"/>
                <w:szCs w:val="18"/>
                <w:highlight w:val="auto"/>
              </w:rPr>
              <w:t>530.52</w:t>
            </w: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30217</w:t>
            </w:r>
          </w:p>
        </w:tc>
        <w:tc>
          <w:tcPr>
            <w:tcW w:w="1814"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公务接待费</w:t>
            </w:r>
          </w:p>
        </w:tc>
        <w:tc>
          <w:tcPr>
            <w:tcW w:w="964"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31019</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其他交通工具购置</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p>
        </w:tc>
      </w:tr>
      <w:tr>
        <w:trPr>
          <w:trHeight w:val="510"/>
        </w:trPr>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30303</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退职（役）费</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30218</w:t>
            </w:r>
          </w:p>
        </w:tc>
        <w:tc>
          <w:tcPr>
            <w:tcW w:w="1814"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专用材料费</w:t>
            </w:r>
          </w:p>
        </w:tc>
        <w:tc>
          <w:tcPr>
            <w:tcW w:w="964"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31021</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文物和陈列品购置</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p>
        </w:tc>
      </w:tr>
      <w:tr>
        <w:trPr>
          <w:trHeight w:val="510"/>
        </w:trPr>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30304</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抚恤金</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30224</w:t>
            </w:r>
          </w:p>
        </w:tc>
        <w:tc>
          <w:tcPr>
            <w:tcW w:w="1814"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被装购置费</w:t>
            </w:r>
          </w:p>
        </w:tc>
        <w:tc>
          <w:tcPr>
            <w:tcW w:w="964"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31022</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无形资产购置</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p>
        </w:tc>
      </w:tr>
      <w:tr>
        <w:trPr>
          <w:trHeight w:val="510"/>
        </w:trPr>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30305</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生活补助</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sz w:val="18"/>
                <w:szCs w:val="18"/>
                <w:highlight w:val="auto"/>
              </w:rPr>
              <w:t>30.16</w:t>
            </w: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30225</w:t>
            </w:r>
          </w:p>
        </w:tc>
        <w:tc>
          <w:tcPr>
            <w:tcW w:w="1814"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专用燃料费</w:t>
            </w:r>
          </w:p>
        </w:tc>
        <w:tc>
          <w:tcPr>
            <w:tcW w:w="964"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31099</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其他资本性支出</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p>
        </w:tc>
      </w:tr>
      <w:tr>
        <w:trPr>
          <w:trHeight w:val="510"/>
        </w:trPr>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30306</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救济费</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30226</w:t>
            </w:r>
          </w:p>
        </w:tc>
        <w:tc>
          <w:tcPr>
            <w:tcW w:w="1814"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劳务费</w:t>
            </w:r>
          </w:p>
        </w:tc>
        <w:tc>
          <w:tcPr>
            <w:tcW w:w="964"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312</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对企业补助</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p>
        </w:tc>
      </w:tr>
      <w:tr>
        <w:trPr>
          <w:trHeight w:val="510"/>
        </w:trPr>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30307</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医疗费补助</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30227</w:t>
            </w:r>
          </w:p>
        </w:tc>
        <w:tc>
          <w:tcPr>
            <w:tcW w:w="1814"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委托业务费</w:t>
            </w:r>
          </w:p>
        </w:tc>
        <w:tc>
          <w:tcPr>
            <w:tcW w:w="964"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31201</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资本金注入</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p>
        </w:tc>
      </w:tr>
      <w:tr>
        <w:trPr>
          <w:trHeight w:val="510"/>
        </w:trPr>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30308</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助学金</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30228</w:t>
            </w:r>
          </w:p>
        </w:tc>
        <w:tc>
          <w:tcPr>
            <w:tcW w:w="1814"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工会经费</w:t>
            </w:r>
          </w:p>
        </w:tc>
        <w:tc>
          <w:tcPr>
            <w:tcW w:w="964"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sz w:val="18"/>
                <w:szCs w:val="18"/>
                <w:highlight w:val="auto"/>
              </w:rPr>
              <w:t>6.92</w:t>
            </w: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31203</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政府投资基金股权投资</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p>
        </w:tc>
      </w:tr>
      <w:tr>
        <w:trPr>
          <w:trHeight w:val="510"/>
        </w:trPr>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30309</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奖励金</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30229</w:t>
            </w:r>
          </w:p>
        </w:tc>
        <w:tc>
          <w:tcPr>
            <w:tcW w:w="1814"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福利费</w:t>
            </w:r>
          </w:p>
        </w:tc>
        <w:tc>
          <w:tcPr>
            <w:tcW w:w="964"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sz w:val="18"/>
                <w:szCs w:val="18"/>
                <w:highlight w:val="auto"/>
              </w:rPr>
              <w:t>2.92</w:t>
            </w: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31204</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费用补贴</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p>
        </w:tc>
      </w:tr>
      <w:tr>
        <w:trPr>
          <w:trHeight w:val="510"/>
        </w:trPr>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30310</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个人农业生产补贴</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30231</w:t>
            </w:r>
          </w:p>
        </w:tc>
        <w:tc>
          <w:tcPr>
            <w:tcW w:w="1814"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公务用车运行维护费</w:t>
            </w:r>
          </w:p>
        </w:tc>
        <w:tc>
          <w:tcPr>
            <w:tcW w:w="964"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sz w:val="18"/>
                <w:szCs w:val="18"/>
                <w:highlight w:val="auto"/>
              </w:rPr>
              <w:t>13.36</w:t>
            </w: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31205</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利息补贴</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p>
        </w:tc>
      </w:tr>
      <w:tr>
        <w:trPr>
          <w:trHeight w:val="510"/>
        </w:trPr>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30311</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代缴社会保险费</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30239</w:t>
            </w:r>
          </w:p>
        </w:tc>
        <w:tc>
          <w:tcPr>
            <w:tcW w:w="1814"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其他交通费用</w:t>
            </w:r>
          </w:p>
        </w:tc>
        <w:tc>
          <w:tcPr>
            <w:tcW w:w="964"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sz w:val="18"/>
                <w:szCs w:val="18"/>
                <w:highlight w:val="auto"/>
              </w:rPr>
              <w:t>5.79</w:t>
            </w: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31299</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其他对企业补助</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p>
        </w:tc>
      </w:tr>
      <w:tr>
        <w:trPr>
          <w:trHeight w:val="510"/>
        </w:trPr>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30399</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其他对个人和家庭的补助</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30240</w:t>
            </w:r>
          </w:p>
        </w:tc>
        <w:tc>
          <w:tcPr>
            <w:tcW w:w="1814"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税金及附加费用</w:t>
            </w:r>
          </w:p>
        </w:tc>
        <w:tc>
          <w:tcPr>
            <w:tcW w:w="964"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399</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其他支出</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p>
        </w:tc>
      </w:tr>
      <w:tr>
        <w:trPr>
          <w:trHeight w:val="510"/>
        </w:trPr>
        <w:tc>
          <w:tcPr>
            <w:tcW w:w="964" w:type="dxa"/>
            <w:tcBorders>
              <w:top w:val="single" w:sz="4" w:space="0" w:color="auto"/>
              <w:left w:val="single" w:sz="4" w:space="0" w:color="auto"/>
              <w:bottom w:val="single" w:sz="4" w:space="0" w:color="auto"/>
              <w:right w:val="single" w:sz="4" w:space="0" w:color="auto"/>
            </w:tcBorders>
            <w:noWrap/>
            <w:vAlign w:val="center"/>
          </w:tcPr>
          <w:p>
            <w:pPr>
              <w:jc w:val="center"/>
              <w:rPr>
                <w:rFonts w:ascii="宋体" w:eastAsia="宋体" w:cs="宋体" w:hint="eastAsia"/>
                <w:i w:val="0"/>
                <w:iCs w:val="0"/>
                <w:color w:val="000000"/>
                <w:sz w:val="18"/>
                <w:szCs w:val="18"/>
                <w:u w:val="none"/>
                <w:highlight w:val="auto"/>
              </w:rPr>
            </w:pPr>
          </w:p>
        </w:tc>
        <w:tc>
          <w:tcPr>
            <w:tcW w:w="1814" w:type="dxa"/>
            <w:tcBorders>
              <w:top w:val="single" w:sz="4" w:space="0" w:color="auto"/>
              <w:left w:val="single" w:sz="4" w:space="0" w:color="auto"/>
              <w:bottom w:val="single" w:sz="4" w:space="0" w:color="auto"/>
              <w:right w:val="single" w:sz="4" w:space="0" w:color="auto"/>
            </w:tcBorders>
            <w:noWrap/>
            <w:vAlign w:val="center"/>
          </w:tcPr>
          <w:p>
            <w:pPr>
              <w:jc w:val="left"/>
              <w:rPr>
                <w:rFonts w:ascii="宋体" w:eastAsia="宋体" w:cs="宋体" w:hint="eastAsia"/>
                <w:i w:val="0"/>
                <w:iCs w:val="0"/>
                <w:color w:val="000000"/>
                <w:sz w:val="18"/>
                <w:szCs w:val="18"/>
                <w:u w:val="none"/>
                <w:highlight w:val="auto"/>
              </w:rPr>
            </w:pPr>
          </w:p>
        </w:tc>
        <w:tc>
          <w:tcPr>
            <w:tcW w:w="1020" w:type="dxa"/>
            <w:tcBorders>
              <w:top w:val="single" w:sz="4" w:space="0" w:color="auto"/>
              <w:left w:val="single" w:sz="4" w:space="0" w:color="auto"/>
              <w:bottom w:val="single" w:sz="4" w:space="0" w:color="auto"/>
              <w:right w:val="single" w:sz="4" w:space="0" w:color="auto"/>
            </w:tcBorders>
            <w:noWrap/>
            <w:vAlign w:val="center"/>
          </w:tcPr>
          <w:p>
            <w:pPr>
              <w:jc w:val="left"/>
              <w:rPr>
                <w:rFonts w:ascii="Times New Roman" w:eastAsia="宋体" w:cs="Times New Roman" w:hAnsi="Times New Roman"/>
                <w:i w:val="0"/>
                <w:iCs w:val="0"/>
                <w:color w:val="000000"/>
                <w:sz w:val="18"/>
                <w:szCs w:val="18"/>
                <w:u w:val="none"/>
                <w:highlight w:val="auto"/>
              </w:rPr>
            </w:pP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30299</w:t>
            </w:r>
          </w:p>
        </w:tc>
        <w:tc>
          <w:tcPr>
            <w:tcW w:w="1814"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其他商品和服务支出</w:t>
            </w:r>
          </w:p>
        </w:tc>
        <w:tc>
          <w:tcPr>
            <w:tcW w:w="964" w:type="dxa"/>
            <w:gridSpan w:val="2"/>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sz w:val="18"/>
                <w:szCs w:val="18"/>
                <w:highlight w:val="auto"/>
              </w:rPr>
              <w:t>7.95</w:t>
            </w: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39907</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国家赔偿费用支出</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p>
        </w:tc>
      </w:tr>
      <w:tr>
        <w:trPr>
          <w:trHeight w:val="510"/>
        </w:trPr>
        <w:tc>
          <w:tcPr>
            <w:tcW w:w="964" w:type="dxa"/>
            <w:tcBorders>
              <w:top w:val="single" w:sz="4" w:space="0" w:color="auto"/>
              <w:left w:val="single" w:sz="4" w:space="0" w:color="auto"/>
              <w:bottom w:val="single" w:sz="4" w:space="0" w:color="auto"/>
              <w:right w:val="single" w:sz="4" w:space="0" w:color="auto"/>
            </w:tcBorders>
            <w:noWrap/>
            <w:vAlign w:val="center"/>
          </w:tcPr>
          <w:p>
            <w:pPr>
              <w:jc w:val="center"/>
              <w:rPr>
                <w:rFonts w:ascii="宋体" w:eastAsia="宋体" w:cs="宋体" w:hint="eastAsia"/>
                <w:i w:val="0"/>
                <w:iCs w:val="0"/>
                <w:color w:val="000000"/>
                <w:sz w:val="18"/>
                <w:szCs w:val="18"/>
                <w:u w:val="none"/>
                <w:highlight w:val="auto"/>
              </w:rPr>
            </w:pPr>
          </w:p>
        </w:tc>
        <w:tc>
          <w:tcPr>
            <w:tcW w:w="1814" w:type="dxa"/>
            <w:tcBorders>
              <w:top w:val="single" w:sz="4" w:space="0" w:color="auto"/>
              <w:left w:val="single" w:sz="4" w:space="0" w:color="auto"/>
              <w:bottom w:val="single" w:sz="4" w:space="0" w:color="auto"/>
              <w:right w:val="single" w:sz="4" w:space="0" w:color="auto"/>
            </w:tcBorders>
            <w:noWrap/>
            <w:vAlign w:val="center"/>
          </w:tcPr>
          <w:p>
            <w:pPr>
              <w:jc w:val="left"/>
              <w:rPr>
                <w:rFonts w:ascii="宋体" w:eastAsia="宋体" w:cs="宋体" w:hint="eastAsia"/>
                <w:i w:val="0"/>
                <w:iCs w:val="0"/>
                <w:color w:val="000000"/>
                <w:sz w:val="18"/>
                <w:szCs w:val="18"/>
                <w:u w:val="none"/>
                <w:highlight w:val="auto"/>
              </w:rPr>
            </w:pPr>
          </w:p>
        </w:tc>
        <w:tc>
          <w:tcPr>
            <w:tcW w:w="1020" w:type="dxa"/>
            <w:tcBorders>
              <w:top w:val="single" w:sz="4" w:space="0" w:color="auto"/>
              <w:left w:val="single" w:sz="4" w:space="0" w:color="auto"/>
              <w:bottom w:val="single" w:sz="4" w:space="0" w:color="auto"/>
              <w:right w:val="single" w:sz="4" w:space="0" w:color="auto"/>
            </w:tcBorders>
            <w:noWrap/>
            <w:vAlign w:val="center"/>
          </w:tcPr>
          <w:p>
            <w:pPr>
              <w:jc w:val="left"/>
              <w:rPr>
                <w:rFonts w:ascii="宋体" w:eastAsia="宋体" w:cs="宋体" w:hint="eastAsia"/>
                <w:i w:val="0"/>
                <w:iCs w:val="0"/>
                <w:color w:val="000000"/>
                <w:sz w:val="18"/>
                <w:szCs w:val="18"/>
                <w:u w:val="none"/>
                <w:highlight w:val="auto"/>
              </w:rPr>
            </w:pPr>
          </w:p>
        </w:tc>
        <w:tc>
          <w:tcPr>
            <w:tcW w:w="964" w:type="dxa"/>
            <w:tcBorders>
              <w:top w:val="single" w:sz="4" w:space="0" w:color="auto"/>
              <w:left w:val="single" w:sz="4" w:space="0" w:color="auto"/>
              <w:bottom w:val="single" w:sz="4" w:space="0" w:color="auto"/>
              <w:right w:val="single" w:sz="4" w:space="0" w:color="auto"/>
            </w:tcBorders>
            <w:noWrap/>
            <w:vAlign w:val="center"/>
          </w:tcPr>
          <w:p>
            <w:pPr>
              <w:jc w:val="left"/>
              <w:rPr>
                <w:rFonts w:ascii="宋体" w:eastAsia="宋体" w:cs="宋体" w:hint="eastAsia"/>
                <w:i w:val="0"/>
                <w:iCs w:val="0"/>
                <w:color w:val="000000"/>
                <w:sz w:val="18"/>
                <w:szCs w:val="18"/>
                <w:u w:val="none"/>
                <w:highlight w:val="auto"/>
              </w:rPr>
            </w:pPr>
          </w:p>
        </w:tc>
        <w:tc>
          <w:tcPr>
            <w:tcW w:w="1814" w:type="dxa"/>
            <w:gridSpan w:val="2"/>
            <w:tcBorders>
              <w:top w:val="single" w:sz="4" w:space="0" w:color="auto"/>
              <w:left w:val="single" w:sz="4" w:space="0" w:color="auto"/>
              <w:bottom w:val="single" w:sz="4" w:space="0" w:color="auto"/>
              <w:right w:val="single" w:sz="4" w:space="0" w:color="auto"/>
            </w:tcBorders>
            <w:noWrap/>
            <w:vAlign w:val="center"/>
          </w:tcPr>
          <w:p>
            <w:pPr>
              <w:jc w:val="left"/>
              <w:rPr>
                <w:rFonts w:ascii="宋体" w:eastAsia="宋体" w:cs="宋体" w:hint="eastAsia"/>
                <w:i w:val="0"/>
                <w:iCs w:val="0"/>
                <w:color w:val="000000"/>
                <w:sz w:val="18"/>
                <w:szCs w:val="18"/>
                <w:u w:val="none"/>
                <w:highlight w:val="auto"/>
              </w:rPr>
            </w:pPr>
          </w:p>
        </w:tc>
        <w:tc>
          <w:tcPr>
            <w:tcW w:w="964" w:type="dxa"/>
            <w:gridSpan w:val="2"/>
            <w:tcBorders>
              <w:top w:val="single" w:sz="4" w:space="0" w:color="auto"/>
              <w:left w:val="single" w:sz="4" w:space="0" w:color="auto"/>
              <w:bottom w:val="single" w:sz="4" w:space="0" w:color="auto"/>
              <w:right w:val="single" w:sz="4" w:space="0" w:color="auto"/>
            </w:tcBorders>
            <w:noWrap/>
            <w:vAlign w:val="center"/>
          </w:tcPr>
          <w:p>
            <w:pPr>
              <w:jc w:val="left"/>
              <w:rPr>
                <w:rFonts w:ascii="Times New Roman" w:eastAsia="宋体" w:cs="Times New Roman" w:hAnsi="Times New Roman"/>
                <w:i w:val="0"/>
                <w:iCs w:val="0"/>
                <w:color w:val="000000"/>
                <w:sz w:val="18"/>
                <w:szCs w:val="18"/>
                <w:u w:val="none"/>
                <w:highlight w:val="auto"/>
              </w:rPr>
            </w:pP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39908</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对民间非营利组织和群众性自治组织补贴</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p>
        </w:tc>
      </w:tr>
      <w:tr>
        <w:trPr>
          <w:trHeight w:val="510"/>
        </w:trPr>
        <w:tc>
          <w:tcPr>
            <w:tcW w:w="964" w:type="dxa"/>
            <w:tcBorders>
              <w:top w:val="single" w:sz="4" w:space="0" w:color="auto"/>
              <w:left w:val="single" w:sz="4" w:space="0" w:color="auto"/>
              <w:bottom w:val="single" w:sz="4" w:space="0" w:color="auto"/>
              <w:right w:val="single" w:sz="4" w:space="0" w:color="auto"/>
            </w:tcBorders>
            <w:noWrap/>
            <w:vAlign w:val="center"/>
          </w:tcPr>
          <w:p>
            <w:pPr>
              <w:jc w:val="center"/>
              <w:rPr>
                <w:rFonts w:ascii="宋体" w:eastAsia="宋体" w:cs="宋体" w:hint="eastAsia"/>
                <w:i w:val="0"/>
                <w:iCs w:val="0"/>
                <w:color w:val="000000"/>
                <w:sz w:val="18"/>
                <w:szCs w:val="18"/>
                <w:u w:val="none"/>
                <w:highlight w:val="auto"/>
              </w:rPr>
            </w:pPr>
          </w:p>
        </w:tc>
        <w:tc>
          <w:tcPr>
            <w:tcW w:w="1814" w:type="dxa"/>
            <w:tcBorders>
              <w:top w:val="single" w:sz="4" w:space="0" w:color="auto"/>
              <w:left w:val="single" w:sz="4" w:space="0" w:color="auto"/>
              <w:bottom w:val="single" w:sz="4" w:space="0" w:color="auto"/>
              <w:right w:val="single" w:sz="4" w:space="0" w:color="auto"/>
            </w:tcBorders>
            <w:noWrap/>
            <w:vAlign w:val="center"/>
          </w:tcPr>
          <w:p>
            <w:pPr>
              <w:jc w:val="left"/>
              <w:rPr>
                <w:rFonts w:ascii="宋体" w:eastAsia="宋体" w:cs="宋体" w:hint="eastAsia"/>
                <w:i w:val="0"/>
                <w:iCs w:val="0"/>
                <w:color w:val="000000"/>
                <w:sz w:val="18"/>
                <w:szCs w:val="18"/>
                <w:u w:val="none"/>
                <w:highlight w:val="auto"/>
              </w:rPr>
            </w:pPr>
          </w:p>
        </w:tc>
        <w:tc>
          <w:tcPr>
            <w:tcW w:w="1020" w:type="dxa"/>
            <w:tcBorders>
              <w:top w:val="single" w:sz="4" w:space="0" w:color="auto"/>
              <w:left w:val="single" w:sz="4" w:space="0" w:color="auto"/>
              <w:bottom w:val="single" w:sz="4" w:space="0" w:color="auto"/>
              <w:right w:val="single" w:sz="4" w:space="0" w:color="auto"/>
            </w:tcBorders>
            <w:noWrap/>
            <w:vAlign w:val="center"/>
          </w:tcPr>
          <w:p>
            <w:pPr>
              <w:jc w:val="left"/>
              <w:rPr>
                <w:rFonts w:ascii="宋体" w:eastAsia="宋体" w:cs="宋体" w:hint="eastAsia"/>
                <w:i w:val="0"/>
                <w:iCs w:val="0"/>
                <w:color w:val="000000"/>
                <w:sz w:val="18"/>
                <w:szCs w:val="18"/>
                <w:u w:val="none"/>
                <w:highlight w:val="auto"/>
              </w:rPr>
            </w:pPr>
          </w:p>
        </w:tc>
        <w:tc>
          <w:tcPr>
            <w:tcW w:w="964" w:type="dxa"/>
            <w:tcBorders>
              <w:top w:val="single" w:sz="4" w:space="0" w:color="auto"/>
              <w:left w:val="single" w:sz="4" w:space="0" w:color="auto"/>
              <w:bottom w:val="single" w:sz="4" w:space="0" w:color="auto"/>
              <w:right w:val="single" w:sz="4" w:space="0" w:color="auto"/>
            </w:tcBorders>
            <w:noWrap/>
            <w:vAlign w:val="center"/>
          </w:tcPr>
          <w:p>
            <w:pPr>
              <w:jc w:val="left"/>
              <w:rPr>
                <w:rFonts w:ascii="宋体" w:eastAsia="宋体" w:cs="宋体" w:hint="eastAsia"/>
                <w:i w:val="0"/>
                <w:iCs w:val="0"/>
                <w:color w:val="000000"/>
                <w:sz w:val="18"/>
                <w:szCs w:val="18"/>
                <w:u w:val="none"/>
                <w:highlight w:val="auto"/>
              </w:rPr>
            </w:pPr>
          </w:p>
        </w:tc>
        <w:tc>
          <w:tcPr>
            <w:tcW w:w="1814" w:type="dxa"/>
            <w:gridSpan w:val="2"/>
            <w:tcBorders>
              <w:top w:val="single" w:sz="4" w:space="0" w:color="auto"/>
              <w:left w:val="single" w:sz="4" w:space="0" w:color="auto"/>
              <w:bottom w:val="single" w:sz="4" w:space="0" w:color="auto"/>
              <w:right w:val="single" w:sz="4" w:space="0" w:color="auto"/>
            </w:tcBorders>
            <w:noWrap/>
            <w:vAlign w:val="center"/>
          </w:tcPr>
          <w:p>
            <w:pPr>
              <w:jc w:val="left"/>
              <w:rPr>
                <w:rFonts w:ascii="宋体" w:eastAsia="宋体" w:cs="宋体" w:hint="eastAsia"/>
                <w:i w:val="0"/>
                <w:iCs w:val="0"/>
                <w:color w:val="000000"/>
                <w:sz w:val="18"/>
                <w:szCs w:val="18"/>
                <w:u w:val="none"/>
                <w:highlight w:val="auto"/>
              </w:rPr>
            </w:pPr>
          </w:p>
        </w:tc>
        <w:tc>
          <w:tcPr>
            <w:tcW w:w="964" w:type="dxa"/>
            <w:gridSpan w:val="2"/>
            <w:tcBorders>
              <w:top w:val="single" w:sz="4" w:space="0" w:color="auto"/>
              <w:left w:val="single" w:sz="4" w:space="0" w:color="auto"/>
              <w:bottom w:val="single" w:sz="4" w:space="0" w:color="auto"/>
              <w:right w:val="single" w:sz="4" w:space="0" w:color="auto"/>
            </w:tcBorders>
            <w:noWrap/>
            <w:vAlign w:val="center"/>
          </w:tcPr>
          <w:p>
            <w:pPr>
              <w:jc w:val="left"/>
              <w:rPr>
                <w:rFonts w:ascii="Times New Roman" w:eastAsia="宋体" w:cs="Times New Roman" w:hAnsi="Times New Roman"/>
                <w:i w:val="0"/>
                <w:iCs w:val="0"/>
                <w:color w:val="000000"/>
                <w:sz w:val="18"/>
                <w:szCs w:val="18"/>
                <w:u w:val="none"/>
                <w:highlight w:val="auto"/>
              </w:rPr>
            </w:pP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39909</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经常性赠与</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p>
        </w:tc>
      </w:tr>
      <w:tr>
        <w:trPr>
          <w:trHeight w:val="510"/>
        </w:trPr>
        <w:tc>
          <w:tcPr>
            <w:tcW w:w="964" w:type="dxa"/>
            <w:tcBorders>
              <w:top w:val="single" w:sz="4" w:space="0" w:color="auto"/>
              <w:left w:val="single" w:sz="4" w:space="0" w:color="auto"/>
              <w:bottom w:val="single" w:sz="4" w:space="0" w:color="auto"/>
              <w:right w:val="single" w:sz="4" w:space="0" w:color="auto"/>
            </w:tcBorders>
            <w:noWrap/>
            <w:vAlign w:val="center"/>
          </w:tcPr>
          <w:p>
            <w:pPr>
              <w:jc w:val="center"/>
              <w:rPr>
                <w:rFonts w:ascii="宋体" w:eastAsia="宋体" w:cs="宋体" w:hint="eastAsia"/>
                <w:i w:val="0"/>
                <w:iCs w:val="0"/>
                <w:color w:val="000000"/>
                <w:sz w:val="18"/>
                <w:szCs w:val="18"/>
                <w:u w:val="none"/>
                <w:highlight w:val="auto"/>
              </w:rPr>
            </w:pPr>
          </w:p>
        </w:tc>
        <w:tc>
          <w:tcPr>
            <w:tcW w:w="1814" w:type="dxa"/>
            <w:tcBorders>
              <w:top w:val="single" w:sz="4" w:space="0" w:color="auto"/>
              <w:left w:val="single" w:sz="4" w:space="0" w:color="auto"/>
              <w:bottom w:val="single" w:sz="4" w:space="0" w:color="auto"/>
              <w:right w:val="single" w:sz="4" w:space="0" w:color="auto"/>
            </w:tcBorders>
            <w:noWrap/>
            <w:vAlign w:val="center"/>
          </w:tcPr>
          <w:p>
            <w:pPr>
              <w:jc w:val="left"/>
              <w:rPr>
                <w:rFonts w:ascii="宋体" w:eastAsia="宋体" w:cs="宋体" w:hint="eastAsia"/>
                <w:i w:val="0"/>
                <w:iCs w:val="0"/>
                <w:color w:val="000000"/>
                <w:sz w:val="18"/>
                <w:szCs w:val="18"/>
                <w:u w:val="none"/>
                <w:highlight w:val="auto"/>
              </w:rPr>
            </w:pPr>
          </w:p>
        </w:tc>
        <w:tc>
          <w:tcPr>
            <w:tcW w:w="1020" w:type="dxa"/>
            <w:tcBorders>
              <w:top w:val="single" w:sz="4" w:space="0" w:color="auto"/>
              <w:left w:val="single" w:sz="4" w:space="0" w:color="auto"/>
              <w:bottom w:val="single" w:sz="4" w:space="0" w:color="auto"/>
              <w:right w:val="single" w:sz="4" w:space="0" w:color="auto"/>
            </w:tcBorders>
            <w:noWrap/>
            <w:vAlign w:val="center"/>
          </w:tcPr>
          <w:p>
            <w:pPr>
              <w:jc w:val="left"/>
              <w:rPr>
                <w:rFonts w:ascii="宋体" w:eastAsia="宋体" w:cs="宋体" w:hint="eastAsia"/>
                <w:i w:val="0"/>
                <w:iCs w:val="0"/>
                <w:color w:val="000000"/>
                <w:sz w:val="18"/>
                <w:szCs w:val="18"/>
                <w:u w:val="none"/>
                <w:highlight w:val="auto"/>
              </w:rPr>
            </w:pPr>
          </w:p>
        </w:tc>
        <w:tc>
          <w:tcPr>
            <w:tcW w:w="964" w:type="dxa"/>
            <w:tcBorders>
              <w:top w:val="single" w:sz="4" w:space="0" w:color="auto"/>
              <w:left w:val="single" w:sz="4" w:space="0" w:color="auto"/>
              <w:bottom w:val="single" w:sz="4" w:space="0" w:color="auto"/>
              <w:right w:val="single" w:sz="4" w:space="0" w:color="auto"/>
            </w:tcBorders>
            <w:noWrap/>
            <w:vAlign w:val="center"/>
          </w:tcPr>
          <w:p>
            <w:pPr>
              <w:jc w:val="left"/>
              <w:rPr>
                <w:rFonts w:ascii="宋体" w:eastAsia="宋体" w:cs="宋体" w:hint="eastAsia"/>
                <w:i w:val="0"/>
                <w:iCs w:val="0"/>
                <w:color w:val="000000"/>
                <w:sz w:val="18"/>
                <w:szCs w:val="18"/>
                <w:u w:val="none"/>
                <w:highlight w:val="auto"/>
              </w:rPr>
            </w:pPr>
          </w:p>
        </w:tc>
        <w:tc>
          <w:tcPr>
            <w:tcW w:w="1814" w:type="dxa"/>
            <w:gridSpan w:val="2"/>
            <w:tcBorders>
              <w:top w:val="single" w:sz="4" w:space="0" w:color="auto"/>
              <w:left w:val="single" w:sz="4" w:space="0" w:color="auto"/>
              <w:bottom w:val="single" w:sz="4" w:space="0" w:color="auto"/>
              <w:right w:val="single" w:sz="4" w:space="0" w:color="auto"/>
            </w:tcBorders>
            <w:noWrap/>
            <w:vAlign w:val="center"/>
          </w:tcPr>
          <w:p>
            <w:pPr>
              <w:jc w:val="left"/>
              <w:rPr>
                <w:rFonts w:ascii="宋体" w:eastAsia="宋体" w:cs="宋体" w:hint="eastAsia"/>
                <w:i w:val="0"/>
                <w:iCs w:val="0"/>
                <w:color w:val="000000"/>
                <w:sz w:val="18"/>
                <w:szCs w:val="18"/>
                <w:u w:val="none"/>
                <w:highlight w:val="auto"/>
              </w:rPr>
            </w:pPr>
          </w:p>
        </w:tc>
        <w:tc>
          <w:tcPr>
            <w:tcW w:w="964" w:type="dxa"/>
            <w:gridSpan w:val="2"/>
            <w:tcBorders>
              <w:top w:val="single" w:sz="4" w:space="0" w:color="auto"/>
              <w:left w:val="single" w:sz="4" w:space="0" w:color="auto"/>
              <w:bottom w:val="single" w:sz="4" w:space="0" w:color="auto"/>
              <w:right w:val="single" w:sz="4" w:space="0" w:color="auto"/>
            </w:tcBorders>
            <w:noWrap/>
            <w:vAlign w:val="center"/>
          </w:tcPr>
          <w:p>
            <w:pPr>
              <w:jc w:val="left"/>
              <w:rPr>
                <w:rFonts w:ascii="Times New Roman" w:eastAsia="宋体" w:cs="Times New Roman" w:hAnsi="Times New Roman"/>
                <w:i w:val="0"/>
                <w:iCs w:val="0"/>
                <w:color w:val="000000"/>
                <w:sz w:val="18"/>
                <w:szCs w:val="18"/>
                <w:u w:val="none"/>
                <w:highlight w:val="auto"/>
              </w:rPr>
            </w:pP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39910</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资本性赠与</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p>
        </w:tc>
      </w:tr>
      <w:tr>
        <w:trPr>
          <w:trHeight w:val="510"/>
        </w:trPr>
        <w:tc>
          <w:tcPr>
            <w:tcW w:w="964" w:type="dxa"/>
            <w:tcBorders>
              <w:top w:val="single" w:sz="4" w:space="0" w:color="auto"/>
              <w:left w:val="single" w:sz="4" w:space="0" w:color="auto"/>
              <w:bottom w:val="single" w:sz="4" w:space="0" w:color="auto"/>
              <w:right w:val="single" w:sz="4" w:space="0" w:color="auto"/>
            </w:tcBorders>
            <w:noWrap/>
            <w:vAlign w:val="center"/>
          </w:tcPr>
          <w:p>
            <w:pPr>
              <w:jc w:val="center"/>
              <w:rPr>
                <w:rFonts w:ascii="宋体" w:eastAsia="宋体" w:cs="宋体" w:hint="eastAsia"/>
                <w:i w:val="0"/>
                <w:iCs w:val="0"/>
                <w:color w:val="000000"/>
                <w:sz w:val="18"/>
                <w:szCs w:val="18"/>
                <w:u w:val="none"/>
                <w:highlight w:val="auto"/>
              </w:rPr>
            </w:pPr>
          </w:p>
        </w:tc>
        <w:tc>
          <w:tcPr>
            <w:tcW w:w="1814" w:type="dxa"/>
            <w:tcBorders>
              <w:top w:val="single" w:sz="4" w:space="0" w:color="auto"/>
              <w:left w:val="single" w:sz="4" w:space="0" w:color="auto"/>
              <w:bottom w:val="single" w:sz="4" w:space="0" w:color="auto"/>
              <w:right w:val="single" w:sz="4" w:space="0" w:color="auto"/>
            </w:tcBorders>
            <w:noWrap/>
            <w:vAlign w:val="center"/>
          </w:tcPr>
          <w:p>
            <w:pPr>
              <w:jc w:val="left"/>
              <w:rPr>
                <w:rFonts w:ascii="宋体" w:eastAsia="宋体" w:cs="宋体" w:hint="eastAsia"/>
                <w:i w:val="0"/>
                <w:iCs w:val="0"/>
                <w:color w:val="000000"/>
                <w:sz w:val="18"/>
                <w:szCs w:val="18"/>
                <w:u w:val="none"/>
                <w:highlight w:val="auto"/>
              </w:rPr>
            </w:pPr>
          </w:p>
        </w:tc>
        <w:tc>
          <w:tcPr>
            <w:tcW w:w="1020" w:type="dxa"/>
            <w:tcBorders>
              <w:top w:val="single" w:sz="4" w:space="0" w:color="auto"/>
              <w:left w:val="single" w:sz="4" w:space="0" w:color="auto"/>
              <w:bottom w:val="single" w:sz="4" w:space="0" w:color="auto"/>
              <w:right w:val="single" w:sz="4" w:space="0" w:color="auto"/>
            </w:tcBorders>
            <w:noWrap/>
            <w:vAlign w:val="center"/>
          </w:tcPr>
          <w:p>
            <w:pPr>
              <w:jc w:val="left"/>
              <w:rPr>
                <w:rFonts w:ascii="宋体" w:eastAsia="宋体" w:cs="宋体" w:hint="eastAsia"/>
                <w:i w:val="0"/>
                <w:iCs w:val="0"/>
                <w:color w:val="000000"/>
                <w:sz w:val="18"/>
                <w:szCs w:val="18"/>
                <w:u w:val="none"/>
                <w:highlight w:val="auto"/>
              </w:rPr>
            </w:pPr>
          </w:p>
        </w:tc>
        <w:tc>
          <w:tcPr>
            <w:tcW w:w="964" w:type="dxa"/>
            <w:tcBorders>
              <w:top w:val="single" w:sz="4" w:space="0" w:color="auto"/>
              <w:left w:val="single" w:sz="4" w:space="0" w:color="auto"/>
              <w:bottom w:val="single" w:sz="4" w:space="0" w:color="auto"/>
              <w:right w:val="single" w:sz="4" w:space="0" w:color="auto"/>
            </w:tcBorders>
            <w:noWrap/>
            <w:vAlign w:val="center"/>
          </w:tcPr>
          <w:p>
            <w:pPr>
              <w:jc w:val="left"/>
              <w:rPr>
                <w:rFonts w:ascii="宋体" w:eastAsia="宋体" w:cs="宋体" w:hint="eastAsia"/>
                <w:i w:val="0"/>
                <w:iCs w:val="0"/>
                <w:color w:val="000000"/>
                <w:sz w:val="18"/>
                <w:szCs w:val="18"/>
                <w:u w:val="none"/>
                <w:highlight w:val="auto"/>
              </w:rPr>
            </w:pPr>
          </w:p>
        </w:tc>
        <w:tc>
          <w:tcPr>
            <w:tcW w:w="1814" w:type="dxa"/>
            <w:gridSpan w:val="2"/>
            <w:tcBorders>
              <w:top w:val="single" w:sz="4" w:space="0" w:color="auto"/>
              <w:left w:val="single" w:sz="4" w:space="0" w:color="auto"/>
              <w:bottom w:val="single" w:sz="4" w:space="0" w:color="auto"/>
              <w:right w:val="single" w:sz="4" w:space="0" w:color="auto"/>
            </w:tcBorders>
            <w:noWrap/>
            <w:vAlign w:val="center"/>
          </w:tcPr>
          <w:p>
            <w:pPr>
              <w:jc w:val="left"/>
              <w:rPr>
                <w:rFonts w:ascii="宋体" w:eastAsia="宋体" w:cs="宋体" w:hint="eastAsia"/>
                <w:i w:val="0"/>
                <w:iCs w:val="0"/>
                <w:color w:val="000000"/>
                <w:sz w:val="18"/>
                <w:szCs w:val="18"/>
                <w:u w:val="none"/>
                <w:highlight w:val="auto"/>
              </w:rPr>
            </w:pPr>
          </w:p>
        </w:tc>
        <w:tc>
          <w:tcPr>
            <w:tcW w:w="964" w:type="dxa"/>
            <w:gridSpan w:val="2"/>
            <w:tcBorders>
              <w:top w:val="single" w:sz="4" w:space="0" w:color="auto"/>
              <w:left w:val="single" w:sz="4" w:space="0" w:color="auto"/>
              <w:bottom w:val="single" w:sz="4" w:space="0" w:color="auto"/>
              <w:right w:val="single" w:sz="4" w:space="0" w:color="auto"/>
            </w:tcBorders>
            <w:noWrap/>
            <w:vAlign w:val="center"/>
          </w:tcPr>
          <w:p>
            <w:pPr>
              <w:jc w:val="left"/>
              <w:rPr>
                <w:rFonts w:ascii="Times New Roman" w:eastAsia="宋体" w:cs="Times New Roman" w:hAnsi="Times New Roman"/>
                <w:i w:val="0"/>
                <w:iCs w:val="0"/>
                <w:color w:val="000000"/>
                <w:sz w:val="18"/>
                <w:szCs w:val="18"/>
                <w:u w:val="none"/>
                <w:highlight w:val="auto"/>
              </w:rPr>
            </w:pPr>
          </w:p>
        </w:tc>
        <w:tc>
          <w:tcPr>
            <w:tcW w:w="96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18"/>
                <w:szCs w:val="18"/>
                <w:u w:val="none"/>
                <w:highlight w:val="auto"/>
              </w:rPr>
            </w:pPr>
            <w:r>
              <w:rPr>
                <w:rFonts w:ascii="Times New Roman" w:eastAsia="宋体" w:cs="Times New Roman" w:hAnsi="Times New Roman"/>
                <w:i w:val="0"/>
                <w:iCs w:val="0"/>
                <w:color w:val="000000"/>
                <w:kern w:val="0"/>
                <w:sz w:val="18"/>
                <w:szCs w:val="18"/>
                <w:u w:val="none"/>
                <w:lang w:val="en-US" w:eastAsia="zh-CN"/>
                <w:highlight w:val="auto"/>
              </w:rPr>
              <w:t>39999</w:t>
            </w:r>
          </w:p>
        </w:tc>
        <w:tc>
          <w:tcPr>
            <w:tcW w:w="1814" w:type="dxa"/>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其他支出</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i w:val="0"/>
                <w:iCs w:val="0"/>
                <w:color w:val="000000"/>
                <w:sz w:val="18"/>
                <w:szCs w:val="18"/>
                <w:u w:val="none"/>
                <w:highlight w:val="auto"/>
              </w:rPr>
            </w:pPr>
          </w:p>
        </w:tc>
      </w:tr>
      <w:tr>
        <w:trPr>
          <w:trHeight w:val="510"/>
        </w:trPr>
        <w:tc>
          <w:tcPr>
            <w:tcW w:w="2778" w:type="dxa"/>
            <w:gridSpan w:val="2"/>
            <w:tcBorders>
              <w:top w:val="single" w:sz="4" w:space="0" w:color="auto"/>
              <w:left w:val="single" w:sz="4" w:space="0" w:color="auto"/>
              <w:bottom w:val="single" w:sz="4" w:space="0" w:color="auto"/>
              <w:right w:val="single" w:sz="4" w:space="0" w:color="auto"/>
            </w:tcBorders>
            <w:noWrap/>
            <w:vAlign w:val="center"/>
          </w:tcPr>
          <w:p>
            <w:pPr>
              <w:jc w:val="center"/>
              <w:rPr>
                <w:rFonts w:ascii="Times New Roman" w:eastAsia="宋体" w:cs="Times New Roman" w:hAnsi="Times New Roman"/>
                <w:sz w:val="18"/>
                <w:szCs w:val="18"/>
                <w:lang w:val="en-US" w:eastAsia="zh-CN"/>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人员经费合计</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Times New Roman" w:eastAsia="宋体" w:cs="Times New Roman" w:hAnsi="Times New Roman"/>
                <w:sz w:val="18"/>
                <w:szCs w:val="18"/>
                <w:highlight w:val="auto"/>
              </w:rPr>
            </w:pPr>
            <w:r>
              <w:rPr>
                <w:rFonts w:ascii="Times New Roman" w:eastAsia="宋体" w:cs="Times New Roman" w:hAnsi="Times New Roman"/>
                <w:sz w:val="18"/>
                <w:szCs w:val="18"/>
                <w:highlight w:val="auto"/>
              </w:rPr>
              <w:t>1,986.86</w:t>
            </w:r>
          </w:p>
        </w:tc>
        <w:tc>
          <w:tcPr>
            <w:tcW w:w="6520" w:type="dxa"/>
            <w:gridSpan w:val="7"/>
            <w:tcBorders>
              <w:top w:val="single" w:sz="4" w:space="0" w:color="auto"/>
              <w:left w:val="single" w:sz="4" w:space="0" w:color="auto"/>
              <w:bottom w:val="single" w:sz="4" w:space="0" w:color="auto"/>
              <w:right w:val="single" w:sz="4" w:space="0" w:color="auto"/>
            </w:tcBorders>
            <w:noWrap/>
            <w:vAlign w:val="center"/>
          </w:tcPr>
          <w:p>
            <w:pPr>
              <w:jc w:val="center"/>
              <w:rPr>
                <w:rFonts w:ascii="宋体" w:eastAsia="宋体" w:cs="宋体"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公用经费合计</w:t>
            </w:r>
          </w:p>
        </w:tc>
        <w:tc>
          <w:tcPr>
            <w:tcW w:w="1020" w:type="dxa"/>
            <w:tcBorders>
              <w:top w:val="single" w:sz="4" w:space="0" w:color="auto"/>
              <w:left w:val="single" w:sz="4" w:space="0" w:color="auto"/>
              <w:bottom w:val="single" w:sz="4" w:space="0" w:color="auto"/>
              <w:right w:val="single" w:sz="4" w:space="0" w:color="auto"/>
            </w:tcBorders>
            <w:noWrap/>
            <w:vAlign w:val="center"/>
          </w:tcPr>
          <w:p>
            <w:pPr>
              <w:jc w:val="right"/>
              <w:rPr>
                <w:rFonts w:ascii="宋体" w:eastAsia="宋体" w:cs="宋体" w:hint="eastAsia"/>
                <w:i w:val="0"/>
                <w:iCs w:val="0"/>
                <w:color w:val="000000"/>
                <w:sz w:val="18"/>
                <w:szCs w:val="18"/>
                <w:u w:val="none"/>
                <w:highlight w:val="auto"/>
              </w:rPr>
            </w:pPr>
            <w:r>
              <w:rPr>
                <w:rFonts w:ascii="Times New Roman" w:eastAsia="宋体" w:cs="Times New Roman" w:hAnsi="Times New Roman"/>
                <w:sz w:val="18"/>
                <w:szCs w:val="18"/>
                <w:highlight w:val="auto"/>
              </w:rPr>
              <w:t>105.71</w:t>
            </w:r>
          </w:p>
        </w:tc>
      </w:tr>
      <w:tr>
        <w:trPr>
          <w:trHeight w:val="510"/>
        </w:trPr>
        <w:tc>
          <w:tcPr>
            <w:tcW w:w="11338" w:type="dxa"/>
            <w:gridSpan w:val="11"/>
            <w:tcBorders>
              <w:top w:val="single" w:sz="4" w:space="0" w:color="auto"/>
              <w:left w:val="nil"/>
              <w:bottom w:val="nil"/>
              <w:right w:val="nil"/>
            </w:tcBorders>
            <w:noWrap/>
            <w:vAlign w:val="center"/>
          </w:tcPr>
          <w:p>
            <w:pPr>
              <w:keepNext w:val="0"/>
              <w:keepLines w:val="0"/>
              <w:widowControl/>
              <w:suppressLineNumbers w:val="0"/>
              <w:jc w:val="left"/>
              <w:textAlignment w:val="center"/>
              <w:rPr>
                <w:rFonts w:ascii="宋体" w:eastAsia="宋体" w:cs="宋体"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注：本表反映</w:t>
            </w:r>
            <w:r>
              <w:rPr>
                <w:rFonts w:ascii="方正仿宋_GB2312" w:eastAsia="方正仿宋_GB2312" w:cs="方正仿宋_GB2312" w:hAnsi="方正仿宋_GB2312" w:hint="eastAsia"/>
                <w:i w:val="0"/>
                <w:iCs w:val="0"/>
                <w:color w:val="000000"/>
                <w:kern w:val="0"/>
                <w:sz w:val="18"/>
                <w:szCs w:val="18"/>
                <w:u w:val="none"/>
                <w:lang w:val="en-US" w:eastAsia="zh-CN"/>
              </w:rPr>
              <w:t>单位</w:t>
            </w:r>
            <w:r>
              <w:rPr>
                <w:rFonts w:ascii="方正仿宋_GB2312" w:eastAsia="方正仿宋_GB2312" w:cs="方正仿宋_GB2312" w:hAnsi="方正仿宋_GB2312" w:hint="eastAsia"/>
                <w:i w:val="0"/>
                <w:iCs w:val="0"/>
                <w:color w:val="000000"/>
                <w:kern w:val="0"/>
                <w:sz w:val="18"/>
                <w:szCs w:val="18"/>
                <w:u w:val="none"/>
                <w:lang w:val="en-US" w:eastAsia="zh-CN"/>
                <w:highlight w:val="auto"/>
              </w:rPr>
              <w:t>本年度一般公共预算财政拨款基本支出明细情况。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ascii="仿宋_GB2312" w:eastAsia="仿宋_GB2312" w:hAnsi="宋体" w:hint="eastAsia"/>
          <w:b/>
          <w:color w:val="auto"/>
          <w:kern w:val="0"/>
          <w:sz w:val="32"/>
          <w:szCs w:val="32"/>
          <w:highlight w:val="auto"/>
        </w:rPr>
      </w:pPr>
    </w:p>
    <w:p>
      <w:pPr>
        <w:rPr>
          <w:rFonts w:ascii="仿宋_GB2312" w:eastAsia="仿宋_GB2312" w:hAnsi="宋体" w:hint="eastAsia"/>
          <w:b/>
          <w:color w:val="auto"/>
          <w:kern w:val="0"/>
          <w:sz w:val="32"/>
          <w:szCs w:val="32"/>
          <w:highlight w:val="auto"/>
        </w:rPr>
      </w:pPr>
      <w:r>
        <w:rPr>
          <w:rFonts w:ascii="仿宋_GB2312" w:eastAsia="仿宋_GB2312" w:hAnsi="宋体" w:hint="eastAsia"/>
          <w:b/>
          <w:color w:val="auto"/>
          <w:kern w:val="0"/>
          <w:sz w:val="32"/>
          <w:szCs w:val="32"/>
          <w:highlight w:val="auto"/>
        </w:rPr>
        <w:br w:type="page"/>
      </w:r>
    </w:p>
    <w:tbl>
      <w:tblPr>
        <w:jc w:val="left"/>
        <w:tblInd w:w="-1404" w:type="dxa"/>
        <w:tblW w:w="10480"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trPr>
          <w:trHeight w:val="550"/>
        </w:trPr>
        <w:tc>
          <w:tcPr>
            <w:tcW w:w="10480" w:type="dxa"/>
            <w:gridSpan w:val="9"/>
            <w:tcBorders>
              <w:top w:val="nil"/>
              <w:left w:val="nil"/>
              <w:bottom w:val="nil"/>
              <w:right w:val="nil"/>
            </w:tcBorders>
            <w:noWrap/>
            <w:vAlign w:val="bottom"/>
          </w:tcPr>
          <w:p>
            <w:pPr>
              <w:keepNext w:val="0"/>
              <w:keepLines w:val="0"/>
              <w:widowControl/>
              <w:suppressLineNumbers w:val="0"/>
              <w:jc w:val="center"/>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b w:val="0"/>
                <w:bCs/>
                <w:color w:val="auto"/>
                <w:kern w:val="0"/>
                <w:sz w:val="32"/>
                <w:szCs w:val="32"/>
                <w:lang w:val="en-US" w:eastAsia="zh-CN"/>
                <w:highlight w:val="auto"/>
              </w:rPr>
              <w:t>政府性基金预算财政拨款收入支出决算表</w:t>
            </w:r>
          </w:p>
        </w:tc>
      </w:tr>
      <w:tr>
        <w:trPr>
          <w:trHeight w:val="90"/>
        </w:trPr>
        <w:tc>
          <w:tcPr>
            <w:tcW w:w="10480" w:type="dxa"/>
            <w:gridSpan w:val="9"/>
            <w:tcBorders>
              <w:top w:val="nil"/>
              <w:left w:val="nil"/>
              <w:bottom w:val="nil"/>
              <w:right w:val="nil"/>
            </w:tcBorders>
            <w:noWrap/>
            <w:vAlign w:val="bottom"/>
          </w:tcPr>
          <w:p>
            <w:pPr>
              <w:keepNext w:val="0"/>
              <w:keepLines w:val="0"/>
              <w:widowControl/>
              <w:suppressLineNumbers w:val="0"/>
              <w:jc w:val="right"/>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公开</w:t>
            </w:r>
            <w:r>
              <w:rPr>
                <w:rFonts w:ascii="Times New Roman" w:eastAsia="宋体" w:cs="Times New Roman" w:hAnsi="Times New Roman"/>
                <w:i w:val="0"/>
                <w:iCs w:val="0"/>
                <w:color w:val="000000"/>
                <w:kern w:val="0"/>
                <w:sz w:val="20"/>
                <w:szCs w:val="20"/>
                <w:u w:val="none"/>
                <w:lang w:val="en-US" w:eastAsia="zh-CN"/>
                <w:highlight w:val="auto"/>
              </w:rPr>
              <w:t>07</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表</w:t>
            </w:r>
          </w:p>
        </w:tc>
      </w:tr>
      <w:tr>
        <w:trPr>
          <w:trHeight w:val="300"/>
        </w:trPr>
        <w:tc>
          <w:tcPr>
            <w:tcW w:w="4040" w:type="dxa"/>
            <w:gridSpan w:val="3"/>
            <w:tcBorders>
              <w:top w:val="nil"/>
              <w:left w:val="nil"/>
              <w:bottom w:val="single" w:sz="4" w:space="0" w:color="auto"/>
              <w:right w:val="nil"/>
            </w:tcBorders>
            <w:noWrap/>
            <w:vAlign w:val="bottom"/>
          </w:tcPr>
          <w:p>
            <w:pPr>
              <w:keepNext w:val="0"/>
              <w:keepLines w:val="0"/>
              <w:widowControl/>
              <w:suppressLineNumbers w:val="0"/>
              <w:jc w:val="left"/>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rPr>
              <w:t>单位</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 xml:space="preserve">（单位）：行唐县交通运输局(本级) </w:t>
            </w:r>
            <w:r>
              <w:rPr>
                <w:rFonts w:ascii="宋体" w:eastAsia="宋体" w:cs="宋体" w:hAnsi="宋体" w:hint="eastAsia"/>
                <w:i w:val="0"/>
                <w:iCs w:val="0"/>
                <w:color w:val="000000"/>
                <w:kern w:val="0"/>
                <w:sz w:val="20"/>
                <w:szCs w:val="20"/>
                <w:u w:val="none"/>
                <w:lang w:val="en-US" w:eastAsia="zh-CN"/>
                <w:highlight w:val="auto"/>
              </w:rPr>
              <w:t xml:space="preserve">                                                                                     </w:t>
            </w:r>
          </w:p>
        </w:tc>
        <w:tc>
          <w:tcPr>
            <w:tcW w:w="2552" w:type="dxa"/>
            <w:gridSpan w:val="3"/>
            <w:tcBorders>
              <w:top w:val="nil"/>
              <w:left w:val="nil"/>
              <w:bottom w:val="single" w:sz="4" w:space="0" w:color="auto"/>
              <w:right w:val="nil"/>
            </w:tcBorders>
            <w:noWrap/>
            <w:vAlign w:val="bottom"/>
          </w:tcPr>
          <w:p>
            <w:pPr>
              <w:keepNext w:val="0"/>
              <w:keepLines w:val="0"/>
              <w:widowControl/>
              <w:suppressLineNumbers w:val="0"/>
              <w:jc w:val="center"/>
              <w:textAlignment w:val="bottom"/>
              <w:rPr>
                <w:rFonts w:ascii="宋体" w:eastAsia="宋体" w:cs="宋体" w:hAnsi="宋体"/>
                <w:i w:val="0"/>
                <w:iCs w:val="0"/>
                <w:color w:val="000000"/>
                <w:kern w:val="0"/>
                <w:sz w:val="20"/>
                <w:szCs w:val="20"/>
                <w:u w:val="none"/>
                <w:lang w:val="en-US" w:eastAsia="zh-CN"/>
                <w:highlight w:val="auto"/>
              </w:rPr>
            </w:pPr>
            <w:r>
              <w:rPr>
                <w:rFonts w:ascii="Times New Roman" w:eastAsia="宋体" w:cs="Times New Roman" w:hAnsi="Times New Roman"/>
                <w:i w:val="0"/>
                <w:iCs w:val="0"/>
                <w:color w:val="000000"/>
                <w:kern w:val="0"/>
                <w:sz w:val="20"/>
                <w:szCs w:val="20"/>
                <w:u w:val="none"/>
                <w:lang w:val="en-US" w:eastAsia="zh-CN"/>
                <w:highlight w:val="auto"/>
              </w:rPr>
              <w:t>202</w:t>
            </w:r>
            <w:r>
              <w:rPr>
                <w:rFonts w:ascii="Times New Roman" w:eastAsia="宋体" w:cs="Times New Roman" w:hAnsi="Times New Roman" w:hint="eastAsia"/>
                <w:i w:val="0"/>
                <w:iCs w:val="0"/>
                <w:color w:val="000000"/>
                <w:kern w:val="0"/>
                <w:sz w:val="20"/>
                <w:szCs w:val="20"/>
                <w:u w:val="none"/>
                <w:lang w:val="en-US" w:eastAsia="zh-CN"/>
                <w:highlight w:val="auto"/>
              </w:rPr>
              <w:t>4</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年度</w:t>
            </w:r>
          </w:p>
        </w:tc>
        <w:tc>
          <w:tcPr>
            <w:tcW w:w="3888" w:type="dxa"/>
            <w:gridSpan w:val="3"/>
            <w:tcBorders>
              <w:top w:val="nil"/>
              <w:left w:val="nil"/>
              <w:bottom w:val="single" w:sz="4" w:space="0" w:color="auto"/>
              <w:right w:val="nil"/>
            </w:tcBorders>
            <w:noWrap/>
            <w:vAlign w:val="bottom"/>
          </w:tcPr>
          <w:p>
            <w:pPr>
              <w:keepNext w:val="0"/>
              <w:keepLines w:val="0"/>
              <w:widowControl/>
              <w:suppressLineNumbers w:val="0"/>
              <w:jc w:val="right"/>
              <w:textAlignment w:val="bottom"/>
              <w:rPr>
                <w:rFonts w:ascii="宋体" w:eastAsia="宋体" w:cs="宋体" w:hAnsi="宋体"/>
                <w:i w:val="0"/>
                <w:iCs w:val="0"/>
                <w:color w:val="000000"/>
                <w:kern w:val="0"/>
                <w:sz w:val="20"/>
                <w:szCs w:val="20"/>
                <w:u w:val="none"/>
                <w:lang w:val="en-US" w:eastAsia="zh-CN"/>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金额单位：万元</w:t>
            </w:r>
          </w:p>
        </w:tc>
      </w:tr>
      <w:tr>
        <w:trPr>
          <w:trHeight w:val="308"/>
        </w:trPr>
        <w:tc>
          <w:tcPr>
            <w:tcW w:w="2734" w:type="dxa"/>
            <w:gridSpan w:val="2"/>
            <w:tcBorders>
              <w:top w:val="single" w:sz="4" w:space="0" w:color="auto"/>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项目</w:t>
            </w:r>
          </w:p>
        </w:tc>
        <w:tc>
          <w:tcPr>
            <w:tcW w:w="1306" w:type="dxa"/>
            <w:vMerge w:val="restart"/>
            <w:tcBorders>
              <w:top w:val="single" w:sz="4" w:space="0" w:color="auto"/>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年初结转和结余</w:t>
            </w:r>
          </w:p>
        </w:tc>
        <w:tc>
          <w:tcPr>
            <w:tcW w:w="1027" w:type="dxa"/>
            <w:vMerge w:val="restart"/>
            <w:tcBorders>
              <w:top w:val="single" w:sz="4" w:space="0" w:color="auto"/>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本年收入</w:t>
            </w:r>
          </w:p>
        </w:tc>
        <w:tc>
          <w:tcPr>
            <w:tcW w:w="3373" w:type="dxa"/>
            <w:gridSpan w:val="4"/>
            <w:tcBorders>
              <w:top w:val="single" w:sz="4" w:space="0" w:color="auto"/>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本年支出</w:t>
            </w:r>
          </w:p>
        </w:tc>
        <w:tc>
          <w:tcPr>
            <w:tcW w:w="2040" w:type="dxa"/>
            <w:vMerge w:val="restart"/>
            <w:tcBorders>
              <w:top w:val="single" w:sz="4" w:space="0" w:color="auto"/>
              <w:left w:val="nil"/>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年末结转和结余</w:t>
            </w:r>
          </w:p>
        </w:tc>
      </w:tr>
      <w:tr>
        <w:trPr>
          <w:trHeight w:val="312"/>
        </w:trPr>
        <w:tc>
          <w:tcPr>
            <w:tcW w:w="1260" w:type="dxa"/>
            <w:vMerge w:val="restart"/>
            <w:tcBorders>
              <w:top w:val="nil"/>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科目代码</w:t>
            </w:r>
          </w:p>
        </w:tc>
        <w:tc>
          <w:tcPr>
            <w:tcW w:w="1474" w:type="dxa"/>
            <w:vMerge w:val="restart"/>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科目名称</w:t>
            </w:r>
          </w:p>
        </w:tc>
        <w:tc>
          <w:tcPr>
            <w:tcW w:w="1306" w:type="dxa"/>
            <w:vMerge/>
            <w:tcBorders>
              <w:top w:val="single" w:sz="4" w:space="0" w:color="000000"/>
              <w:left w:val="nil"/>
              <w:bottom w:val="single" w:sz="4" w:space="0" w:color="000000"/>
              <w:right w:val="single" w:sz="4" w:space="0" w:color="000000"/>
            </w:tcBorders>
            <w:noWrap/>
            <w:vAlign w:val="center"/>
          </w:tcPr>
          <w:p/>
        </w:tc>
        <w:tc>
          <w:tcPr>
            <w:tcW w:w="1027" w:type="dxa"/>
            <w:vMerge/>
            <w:tcBorders>
              <w:top w:val="single" w:sz="4" w:space="0" w:color="000000"/>
              <w:left w:val="nil"/>
              <w:bottom w:val="single" w:sz="4" w:space="0" w:color="000000"/>
              <w:right w:val="single" w:sz="4" w:space="0" w:color="000000"/>
            </w:tcBorders>
            <w:noWrap/>
            <w:vAlign w:val="center"/>
          </w:tcPr>
          <w:p/>
        </w:tc>
        <w:tc>
          <w:tcPr>
            <w:tcW w:w="1107" w:type="dxa"/>
            <w:vMerge w:val="restart"/>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小计</w:t>
            </w:r>
          </w:p>
        </w:tc>
        <w:tc>
          <w:tcPr>
            <w:tcW w:w="1120" w:type="dxa"/>
            <w:gridSpan w:val="2"/>
            <w:vMerge w:val="restart"/>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基本支出</w:t>
            </w:r>
          </w:p>
        </w:tc>
        <w:tc>
          <w:tcPr>
            <w:tcW w:w="1146" w:type="dxa"/>
            <w:vMerge w:val="restart"/>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项目支出</w:t>
            </w:r>
          </w:p>
        </w:tc>
        <w:tc>
          <w:tcPr>
            <w:tcW w:w="2040" w:type="dxa"/>
            <w:vMerge/>
            <w:tcBorders>
              <w:left w:val="nil"/>
              <w:right w:val="single" w:sz="4" w:space="0" w:color="000000"/>
            </w:tcBorders>
            <w:noWrap/>
            <w:vAlign w:val="center"/>
          </w:tcPr>
          <w:p/>
        </w:tc>
      </w:tr>
      <w:tr>
        <w:trPr>
          <w:trHeight w:val="312"/>
        </w:trPr>
        <w:tc>
          <w:tcPr>
            <w:tcW w:w="1260" w:type="dxa"/>
            <w:vMerge/>
            <w:tcBorders>
              <w:top w:val="nil"/>
              <w:left w:val="single" w:sz="4" w:space="0" w:color="000000"/>
              <w:bottom w:val="single" w:sz="4" w:space="0" w:color="000000"/>
              <w:right w:val="single" w:sz="4" w:space="0" w:color="000000"/>
            </w:tcBorders>
            <w:noWrap/>
            <w:vAlign w:val="center"/>
          </w:tcPr>
          <w:p/>
        </w:tc>
        <w:tc>
          <w:tcPr>
            <w:tcW w:w="1474" w:type="dxa"/>
            <w:vMerge/>
            <w:tcBorders>
              <w:top w:val="nil"/>
              <w:left w:val="nil"/>
              <w:bottom w:val="single" w:sz="4" w:space="0" w:color="000000"/>
              <w:right w:val="single" w:sz="4" w:space="0" w:color="000000"/>
            </w:tcBorders>
            <w:noWrap/>
            <w:vAlign w:val="center"/>
          </w:tcPr>
          <w:p/>
        </w:tc>
        <w:tc>
          <w:tcPr>
            <w:tcW w:w="1306" w:type="dxa"/>
            <w:vMerge/>
            <w:tcBorders>
              <w:top w:val="single" w:sz="4" w:space="0" w:color="000000"/>
              <w:left w:val="nil"/>
              <w:bottom w:val="single" w:sz="4" w:space="0" w:color="000000"/>
              <w:right w:val="single" w:sz="4" w:space="0" w:color="000000"/>
            </w:tcBorders>
            <w:noWrap/>
            <w:vAlign w:val="center"/>
          </w:tcPr>
          <w:p/>
        </w:tc>
        <w:tc>
          <w:tcPr>
            <w:tcW w:w="1027" w:type="dxa"/>
            <w:vMerge/>
            <w:tcBorders>
              <w:top w:val="single" w:sz="4" w:space="0" w:color="000000"/>
              <w:left w:val="nil"/>
              <w:bottom w:val="single" w:sz="4" w:space="0" w:color="000000"/>
              <w:right w:val="single" w:sz="4" w:space="0" w:color="000000"/>
            </w:tcBorders>
            <w:noWrap/>
            <w:vAlign w:val="center"/>
          </w:tcPr>
          <w:p/>
        </w:tc>
        <w:tc>
          <w:tcPr>
            <w:tcW w:w="1107" w:type="dxa"/>
            <w:vMerge/>
            <w:tcBorders>
              <w:top w:val="nil"/>
              <w:left w:val="nil"/>
              <w:bottom w:val="single" w:sz="4" w:space="0" w:color="000000"/>
              <w:right w:val="single" w:sz="4" w:space="0" w:color="000000"/>
            </w:tcBorders>
            <w:noWrap/>
            <w:vAlign w:val="center"/>
          </w:tcPr>
          <w:p/>
        </w:tc>
        <w:tc>
          <w:tcPr>
            <w:tcW w:w="1120" w:type="dxa"/>
            <w:gridSpan w:val="2"/>
            <w:vMerge/>
            <w:tcBorders>
              <w:top w:val="nil"/>
              <w:left w:val="nil"/>
              <w:bottom w:val="single" w:sz="4" w:space="0" w:color="000000"/>
              <w:right w:val="single" w:sz="4" w:space="0" w:color="000000"/>
            </w:tcBorders>
            <w:noWrap/>
            <w:vAlign w:val="center"/>
          </w:tcPr>
          <w:p/>
        </w:tc>
        <w:tc>
          <w:tcPr>
            <w:tcW w:w="1146" w:type="dxa"/>
            <w:vMerge/>
            <w:tcBorders>
              <w:top w:val="nil"/>
              <w:left w:val="nil"/>
              <w:bottom w:val="single" w:sz="4" w:space="0" w:color="000000"/>
              <w:right w:val="single" w:sz="4" w:space="0" w:color="000000"/>
            </w:tcBorders>
            <w:noWrap/>
            <w:vAlign w:val="center"/>
          </w:tcPr>
          <w:p/>
        </w:tc>
        <w:tc>
          <w:tcPr>
            <w:tcW w:w="2040" w:type="dxa"/>
            <w:vMerge/>
            <w:tcBorders>
              <w:left w:val="nil"/>
              <w:right w:val="single" w:sz="4" w:space="0" w:color="000000"/>
            </w:tcBorders>
            <w:noWrap/>
            <w:vAlign w:val="center"/>
          </w:tcPr>
          <w:p/>
        </w:tc>
      </w:tr>
      <w:tr>
        <w:trPr>
          <w:trHeight w:val="312"/>
        </w:trPr>
        <w:tc>
          <w:tcPr>
            <w:tcW w:w="1260" w:type="dxa"/>
            <w:vMerge/>
            <w:tcBorders>
              <w:top w:val="nil"/>
              <w:left w:val="single" w:sz="4" w:space="0" w:color="000000"/>
              <w:bottom w:val="single" w:sz="4" w:space="0" w:color="auto"/>
              <w:right w:val="single" w:sz="4" w:space="0" w:color="000000"/>
            </w:tcBorders>
            <w:noWrap/>
            <w:vAlign w:val="center"/>
          </w:tcPr>
          <w:p/>
        </w:tc>
        <w:tc>
          <w:tcPr>
            <w:tcW w:w="1474" w:type="dxa"/>
            <w:vMerge/>
            <w:tcBorders>
              <w:top w:val="nil"/>
              <w:left w:val="nil"/>
              <w:bottom w:val="single" w:sz="4" w:space="0" w:color="auto"/>
              <w:right w:val="single" w:sz="4" w:space="0" w:color="000000"/>
            </w:tcBorders>
            <w:noWrap/>
            <w:vAlign w:val="center"/>
          </w:tcPr>
          <w:p/>
        </w:tc>
        <w:tc>
          <w:tcPr>
            <w:tcW w:w="1306" w:type="dxa"/>
            <w:vMerge/>
            <w:tcBorders>
              <w:top w:val="single" w:sz="4" w:space="0" w:color="000000"/>
              <w:left w:val="nil"/>
              <w:bottom w:val="single" w:sz="4" w:space="0" w:color="000000"/>
              <w:right w:val="single" w:sz="4" w:space="0" w:color="000000"/>
            </w:tcBorders>
            <w:noWrap/>
            <w:vAlign w:val="center"/>
          </w:tcPr>
          <w:p/>
        </w:tc>
        <w:tc>
          <w:tcPr>
            <w:tcW w:w="1027" w:type="dxa"/>
            <w:vMerge/>
            <w:tcBorders>
              <w:top w:val="single" w:sz="4" w:space="0" w:color="000000"/>
              <w:left w:val="nil"/>
              <w:bottom w:val="single" w:sz="4" w:space="0" w:color="000000"/>
              <w:right w:val="single" w:sz="4" w:space="0" w:color="000000"/>
            </w:tcBorders>
            <w:noWrap/>
            <w:vAlign w:val="center"/>
          </w:tcPr>
          <w:p/>
        </w:tc>
        <w:tc>
          <w:tcPr>
            <w:tcW w:w="1107" w:type="dxa"/>
            <w:vMerge/>
            <w:tcBorders>
              <w:top w:val="nil"/>
              <w:left w:val="nil"/>
              <w:bottom w:val="single" w:sz="4" w:space="0" w:color="000000"/>
              <w:right w:val="single" w:sz="4" w:space="0" w:color="000000"/>
            </w:tcBorders>
            <w:noWrap/>
            <w:vAlign w:val="center"/>
          </w:tcPr>
          <w:p/>
        </w:tc>
        <w:tc>
          <w:tcPr>
            <w:tcW w:w="1120" w:type="dxa"/>
            <w:gridSpan w:val="2"/>
            <w:vMerge/>
            <w:tcBorders>
              <w:top w:val="nil"/>
              <w:left w:val="nil"/>
              <w:bottom w:val="single" w:sz="4" w:space="0" w:color="000000"/>
              <w:right w:val="single" w:sz="4" w:space="0" w:color="000000"/>
            </w:tcBorders>
            <w:noWrap/>
            <w:vAlign w:val="center"/>
          </w:tcPr>
          <w:p/>
        </w:tc>
        <w:tc>
          <w:tcPr>
            <w:tcW w:w="1146" w:type="dxa"/>
            <w:vMerge/>
            <w:tcBorders>
              <w:top w:val="nil"/>
              <w:left w:val="nil"/>
              <w:bottom w:val="single" w:sz="4" w:space="0" w:color="000000"/>
              <w:right w:val="single" w:sz="4" w:space="0" w:color="000000"/>
            </w:tcBorders>
            <w:noWrap/>
            <w:vAlign w:val="center"/>
          </w:tcPr>
          <w:p/>
        </w:tc>
        <w:tc>
          <w:tcPr>
            <w:tcW w:w="2040" w:type="dxa"/>
            <w:vMerge/>
            <w:tcBorders>
              <w:left w:val="nil"/>
              <w:bottom w:val="single" w:sz="4" w:space="0" w:color="000000"/>
              <w:right w:val="single" w:sz="4" w:space="0" w:color="000000"/>
            </w:tcBorders>
            <w:noWrap/>
            <w:vAlign w:val="center"/>
          </w:tcPr>
          <w:p/>
        </w:tc>
      </w:tr>
      <w:tr>
        <w:trPr>
          <w:trHeight w:val="308"/>
        </w:trPr>
        <w:tc>
          <w:tcPr>
            <w:tcW w:w="2734"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栏次</w:t>
            </w:r>
          </w:p>
        </w:tc>
        <w:tc>
          <w:tcPr>
            <w:tcW w:w="1306" w:type="dxa"/>
            <w:tcBorders>
              <w:top w:val="nil"/>
              <w:left w:val="single" w:sz="4" w:space="0" w:color="auto"/>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20"/>
                <w:szCs w:val="20"/>
                <w:u w:val="none"/>
                <w:highlight w:val="auto"/>
              </w:rPr>
            </w:pPr>
            <w:r>
              <w:rPr>
                <w:rFonts w:ascii="Times New Roman" w:eastAsia="方正仿宋_GB2312" w:cs="Times New Roman" w:hAnsi="Times New Roman"/>
                <w:i w:val="0"/>
                <w:iCs w:val="0"/>
                <w:color w:val="000000"/>
                <w:kern w:val="0"/>
                <w:sz w:val="20"/>
                <w:szCs w:val="20"/>
                <w:u w:val="none"/>
                <w:lang w:val="en-US" w:eastAsia="zh-CN"/>
                <w:highlight w:val="auto"/>
              </w:rPr>
              <w:t>1</w:t>
            </w:r>
          </w:p>
        </w:tc>
        <w:tc>
          <w:tcPr>
            <w:tcW w:w="1027"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20"/>
                <w:szCs w:val="20"/>
                <w:u w:val="none"/>
                <w:highlight w:val="auto"/>
              </w:rPr>
            </w:pPr>
            <w:r>
              <w:rPr>
                <w:rFonts w:ascii="Times New Roman" w:eastAsia="方正仿宋_GB2312" w:cs="Times New Roman" w:hAnsi="Times New Roman"/>
                <w:i w:val="0"/>
                <w:iCs w:val="0"/>
                <w:color w:val="000000"/>
                <w:kern w:val="0"/>
                <w:sz w:val="20"/>
                <w:szCs w:val="20"/>
                <w:u w:val="none"/>
                <w:lang w:val="en-US" w:eastAsia="zh-CN"/>
                <w:highlight w:val="auto"/>
              </w:rPr>
              <w:t>2</w:t>
            </w:r>
          </w:p>
        </w:tc>
        <w:tc>
          <w:tcPr>
            <w:tcW w:w="1107"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20"/>
                <w:szCs w:val="20"/>
                <w:u w:val="none"/>
                <w:highlight w:val="auto"/>
              </w:rPr>
            </w:pPr>
            <w:r>
              <w:rPr>
                <w:rFonts w:ascii="Times New Roman" w:eastAsia="方正仿宋_GB2312" w:cs="Times New Roman" w:hAnsi="Times New Roman"/>
                <w:i w:val="0"/>
                <w:iCs w:val="0"/>
                <w:color w:val="000000"/>
                <w:kern w:val="0"/>
                <w:sz w:val="20"/>
                <w:szCs w:val="20"/>
                <w:u w:val="none"/>
                <w:lang w:val="en-US" w:eastAsia="zh-CN"/>
                <w:highlight w:val="auto"/>
              </w:rPr>
              <w:t>3</w:t>
            </w:r>
          </w:p>
        </w:tc>
        <w:tc>
          <w:tcPr>
            <w:tcW w:w="1120" w:type="dxa"/>
            <w:gridSpan w:val="2"/>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20"/>
                <w:szCs w:val="20"/>
                <w:u w:val="none"/>
                <w:highlight w:val="auto"/>
              </w:rPr>
            </w:pPr>
            <w:r>
              <w:rPr>
                <w:rFonts w:ascii="Times New Roman" w:eastAsia="方正仿宋_GB2312" w:cs="Times New Roman" w:hAnsi="Times New Roman"/>
                <w:i w:val="0"/>
                <w:iCs w:val="0"/>
                <w:color w:val="000000"/>
                <w:kern w:val="0"/>
                <w:sz w:val="20"/>
                <w:szCs w:val="20"/>
                <w:u w:val="none"/>
                <w:lang w:val="en-US" w:eastAsia="zh-CN"/>
                <w:highlight w:val="auto"/>
              </w:rPr>
              <w:t>4</w:t>
            </w:r>
          </w:p>
        </w:tc>
        <w:tc>
          <w:tcPr>
            <w:tcW w:w="1146"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20"/>
                <w:szCs w:val="20"/>
                <w:u w:val="none"/>
                <w:highlight w:val="auto"/>
              </w:rPr>
            </w:pPr>
            <w:r>
              <w:rPr>
                <w:rFonts w:ascii="Times New Roman" w:eastAsia="方正仿宋_GB2312" w:cs="Times New Roman" w:hAnsi="Times New Roman"/>
                <w:i w:val="0"/>
                <w:iCs w:val="0"/>
                <w:color w:val="000000"/>
                <w:kern w:val="0"/>
                <w:sz w:val="20"/>
                <w:szCs w:val="20"/>
                <w:u w:val="none"/>
                <w:lang w:val="en-US" w:eastAsia="zh-CN"/>
                <w:highlight w:val="auto"/>
              </w:rPr>
              <w:t>5</w:t>
            </w:r>
          </w:p>
        </w:tc>
        <w:tc>
          <w:tcPr>
            <w:tcW w:w="2040"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20"/>
                <w:szCs w:val="20"/>
                <w:u w:val="none"/>
                <w:lang w:val="en-US" w:eastAsia="zh-CN"/>
                <w:highlight w:val="auto"/>
              </w:rPr>
            </w:pPr>
            <w:r>
              <w:rPr>
                <w:rFonts w:ascii="Times New Roman" w:eastAsia="方正仿宋_GB2312" w:cs="Times New Roman" w:hAnsi="Times New Roman"/>
                <w:i w:val="0"/>
                <w:iCs w:val="0"/>
                <w:color w:val="000000"/>
                <w:sz w:val="20"/>
                <w:szCs w:val="20"/>
                <w:u w:val="none"/>
                <w:lang w:val="en-US" w:eastAsia="zh-CN"/>
                <w:highlight w:val="auto"/>
              </w:rPr>
              <w:t>6</w:t>
            </w:r>
          </w:p>
        </w:tc>
      </w:tr>
      <w:tr>
        <w:trPr>
          <w:trHeight w:val="869"/>
        </w:trPr>
        <w:tc>
          <w:tcPr>
            <w:tcW w:w="2734" w:type="dxa"/>
            <w:gridSpan w:val="2"/>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合计</w:t>
            </w:r>
          </w:p>
        </w:tc>
        <w:tc>
          <w:tcPr>
            <w:tcW w:w="1306" w:type="dxa"/>
            <w:tcBorders>
              <w:top w:val="nil"/>
              <w:left w:val="single" w:sz="4" w:space="0" w:color="auto"/>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02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107"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120" w:type="dxa"/>
            <w:gridSpan w:val="2"/>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146"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2040" w:type="dxa"/>
            <w:tcBorders>
              <w:top w:val="nil"/>
              <w:left w:val="nil"/>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80" w:type="dxa"/>
            <w:gridSpan w:val="9"/>
            <w:tcBorders>
              <w:top w:val="nil"/>
              <w:left w:val="nil"/>
              <w:bottom w:val="nil"/>
              <w:right w:val="nil"/>
            </w:tcBorders>
            <w:noWrap/>
            <w:vAlign w:val="center"/>
          </w:tcPr>
          <w:p>
            <w:pPr>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注：本表反映</w:t>
            </w:r>
            <w:r>
              <w:rPr>
                <w:rFonts w:ascii="方正仿宋_GB2312" w:eastAsia="方正仿宋_GB2312" w:cs="方正仿宋_GB2312" w:hAnsi="方正仿宋_GB2312" w:hint="eastAsia"/>
                <w:i w:val="0"/>
                <w:iCs w:val="0"/>
                <w:color w:val="000000"/>
                <w:kern w:val="0"/>
                <w:sz w:val="20"/>
                <w:szCs w:val="20"/>
                <w:u w:val="none"/>
                <w:lang w:val="en-US" w:eastAsia="zh-CN"/>
              </w:rPr>
              <w:t>单位</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本年度政府性基金预算财政拨款收入、支出及结转和结余情况。（如无相关数据，则需注明空表列示）</w:t>
              <w:br w:type="page"/>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ascii="仿宋_GB2312" w:eastAsia="仿宋_GB2312" w:hAnsi="宋体" w:hint="eastAsia"/>
          <w:b/>
          <w:color w:val="auto"/>
          <w:kern w:val="0"/>
          <w:sz w:val="32"/>
          <w:szCs w:val="32"/>
          <w:highlight w:val="auto"/>
        </w:rPr>
      </w:pPr>
    </w:p>
    <w:p>
      <w:pPr>
        <w:rPr>
          <w:rFonts w:ascii="仿宋_GB2312" w:eastAsia="仿宋_GB2312" w:hAnsi="宋体" w:hint="eastAsia"/>
          <w:b/>
          <w:color w:val="auto"/>
          <w:kern w:val="0"/>
          <w:sz w:val="32"/>
          <w:szCs w:val="32"/>
          <w:highlight w:val="auto"/>
        </w:rPr>
      </w:pPr>
      <w:r>
        <w:rPr>
          <w:rFonts w:ascii="仿宋_GB2312" w:eastAsia="仿宋_GB2312" w:hAnsi="宋体" w:hint="eastAsia"/>
          <w:b/>
          <w:color w:val="auto"/>
          <w:kern w:val="0"/>
          <w:sz w:val="32"/>
          <w:szCs w:val="32"/>
          <w:highlight w:val="auto"/>
        </w:rPr>
        <w:br w:type="page"/>
      </w:r>
    </w:p>
    <w:tbl>
      <w:tblPr>
        <w:jc w:val="left"/>
        <w:tblInd w:w="-976" w:type="dxa"/>
        <w:tblW w:w="9428"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trPr>
          <w:trHeight w:val="550"/>
        </w:trPr>
        <w:tc>
          <w:tcPr>
            <w:tcW w:w="9428" w:type="dxa"/>
            <w:gridSpan w:val="9"/>
            <w:tcBorders>
              <w:top w:val="nil"/>
              <w:left w:val="nil"/>
              <w:bottom w:val="nil"/>
              <w:right w:val="nil"/>
            </w:tcBorders>
            <w:noWrap/>
            <w:vAlign w:val="bottom"/>
          </w:tcPr>
          <w:p>
            <w:pPr>
              <w:keepNext w:val="0"/>
              <w:keepLines w:val="0"/>
              <w:widowControl/>
              <w:suppressLineNumbers w:val="0"/>
              <w:jc w:val="center"/>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b w:val="0"/>
                <w:bCs/>
                <w:color w:val="auto"/>
                <w:kern w:val="0"/>
                <w:sz w:val="32"/>
                <w:szCs w:val="32"/>
                <w:lang w:val="en-US" w:eastAsia="zh-CN"/>
                <w:highlight w:val="auto"/>
              </w:rPr>
              <w:t>国有资本经营预算财政拨款支出决算表</w:t>
            </w:r>
          </w:p>
        </w:tc>
      </w:tr>
      <w:tr>
        <w:trPr>
          <w:trHeight w:val="300"/>
        </w:trPr>
        <w:tc>
          <w:tcPr>
            <w:tcW w:w="9428" w:type="dxa"/>
            <w:gridSpan w:val="9"/>
            <w:tcBorders>
              <w:top w:val="nil"/>
              <w:left w:val="nil"/>
              <w:bottom w:val="nil"/>
              <w:right w:val="nil"/>
            </w:tcBorders>
            <w:noWrap/>
            <w:vAlign w:val="bottom"/>
          </w:tcPr>
          <w:p>
            <w:pPr>
              <w:keepNext w:val="0"/>
              <w:keepLines w:val="0"/>
              <w:widowControl/>
              <w:suppressLineNumbers w:val="0"/>
              <w:jc w:val="right"/>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公开</w:t>
            </w:r>
            <w:r>
              <w:rPr>
                <w:rFonts w:ascii="Times New Roman" w:eastAsia="方正仿宋_GB2312" w:cs="Times New Roman" w:hAnsi="Times New Roman"/>
                <w:i w:val="0"/>
                <w:iCs w:val="0"/>
                <w:color w:val="000000"/>
                <w:kern w:val="0"/>
                <w:sz w:val="20"/>
                <w:szCs w:val="20"/>
                <w:u w:val="none"/>
                <w:lang w:val="en-US" w:eastAsia="zh-CN"/>
                <w:highlight w:val="auto"/>
              </w:rPr>
              <w:t>08</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表</w:t>
            </w:r>
          </w:p>
        </w:tc>
      </w:tr>
      <w:tr>
        <w:trPr>
          <w:trHeight w:val="300"/>
        </w:trPr>
        <w:tc>
          <w:tcPr>
            <w:tcW w:w="3724" w:type="dxa"/>
            <w:gridSpan w:val="2"/>
            <w:tcBorders>
              <w:top w:val="nil"/>
              <w:left w:val="nil"/>
              <w:bottom w:val="single" w:sz="4" w:space="0" w:color="auto"/>
              <w:right w:val="nil"/>
            </w:tcBorders>
            <w:noWrap/>
            <w:vAlign w:val="bottom"/>
          </w:tcPr>
          <w:p>
            <w:pPr>
              <w:keepNext w:val="0"/>
              <w:keepLines w:val="0"/>
              <w:widowControl/>
              <w:suppressLineNumbers w:val="0"/>
              <w:jc w:val="both"/>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rPr>
              <w:t>单位</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（单位）：行唐县交通运输局(本级)</w:t>
            </w:r>
          </w:p>
        </w:tc>
        <w:tc>
          <w:tcPr>
            <w:tcW w:w="2680" w:type="dxa"/>
            <w:gridSpan w:val="4"/>
            <w:tcBorders>
              <w:top w:val="nil"/>
              <w:left w:val="nil"/>
              <w:bottom w:val="single" w:sz="4" w:space="0" w:color="auto"/>
              <w:right w:val="nil"/>
            </w:tcBorders>
            <w:noWrap/>
            <w:vAlign w:val="bottom"/>
          </w:tcPr>
          <w:p>
            <w:pPr>
              <w:keepNext w:val="0"/>
              <w:keepLines w:val="0"/>
              <w:widowControl/>
              <w:suppressLineNumbers w:val="0"/>
              <w:jc w:val="center"/>
              <w:textAlignment w:val="bottom"/>
              <w:rPr>
                <w:rFonts w:ascii="宋体" w:eastAsia="宋体" w:cs="宋体" w:hAnsi="宋体"/>
                <w:i w:val="0"/>
                <w:iCs w:val="0"/>
                <w:color w:val="000000"/>
                <w:kern w:val="0"/>
                <w:sz w:val="20"/>
                <w:szCs w:val="20"/>
                <w:u w:val="none"/>
                <w:lang w:val="en-US" w:eastAsia="zh-CN"/>
                <w:highlight w:val="auto"/>
              </w:rPr>
            </w:pPr>
            <w:r>
              <w:rPr>
                <w:rFonts w:ascii="Times New Roman" w:eastAsia="宋体" w:cs="Times New Roman" w:hAnsi="Times New Roman"/>
                <w:i w:val="0"/>
                <w:iCs w:val="0"/>
                <w:color w:val="000000"/>
                <w:kern w:val="0"/>
                <w:sz w:val="20"/>
                <w:szCs w:val="20"/>
                <w:u w:val="none"/>
                <w:lang w:val="en-US" w:eastAsia="zh-CN"/>
                <w:highlight w:val="auto"/>
              </w:rPr>
              <w:t>202</w:t>
            </w:r>
            <w:r>
              <w:rPr>
                <w:rFonts w:ascii="Times New Roman" w:eastAsia="宋体" w:cs="Times New Roman" w:hAnsi="Times New Roman" w:hint="eastAsia"/>
                <w:i w:val="0"/>
                <w:iCs w:val="0"/>
                <w:color w:val="000000"/>
                <w:kern w:val="0"/>
                <w:sz w:val="20"/>
                <w:szCs w:val="20"/>
                <w:u w:val="none"/>
                <w:lang w:val="en-US" w:eastAsia="zh-CN"/>
                <w:highlight w:val="auto"/>
              </w:rPr>
              <w:t>4</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年度</w:t>
            </w:r>
          </w:p>
        </w:tc>
        <w:tc>
          <w:tcPr>
            <w:tcW w:w="3024" w:type="dxa"/>
            <w:gridSpan w:val="3"/>
            <w:tcBorders>
              <w:top w:val="nil"/>
              <w:left w:val="nil"/>
              <w:bottom w:val="single" w:sz="4" w:space="0" w:color="auto"/>
              <w:right w:val="nil"/>
            </w:tcBorders>
            <w:noWrap/>
            <w:vAlign w:val="bottom"/>
          </w:tcPr>
          <w:p>
            <w:pPr>
              <w:keepNext w:val="0"/>
              <w:keepLines w:val="0"/>
              <w:widowControl/>
              <w:suppressLineNumbers w:val="0"/>
              <w:jc w:val="right"/>
              <w:textAlignment w:val="bottom"/>
              <w:rPr>
                <w:rFonts w:ascii="宋体" w:eastAsia="宋体" w:cs="宋体" w:hAnsi="宋体"/>
                <w:i w:val="0"/>
                <w:iCs w:val="0"/>
                <w:color w:val="000000"/>
                <w:kern w:val="0"/>
                <w:sz w:val="20"/>
                <w:szCs w:val="20"/>
                <w:u w:val="none"/>
                <w:lang w:val="en-US" w:eastAsia="zh-CN"/>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金额单位：万元</w:t>
            </w:r>
          </w:p>
        </w:tc>
      </w:tr>
      <w:tr>
        <w:trPr>
          <w:trHeight w:val="312"/>
        </w:trPr>
        <w:tc>
          <w:tcPr>
            <w:tcW w:w="5020" w:type="dxa"/>
            <w:gridSpan w:val="3"/>
            <w:vMerge w:val="restart"/>
            <w:tcBorders>
              <w:top w:val="single" w:sz="4" w:space="0" w:color="auto"/>
              <w:left w:val="single" w:sz="4" w:space="0" w:color="auto"/>
              <w:bottom w:val="single" w:sz="4" w:space="0" w:color="auto"/>
              <w:right w:val="single" w:sz="4" w:space="0" w:color="auto"/>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 xml:space="preserve"> 项目</w:t>
            </w:r>
          </w:p>
        </w:tc>
        <w:tc>
          <w:tcPr>
            <w:tcW w:w="4408" w:type="dxa"/>
            <w:gridSpan w:val="6"/>
            <w:vMerge w:val="restart"/>
            <w:tcBorders>
              <w:top w:val="single" w:sz="4" w:space="0" w:color="auto"/>
              <w:left w:val="single" w:sz="4" w:space="0" w:color="auto"/>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本年支出</w:t>
            </w:r>
          </w:p>
        </w:tc>
      </w:tr>
      <w:tr>
        <w:trPr>
          <w:trHeight w:val="312"/>
        </w:trPr>
        <w:tc>
          <w:tcPr>
            <w:tcW w:w="5020" w:type="dxa"/>
            <w:gridSpan w:val="3"/>
            <w:vMerge/>
            <w:tcBorders>
              <w:top w:val="single" w:sz="4" w:space="0" w:color="auto"/>
              <w:left w:val="single" w:sz="4" w:space="0" w:color="auto"/>
              <w:bottom w:val="single" w:sz="4" w:space="0" w:color="auto"/>
              <w:right w:val="single" w:sz="4" w:space="0" w:color="auto"/>
            </w:tcBorders>
            <w:noWrap/>
            <w:vAlign w:val="center"/>
          </w:tcPr>
          <w:p/>
        </w:tc>
        <w:tc>
          <w:tcPr>
            <w:tcW w:w="4408" w:type="dxa"/>
            <w:gridSpan w:val="6"/>
            <w:vMerge/>
            <w:tcBorders>
              <w:left w:val="single" w:sz="4" w:space="0" w:color="auto"/>
              <w:bottom w:val="single" w:sz="4" w:space="0" w:color="000000"/>
              <w:right w:val="single" w:sz="4" w:space="0" w:color="000000"/>
            </w:tcBorders>
            <w:noWrap/>
            <w:vAlign w:val="center"/>
          </w:tcPr>
          <w:p/>
        </w:tc>
      </w:tr>
      <w:tr>
        <w:trPr>
          <w:trHeight w:val="312"/>
        </w:trPr>
        <w:tc>
          <w:tcPr>
            <w:tcW w:w="2993" w:type="dxa"/>
            <w:vMerge w:val="restart"/>
            <w:tcBorders>
              <w:top w:val="single" w:sz="4" w:space="0" w:color="auto"/>
              <w:left w:val="single" w:sz="4" w:space="0" w:color="auto"/>
              <w:bottom w:val="single" w:sz="4" w:space="0" w:color="auto"/>
              <w:right w:val="single" w:sz="4" w:space="0" w:color="auto"/>
            </w:tcBorders>
            <w:noWrap/>
            <w:vAlign w:val="center"/>
          </w:tcPr>
          <w:p>
            <w:pPr>
              <w:jc w:val="center"/>
              <w:rPr>
                <w:rFonts w:ascii="方正仿宋_GB2312" w:eastAsia="方正仿宋_GB2312" w:cs="方正仿宋_GB2312" w:hAnsi="方正仿宋_GB2312"/>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科目代码</w:t>
            </w:r>
          </w:p>
        </w:tc>
        <w:tc>
          <w:tcPr>
            <w:tcW w:w="2027" w:type="dxa"/>
            <w:gridSpan w:val="2"/>
            <w:vMerge w:val="restart"/>
            <w:tcBorders>
              <w:top w:val="single" w:sz="4" w:space="0" w:color="auto"/>
              <w:left w:val="single" w:sz="4" w:space="0" w:color="auto"/>
              <w:bottom w:val="single" w:sz="4" w:space="0" w:color="auto"/>
              <w:right w:val="single" w:sz="4" w:space="0" w:color="auto"/>
            </w:tcBorders>
            <w:noWrap/>
            <w:vAlign w:val="center"/>
          </w:tcPr>
          <w:p>
            <w:pPr>
              <w:jc w:val="center"/>
              <w:rPr>
                <w:rFonts w:ascii="方正仿宋_GB2312" w:eastAsia="方正仿宋_GB2312" w:cs="方正仿宋_GB2312" w:hAnsi="方正仿宋_GB2312"/>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科目名称</w:t>
            </w:r>
          </w:p>
        </w:tc>
        <w:tc>
          <w:tcPr>
            <w:tcW w:w="1337" w:type="dxa"/>
            <w:gridSpan w:val="2"/>
            <w:vMerge w:val="restart"/>
            <w:tcBorders>
              <w:top w:val="nil"/>
              <w:left w:val="single" w:sz="4" w:space="0" w:color="auto"/>
              <w:right w:val="single" w:sz="4" w:space="0" w:color="000000"/>
            </w:tcBorders>
            <w:noWrap/>
            <w:vAlign w:val="center"/>
          </w:tcPr>
          <w:p>
            <w:pPr>
              <w:jc w:val="center"/>
              <w:rPr>
                <w:rFonts w:ascii="方正仿宋_GB2312" w:eastAsia="方正仿宋_GB2312" w:cs="方正仿宋_GB2312" w:hAnsi="方正仿宋_GB2312" w:hint="eastAsia"/>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合计</w:t>
            </w:r>
          </w:p>
        </w:tc>
        <w:tc>
          <w:tcPr>
            <w:tcW w:w="1338" w:type="dxa"/>
            <w:gridSpan w:val="3"/>
            <w:vMerge w:val="restart"/>
            <w:tcBorders>
              <w:top w:val="nil"/>
              <w:left w:val="nil"/>
              <w:right w:val="single" w:sz="4" w:space="0" w:color="000000"/>
            </w:tcBorders>
            <w:noWrap/>
            <w:vAlign w:val="center"/>
          </w:tcPr>
          <w:p>
            <w:pPr>
              <w:jc w:val="center"/>
              <w:rPr>
                <w:rFonts w:ascii="方正仿宋_GB2312" w:eastAsia="方正仿宋_GB2312" w:cs="方正仿宋_GB2312" w:hAnsi="方正仿宋_GB2312"/>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基本支出</w:t>
            </w:r>
          </w:p>
        </w:tc>
        <w:tc>
          <w:tcPr>
            <w:tcW w:w="1733" w:type="dxa"/>
            <w:vMerge w:val="restart"/>
            <w:tcBorders>
              <w:top w:val="nil"/>
              <w:left w:val="nil"/>
              <w:right w:val="single" w:sz="4" w:space="0" w:color="000000"/>
            </w:tcBorders>
            <w:noWrap/>
            <w:vAlign w:val="center"/>
          </w:tcPr>
          <w:p>
            <w:pPr>
              <w:jc w:val="center"/>
              <w:rPr>
                <w:rFonts w:ascii="方正仿宋_GB2312" w:eastAsia="方正仿宋_GB2312" w:cs="方正仿宋_GB2312" w:hAnsi="方正仿宋_GB2312"/>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项目支出</w:t>
            </w:r>
          </w:p>
        </w:tc>
      </w:tr>
      <w:tr>
        <w:trPr>
          <w:trHeight w:val="312"/>
        </w:trPr>
        <w:tc>
          <w:tcPr>
            <w:tcW w:w="2993" w:type="dxa"/>
            <w:vMerge/>
            <w:tcBorders>
              <w:top w:val="single" w:sz="4" w:space="0" w:color="auto"/>
              <w:left w:val="single" w:sz="4" w:space="0" w:color="auto"/>
              <w:bottom w:val="single" w:sz="4" w:space="0" w:color="auto"/>
              <w:right w:val="single" w:sz="4" w:space="0" w:color="000000"/>
            </w:tcBorders>
            <w:noWrap/>
            <w:vAlign w:val="center"/>
          </w:tcPr>
          <w:p/>
        </w:tc>
        <w:tc>
          <w:tcPr>
            <w:tcW w:w="2027" w:type="dxa"/>
            <w:gridSpan w:val="2"/>
            <w:vMerge/>
            <w:tcBorders>
              <w:top w:val="single" w:sz="4" w:space="0" w:color="auto"/>
              <w:left w:val="nil"/>
              <w:bottom w:val="single" w:sz="4" w:space="0" w:color="auto"/>
              <w:right w:val="single" w:sz="4" w:space="0" w:color="auto"/>
            </w:tcBorders>
            <w:noWrap/>
            <w:vAlign w:val="center"/>
          </w:tcPr>
          <w:p/>
        </w:tc>
        <w:tc>
          <w:tcPr>
            <w:tcW w:w="1337" w:type="dxa"/>
            <w:gridSpan w:val="2"/>
            <w:vMerge/>
            <w:tcBorders>
              <w:left w:val="single" w:sz="4" w:space="0" w:color="auto"/>
              <w:bottom w:val="single" w:sz="4" w:space="0" w:color="000000"/>
              <w:right w:val="single" w:sz="4" w:space="0" w:color="000000"/>
            </w:tcBorders>
            <w:noWrap/>
            <w:vAlign w:val="center"/>
          </w:tcPr>
          <w:p/>
        </w:tc>
        <w:tc>
          <w:tcPr>
            <w:tcW w:w="1338" w:type="dxa"/>
            <w:gridSpan w:val="3"/>
            <w:vMerge/>
            <w:tcBorders>
              <w:left w:val="nil"/>
              <w:bottom w:val="single" w:sz="4" w:space="0" w:color="000000"/>
              <w:right w:val="single" w:sz="4" w:space="0" w:color="000000"/>
            </w:tcBorders>
            <w:noWrap/>
            <w:vAlign w:val="center"/>
          </w:tcPr>
          <w:p/>
        </w:tc>
        <w:tc>
          <w:tcPr>
            <w:tcW w:w="1733" w:type="dxa"/>
            <w:vMerge/>
            <w:tcBorders>
              <w:left w:val="nil"/>
              <w:bottom w:val="single" w:sz="4" w:space="0" w:color="000000"/>
              <w:right w:val="single" w:sz="4" w:space="0" w:color="000000"/>
            </w:tcBorders>
            <w:noWrap/>
            <w:vAlign w:val="center"/>
          </w:tcPr>
          <w:p/>
        </w:tc>
      </w:tr>
      <w:tr>
        <w:trPr>
          <w:trHeight w:val="308"/>
        </w:trPr>
        <w:tc>
          <w:tcPr>
            <w:tcW w:w="5020" w:type="dxa"/>
            <w:gridSpan w:val="3"/>
            <w:tcBorders>
              <w:top w:val="single" w:sz="4" w:space="0" w:color="auto"/>
              <w:left w:val="single" w:sz="4" w:space="0" w:color="auto"/>
              <w:bottom w:val="single" w:sz="4" w:space="0" w:color="000000"/>
              <w:right w:val="single" w:sz="4" w:space="0" w:color="auto"/>
            </w:tcBorders>
            <w:noWrap/>
            <w:vAlign w:val="center"/>
          </w:tcPr>
          <w:p>
            <w:pPr>
              <w:keepNext w:val="0"/>
              <w:keepLines w:val="0"/>
              <w:widowControl/>
              <w:suppressLineNumbers w:val="0"/>
              <w:jc w:val="center"/>
              <w:textAlignment w:val="center"/>
              <w:rPr>
                <w:rFonts w:ascii="Times New Roman" w:eastAsia="方正仿宋_GB2312" w:cs="Times New Roman" w:hAnsi="Times New Roman" w:hint="eastAsia"/>
                <w:i w:val="0"/>
                <w:iCs w:val="0"/>
                <w:color w:val="000000"/>
                <w:sz w:val="20"/>
                <w:szCs w:val="20"/>
                <w:u w:val="none"/>
                <w:lang w:val="en-US" w:eastAsia="zh-CN"/>
                <w:highlight w:val="auto"/>
              </w:rPr>
            </w:pPr>
            <w:r>
              <w:rPr>
                <w:rFonts w:ascii="Times New Roman" w:eastAsia="方正仿宋_GB2312" w:cs="Times New Roman" w:hAnsi="Times New Roman" w:hint="eastAsia"/>
                <w:i w:val="0"/>
                <w:iCs w:val="0"/>
                <w:color w:val="000000"/>
                <w:sz w:val="20"/>
                <w:szCs w:val="20"/>
                <w:u w:val="none"/>
                <w:lang w:val="en-US" w:eastAsia="zh-CN"/>
                <w:highlight w:val="auto"/>
              </w:rPr>
              <w:t>栏次</w:t>
            </w:r>
          </w:p>
        </w:tc>
        <w:tc>
          <w:tcPr>
            <w:tcW w:w="1332" w:type="dxa"/>
            <w:tcBorders>
              <w:top w:val="nil"/>
              <w:left w:val="single" w:sz="4" w:space="0" w:color="auto"/>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方正仿宋_GB2312" w:cs="Times New Roman" w:hAnsi="Times New Roman" w:hint="eastAsia"/>
                <w:i w:val="0"/>
                <w:iCs w:val="0"/>
                <w:color w:val="000000"/>
                <w:sz w:val="20"/>
                <w:szCs w:val="20"/>
                <w:u w:val="none"/>
                <w:lang w:val="en-US" w:eastAsia="zh-CN"/>
                <w:highlight w:val="auto"/>
              </w:rPr>
            </w:pPr>
            <w:r>
              <w:rPr>
                <w:rFonts w:ascii="Times New Roman" w:eastAsia="方正仿宋_GB2312" w:cs="Times New Roman" w:hAnsi="Times New Roman" w:hint="eastAsia"/>
                <w:i w:val="0"/>
                <w:iCs w:val="0"/>
                <w:color w:val="000000"/>
                <w:sz w:val="20"/>
                <w:szCs w:val="20"/>
                <w:u w:val="none"/>
                <w:lang w:val="en-US" w:eastAsia="zh-CN"/>
                <w:highlight w:val="auto"/>
              </w:rPr>
              <w:t>1</w:t>
            </w:r>
          </w:p>
        </w:tc>
        <w:tc>
          <w:tcPr>
            <w:tcW w:w="1333" w:type="dxa"/>
            <w:gridSpan w:val="3"/>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方正仿宋_GB2312" w:cs="Times New Roman" w:hAnsi="Times New Roman" w:hint="eastAsia"/>
                <w:i w:val="0"/>
                <w:iCs w:val="0"/>
                <w:color w:val="000000"/>
                <w:sz w:val="20"/>
                <w:szCs w:val="20"/>
                <w:u w:val="none"/>
                <w:lang w:val="en-US" w:eastAsia="zh-CN"/>
                <w:highlight w:val="auto"/>
              </w:rPr>
            </w:pPr>
            <w:r>
              <w:rPr>
                <w:rFonts w:ascii="Times New Roman" w:eastAsia="方正仿宋_GB2312" w:cs="Times New Roman" w:hAnsi="Times New Roman" w:hint="eastAsia"/>
                <w:i w:val="0"/>
                <w:iCs w:val="0"/>
                <w:color w:val="000000"/>
                <w:sz w:val="20"/>
                <w:szCs w:val="20"/>
                <w:u w:val="none"/>
                <w:lang w:val="en-US" w:eastAsia="zh-CN"/>
                <w:highlight w:val="auto"/>
              </w:rPr>
              <w:t>2</w:t>
            </w:r>
          </w:p>
        </w:tc>
        <w:tc>
          <w:tcPr>
            <w:tcW w:w="1743" w:type="dxa"/>
            <w:gridSpan w:val="2"/>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方正仿宋_GB2312" w:cs="Times New Roman" w:hAnsi="Times New Roman" w:hint="eastAsia"/>
                <w:i w:val="0"/>
                <w:iCs w:val="0"/>
                <w:color w:val="000000"/>
                <w:sz w:val="20"/>
                <w:szCs w:val="20"/>
                <w:u w:val="none"/>
                <w:lang w:val="en-US" w:eastAsia="zh-CN"/>
                <w:highlight w:val="auto"/>
              </w:rPr>
            </w:pPr>
            <w:r>
              <w:rPr>
                <w:rFonts w:ascii="Times New Roman" w:eastAsia="方正仿宋_GB2312" w:cs="Times New Roman" w:hAnsi="Times New Roman" w:hint="eastAsia"/>
                <w:i w:val="0"/>
                <w:iCs w:val="0"/>
                <w:color w:val="000000"/>
                <w:sz w:val="20"/>
                <w:szCs w:val="20"/>
                <w:u w:val="none"/>
                <w:lang w:val="en-US" w:eastAsia="zh-CN"/>
                <w:highlight w:val="auto"/>
              </w:rPr>
              <w:t>3</w:t>
            </w:r>
          </w:p>
        </w:tc>
      </w:tr>
      <w:tr>
        <w:trPr>
          <w:trHeight w:val="308"/>
        </w:trPr>
        <w:tc>
          <w:tcPr>
            <w:tcW w:w="5020" w:type="dxa"/>
            <w:gridSpan w:val="3"/>
            <w:tcBorders>
              <w:top w:val="single" w:sz="4" w:space="0" w:color="000000"/>
              <w:left w:val="single" w:sz="4" w:space="0" w:color="000000"/>
              <w:bottom w:val="single" w:sz="4" w:space="0" w:color="000000"/>
              <w:right w:val="single" w:sz="4" w:space="0" w:color="000000"/>
            </w:tcBorders>
            <w:noWrap/>
            <w:vAlign w:val="center"/>
          </w:tcPr>
          <w:p>
            <w:pPr>
              <w:jc w:val="center"/>
              <w:rPr>
                <w:rFonts w:ascii="Times New Roman" w:eastAsia="宋体" w:cs="Times New Roman" w:hAnsi="Times New Roman"/>
                <w:i w:val="0"/>
                <w:iCs w:val="0"/>
                <w:color w:val="000000"/>
                <w:sz w:val="20"/>
                <w:szCs w:val="20"/>
                <w:u w:val="none"/>
                <w:lang w:val="en-US" w:eastAsia="zh-CN"/>
                <w:highlight w:val="auto"/>
              </w:rPr>
            </w:pPr>
            <w:r>
              <w:rPr>
                <w:rFonts w:ascii="Times New Roman" w:eastAsia="方正仿宋_GB2312" w:cs="Times New Roman" w:hAnsi="Times New Roman" w:hint="eastAsia"/>
                <w:i w:val="0"/>
                <w:iCs w:val="0"/>
                <w:color w:val="000000"/>
                <w:sz w:val="20"/>
                <w:szCs w:val="20"/>
                <w:u w:val="none"/>
                <w:lang w:val="en-US" w:eastAsia="zh-CN"/>
                <w:highlight w:val="auto"/>
              </w:rPr>
              <w:t>合计</w:t>
            </w:r>
          </w:p>
        </w:tc>
        <w:tc>
          <w:tcPr>
            <w:tcW w:w="1332" w:type="dxa"/>
            <w:tcBorders>
              <w:top w:val="single" w:sz="4" w:space="0" w:color="000000"/>
              <w:left w:val="single" w:sz="4" w:space="0" w:color="000000"/>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333" w:type="dxa"/>
            <w:gridSpan w:val="3"/>
            <w:tcBorders>
              <w:top w:val="single" w:sz="4" w:space="0" w:color="000000"/>
              <w:left w:val="single" w:sz="4" w:space="0" w:color="000000"/>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c>
          <w:tcPr>
            <w:tcW w:w="1743" w:type="dxa"/>
            <w:gridSpan w:val="2"/>
            <w:tcBorders>
              <w:top w:val="single" w:sz="4" w:space="0" w:color="000000"/>
              <w:left w:val="single" w:sz="4" w:space="0" w:color="000000"/>
              <w:bottom w:val="single" w:sz="4" w:space="0" w:color="000000"/>
              <w:right w:val="single" w:sz="4" w:space="0" w:color="000000"/>
            </w:tcBorders>
            <w:noWrap/>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9428" w:type="dxa"/>
            <w:gridSpan w:val="9"/>
            <w:tcBorders>
              <w:top w:val="nil"/>
              <w:left w:val="nil"/>
              <w:bottom w:val="nil"/>
              <w:right w:val="nil"/>
            </w:tcBorders>
            <w:noWrap/>
            <w:vAlign w:val="center"/>
          </w:tcPr>
          <w:p>
            <w:pPr>
              <w:keepNext w:val="0"/>
              <w:keepLines w:val="0"/>
              <w:widowControl/>
              <w:suppressLineNumbers w:val="0"/>
              <w:jc w:val="left"/>
              <w:textAlignment w:val="center"/>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注：本表反映</w:t>
            </w:r>
            <w:r>
              <w:rPr>
                <w:rFonts w:ascii="方正仿宋_GB2312" w:eastAsia="方正仿宋_GB2312" w:cs="方正仿宋_GB2312" w:hAnsi="方正仿宋_GB2312" w:hint="eastAsia"/>
                <w:i w:val="0"/>
                <w:iCs w:val="0"/>
                <w:color w:val="000000"/>
                <w:kern w:val="0"/>
                <w:sz w:val="20"/>
                <w:szCs w:val="20"/>
                <w:u w:val="none"/>
                <w:lang w:val="en-US" w:eastAsia="zh-CN"/>
              </w:rPr>
              <w:t>单位</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本年度国有资本经营预算财政拨款支出情况。（如无相关数据，则需注明空表列示）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ascii="仿宋_GB2312" w:eastAsia="仿宋_GB2312" w:hAnsi="宋体" w:hint="eastAsia"/>
          <w:b/>
          <w:color w:val="auto"/>
          <w:kern w:val="0"/>
          <w:sz w:val="32"/>
          <w:szCs w:val="32"/>
          <w:highlight w:val="auto"/>
        </w:rPr>
      </w:pPr>
    </w:p>
    <w:p>
      <w:pPr>
        <w:rPr>
          <w:rFonts w:ascii="仿宋_GB2312" w:eastAsia="仿宋_GB2312" w:hAnsi="宋体" w:hint="eastAsia"/>
          <w:b/>
          <w:color w:val="auto"/>
          <w:kern w:val="0"/>
          <w:sz w:val="32"/>
          <w:szCs w:val="32"/>
          <w:highlight w:val="auto"/>
        </w:rPr>
      </w:pPr>
      <w:r>
        <w:rPr>
          <w:rFonts w:ascii="仿宋_GB2312" w:eastAsia="仿宋_GB2312" w:hAnsi="宋体" w:hint="eastAsia"/>
          <w:b/>
          <w:color w:val="auto"/>
          <w:kern w:val="0"/>
          <w:sz w:val="32"/>
          <w:szCs w:val="32"/>
          <w:highlight w:val="auto"/>
        </w:rPr>
        <w:br w:type="page"/>
      </w:r>
    </w:p>
    <w:tbl>
      <w:tblPr>
        <w:tblpPr w:leftFromText="180" w:rightFromText="180" w:vertAnchor="text" w:horzAnchor="page" w:tblpX="282" w:tblpY="39"/>
        <w:tblOverlap w:val="never"/>
        <w:tblW w:w="11596"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trPr>
          <w:trHeight w:val="550"/>
        </w:trPr>
        <w:tc>
          <w:tcPr>
            <w:tcW w:w="11596" w:type="dxa"/>
            <w:gridSpan w:val="14"/>
            <w:tcBorders>
              <w:top w:val="nil"/>
              <w:left w:val="nil"/>
              <w:bottom w:val="nil"/>
              <w:right w:val="nil"/>
            </w:tcBorders>
            <w:noWrap/>
            <w:vAlign w:val="bottom"/>
          </w:tcPr>
          <w:p>
            <w:pPr>
              <w:keepNext w:val="0"/>
              <w:keepLines w:val="0"/>
              <w:widowControl/>
              <w:suppressLineNumbers w:val="0"/>
              <w:jc w:val="center"/>
              <w:textAlignment w:val="bottom"/>
              <w:rPr>
                <w:rFonts w:ascii="宋体" w:eastAsia="宋体" w:cs="宋体" w:hAnsi="宋体" w:hint="eastAsia"/>
                <w:i w:val="0"/>
                <w:iCs w:val="0"/>
                <w:color w:val="000000"/>
                <w:sz w:val="18"/>
                <w:szCs w:val="18"/>
                <w:u w:val="none"/>
                <w:highlight w:val="auto"/>
              </w:rPr>
            </w:pPr>
            <w:r>
              <w:rPr>
                <w:rFonts w:ascii="方正仿宋_GB2312" w:eastAsia="方正仿宋_GB2312" w:cs="方正仿宋_GB2312" w:hAnsi="方正仿宋_GB2312" w:hint="eastAsia"/>
                <w:b w:val="0"/>
                <w:bCs/>
                <w:color w:val="auto"/>
                <w:kern w:val="0"/>
                <w:sz w:val="32"/>
                <w:szCs w:val="32"/>
                <w:lang w:val="en-US" w:eastAsia="zh-CN"/>
                <w:highlight w:val="auto"/>
              </w:rPr>
              <w:t>财政拨款“三公”经费支出决算表</w:t>
            </w:r>
          </w:p>
        </w:tc>
      </w:tr>
      <w:tr>
        <w:trPr>
          <w:trHeight w:val="260"/>
        </w:trPr>
        <w:tc>
          <w:tcPr>
            <w:tcW w:w="11596" w:type="dxa"/>
            <w:gridSpan w:val="14"/>
            <w:tcBorders>
              <w:top w:val="nil"/>
              <w:left w:val="nil"/>
              <w:bottom w:val="nil"/>
              <w:right w:val="nil"/>
            </w:tcBorders>
            <w:noWrap/>
            <w:vAlign w:val="bottom"/>
          </w:tcPr>
          <w:p>
            <w:pPr>
              <w:keepNext w:val="0"/>
              <w:keepLines w:val="0"/>
              <w:widowControl/>
              <w:suppressLineNumbers w:val="0"/>
              <w:jc w:val="right"/>
              <w:textAlignment w:val="bottom"/>
              <w:rPr>
                <w:rFonts w:ascii="宋体" w:eastAsia="宋体" w:cs="宋体" w:hAnsi="宋体"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公开</w:t>
            </w:r>
            <w:r>
              <w:rPr>
                <w:rFonts w:ascii="Times New Roman" w:eastAsia="方正仿宋_GB2312" w:cs="Times New Roman" w:hAnsi="Times New Roman"/>
                <w:i w:val="0"/>
                <w:iCs w:val="0"/>
                <w:color w:val="000000"/>
                <w:kern w:val="0"/>
                <w:sz w:val="18"/>
                <w:szCs w:val="18"/>
                <w:u w:val="none"/>
                <w:lang w:val="en-US" w:eastAsia="zh-CN"/>
                <w:highlight w:val="auto"/>
              </w:rPr>
              <w:t>09</w:t>
            </w:r>
            <w:r>
              <w:rPr>
                <w:rFonts w:ascii="方正仿宋_GB2312" w:eastAsia="方正仿宋_GB2312" w:cs="方正仿宋_GB2312" w:hAnsi="方正仿宋_GB2312" w:hint="eastAsia"/>
                <w:i w:val="0"/>
                <w:iCs w:val="0"/>
                <w:color w:val="000000"/>
                <w:kern w:val="0"/>
                <w:sz w:val="18"/>
                <w:szCs w:val="18"/>
                <w:u w:val="none"/>
                <w:lang w:val="en-US" w:eastAsia="zh-CN"/>
                <w:highlight w:val="auto"/>
              </w:rPr>
              <w:t>表</w:t>
            </w:r>
          </w:p>
        </w:tc>
      </w:tr>
      <w:tr>
        <w:trPr>
          <w:trHeight w:val="260"/>
        </w:trPr>
        <w:tc>
          <w:tcPr>
            <w:tcW w:w="4492" w:type="dxa"/>
            <w:gridSpan w:val="5"/>
            <w:tcBorders>
              <w:top w:val="nil"/>
              <w:left w:val="nil"/>
              <w:bottom w:val="single" w:sz="4" w:space="0" w:color="auto"/>
              <w:right w:val="nil"/>
            </w:tcBorders>
            <w:noWrap/>
            <w:vAlign w:val="bottom"/>
          </w:tcPr>
          <w:p>
            <w:pPr>
              <w:keepNext w:val="0"/>
              <w:keepLines w:val="0"/>
              <w:widowControl/>
              <w:suppressLineNumbers w:val="0"/>
              <w:jc w:val="left"/>
              <w:textAlignment w:val="bottom"/>
              <w:rPr>
                <w:rFonts w:ascii="宋体" w:eastAsia="宋体" w:cs="宋体" w:hAnsi="宋体"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rPr>
              <w:t>单位</w:t>
            </w:r>
            <w:r>
              <w:rPr>
                <w:rFonts w:ascii="方正仿宋_GB2312" w:eastAsia="方正仿宋_GB2312" w:cs="方正仿宋_GB2312" w:hAnsi="方正仿宋_GB2312" w:hint="eastAsia"/>
                <w:i w:val="0"/>
                <w:iCs w:val="0"/>
                <w:color w:val="000000"/>
                <w:kern w:val="0"/>
                <w:sz w:val="18"/>
                <w:szCs w:val="18"/>
                <w:u w:val="none"/>
                <w:lang w:val="en-US" w:eastAsia="zh-CN"/>
                <w:highlight w:val="auto"/>
              </w:rPr>
              <w:t>（单位）：行唐县交通运输局(本级)</w:t>
            </w:r>
          </w:p>
        </w:tc>
        <w:tc>
          <w:tcPr>
            <w:tcW w:w="2166" w:type="dxa"/>
            <w:gridSpan w:val="3"/>
            <w:tcBorders>
              <w:top w:val="nil"/>
              <w:left w:val="nil"/>
              <w:bottom w:val="single" w:sz="4" w:space="0" w:color="auto"/>
              <w:right w:val="nil"/>
            </w:tcBorders>
            <w:noWrap/>
            <w:vAlign w:val="bottom"/>
          </w:tcPr>
          <w:p>
            <w:pPr>
              <w:keepNext w:val="0"/>
              <w:keepLines w:val="0"/>
              <w:widowControl/>
              <w:suppressLineNumbers w:val="0"/>
              <w:jc w:val="center"/>
              <w:textAlignment w:val="bottom"/>
              <w:rPr>
                <w:rFonts w:ascii="宋体" w:eastAsia="宋体" w:cs="宋体" w:hAnsi="宋体"/>
                <w:i w:val="0"/>
                <w:iCs w:val="0"/>
                <w:color w:val="000000"/>
                <w:kern w:val="0"/>
                <w:sz w:val="18"/>
                <w:szCs w:val="18"/>
                <w:u w:val="none"/>
                <w:lang w:val="en-US" w:eastAsia="zh-CN"/>
                <w:highlight w:val="auto"/>
              </w:rPr>
            </w:pPr>
            <w:r>
              <w:rPr>
                <w:rFonts w:ascii="Times New Roman" w:eastAsia="宋体" w:cs="Times New Roman" w:hAnsi="Times New Roman"/>
                <w:i w:val="0"/>
                <w:iCs w:val="0"/>
                <w:color w:val="000000"/>
                <w:kern w:val="0"/>
                <w:sz w:val="18"/>
                <w:szCs w:val="18"/>
                <w:u w:val="none"/>
                <w:lang w:val="en-US" w:eastAsia="zh-CN"/>
                <w:highlight w:val="auto"/>
              </w:rPr>
              <w:t>202</w:t>
            </w:r>
            <w:r>
              <w:rPr>
                <w:rFonts w:ascii="Times New Roman" w:eastAsia="宋体" w:cs="Times New Roman" w:hAnsi="Times New Roman" w:hint="eastAsia"/>
                <w:i w:val="0"/>
                <w:iCs w:val="0"/>
                <w:color w:val="000000"/>
                <w:kern w:val="0"/>
                <w:sz w:val="18"/>
                <w:szCs w:val="18"/>
                <w:u w:val="none"/>
                <w:lang w:val="en-US" w:eastAsia="zh-CN"/>
                <w:highlight w:val="auto"/>
              </w:rPr>
              <w:t>4</w:t>
            </w:r>
            <w:r>
              <w:rPr>
                <w:rFonts w:ascii="方正仿宋_GB2312" w:eastAsia="方正仿宋_GB2312" w:cs="方正仿宋_GB2312" w:hAnsi="方正仿宋_GB2312" w:hint="eastAsia"/>
                <w:i w:val="0"/>
                <w:iCs w:val="0"/>
                <w:color w:val="000000"/>
                <w:kern w:val="0"/>
                <w:sz w:val="18"/>
                <w:szCs w:val="18"/>
                <w:u w:val="none"/>
                <w:lang w:val="en-US" w:eastAsia="zh-CN"/>
                <w:highlight w:val="auto"/>
              </w:rPr>
              <w:t>年度</w:t>
            </w:r>
          </w:p>
        </w:tc>
        <w:tc>
          <w:tcPr>
            <w:tcW w:w="4938" w:type="dxa"/>
            <w:gridSpan w:val="6"/>
            <w:tcBorders>
              <w:top w:val="nil"/>
              <w:left w:val="nil"/>
              <w:bottom w:val="single" w:sz="4" w:space="0" w:color="auto"/>
              <w:right w:val="nil"/>
            </w:tcBorders>
            <w:noWrap/>
            <w:vAlign w:val="bottom"/>
          </w:tcPr>
          <w:p>
            <w:pPr>
              <w:keepNext w:val="0"/>
              <w:keepLines w:val="0"/>
              <w:widowControl/>
              <w:suppressLineNumbers w:val="0"/>
              <w:jc w:val="right"/>
              <w:textAlignment w:val="bottom"/>
              <w:rPr>
                <w:rFonts w:ascii="宋体" w:eastAsia="宋体" w:cs="宋体" w:hAnsi="宋体"/>
                <w:i w:val="0"/>
                <w:iCs w:val="0"/>
                <w:color w:val="000000"/>
                <w:kern w:val="0"/>
                <w:sz w:val="18"/>
                <w:szCs w:val="18"/>
                <w:u w:val="none"/>
                <w:lang w:val="en-US" w:eastAsia="zh-CN"/>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金额单位：万元</w:t>
            </w:r>
          </w:p>
        </w:tc>
      </w:tr>
      <w:tr>
        <w:trPr>
          <w:trHeight w:val="431"/>
        </w:trPr>
        <w:tc>
          <w:tcPr>
            <w:tcW w:w="5813" w:type="dxa"/>
            <w:gridSpan w:val="7"/>
            <w:tcBorders>
              <w:top w:val="single" w:sz="4" w:space="0" w:color="auto"/>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预算数</w:t>
            </w:r>
          </w:p>
        </w:tc>
        <w:tc>
          <w:tcPr>
            <w:tcW w:w="5783" w:type="dxa"/>
            <w:gridSpan w:val="7"/>
            <w:tcBorders>
              <w:top w:val="single" w:sz="4" w:space="0" w:color="auto"/>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决算数</w:t>
            </w:r>
          </w:p>
        </w:tc>
      </w:tr>
      <w:tr>
        <w:trPr>
          <w:trHeight w:val="431"/>
        </w:trPr>
        <w:tc>
          <w:tcPr>
            <w:tcW w:w="987" w:type="dxa"/>
            <w:vMerge w:val="restart"/>
            <w:tcBorders>
              <w:top w:val="nil"/>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合计</w:t>
            </w:r>
          </w:p>
        </w:tc>
        <w:tc>
          <w:tcPr>
            <w:tcW w:w="1226" w:type="dxa"/>
            <w:vMerge w:val="restart"/>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因公出国（境）费</w:t>
            </w:r>
          </w:p>
        </w:tc>
        <w:tc>
          <w:tcPr>
            <w:tcW w:w="2823" w:type="dxa"/>
            <w:gridSpan w:val="4"/>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公务用车购置及运行维护费</w:t>
            </w:r>
          </w:p>
        </w:tc>
        <w:tc>
          <w:tcPr>
            <w:tcW w:w="777" w:type="dxa"/>
            <w:vMerge w:val="restart"/>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公务接待费</w:t>
            </w:r>
          </w:p>
        </w:tc>
        <w:tc>
          <w:tcPr>
            <w:tcW w:w="850" w:type="dxa"/>
            <w:gridSpan w:val="2"/>
            <w:vMerge w:val="restart"/>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合计</w:t>
            </w:r>
          </w:p>
        </w:tc>
        <w:tc>
          <w:tcPr>
            <w:tcW w:w="1133" w:type="dxa"/>
            <w:vMerge w:val="restart"/>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因公出国（境）费</w:t>
            </w:r>
          </w:p>
        </w:tc>
        <w:tc>
          <w:tcPr>
            <w:tcW w:w="2613" w:type="dxa"/>
            <w:gridSpan w:val="3"/>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公务用车购置及运行维护费</w:t>
            </w:r>
          </w:p>
        </w:tc>
        <w:tc>
          <w:tcPr>
            <w:tcW w:w="1187" w:type="dxa"/>
            <w:vMerge w:val="restart"/>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公务接待费</w:t>
            </w:r>
          </w:p>
        </w:tc>
      </w:tr>
      <w:tr>
        <w:trPr>
          <w:trHeight w:val="431"/>
        </w:trPr>
        <w:tc>
          <w:tcPr>
            <w:tcW w:w="987" w:type="dxa"/>
            <w:vMerge/>
            <w:tcBorders>
              <w:top w:val="nil"/>
              <w:left w:val="single" w:sz="4" w:space="0" w:color="000000"/>
              <w:bottom w:val="single" w:sz="4" w:space="0" w:color="000000"/>
              <w:right w:val="single" w:sz="4" w:space="0" w:color="000000"/>
            </w:tcBorders>
            <w:noWrap/>
            <w:vAlign w:val="center"/>
          </w:tcPr>
          <w:p/>
        </w:tc>
        <w:tc>
          <w:tcPr>
            <w:tcW w:w="1226" w:type="dxa"/>
            <w:vMerge/>
            <w:tcBorders>
              <w:top w:val="nil"/>
              <w:left w:val="nil"/>
              <w:bottom w:val="single" w:sz="4" w:space="0" w:color="000000"/>
              <w:right w:val="single" w:sz="4" w:space="0" w:color="000000"/>
            </w:tcBorders>
            <w:noWrap/>
            <w:vAlign w:val="center"/>
          </w:tcPr>
          <w:p/>
        </w:tc>
        <w:tc>
          <w:tcPr>
            <w:tcW w:w="81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小计</w:t>
            </w:r>
          </w:p>
        </w:tc>
        <w:tc>
          <w:tcPr>
            <w:tcW w:w="946"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公务用车购置费</w:t>
            </w:r>
          </w:p>
        </w:tc>
        <w:tc>
          <w:tcPr>
            <w:tcW w:w="1063" w:type="dxa"/>
            <w:gridSpan w:val="2"/>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公务用车运行维护费</w:t>
            </w:r>
          </w:p>
        </w:tc>
        <w:tc>
          <w:tcPr>
            <w:tcW w:w="777" w:type="dxa"/>
            <w:vMerge/>
            <w:tcBorders>
              <w:top w:val="nil"/>
              <w:left w:val="nil"/>
              <w:bottom w:val="single" w:sz="4" w:space="0" w:color="000000"/>
              <w:right w:val="single" w:sz="4" w:space="0" w:color="000000"/>
            </w:tcBorders>
            <w:noWrap/>
            <w:vAlign w:val="center"/>
          </w:tcPr>
          <w:p/>
        </w:tc>
        <w:tc>
          <w:tcPr>
            <w:tcW w:w="850" w:type="dxa"/>
            <w:gridSpan w:val="2"/>
            <w:vMerge/>
            <w:tcBorders>
              <w:top w:val="nil"/>
              <w:left w:val="nil"/>
              <w:bottom w:val="single" w:sz="4" w:space="0" w:color="000000"/>
              <w:right w:val="single" w:sz="4" w:space="0" w:color="000000"/>
            </w:tcBorders>
            <w:noWrap/>
            <w:vAlign w:val="center"/>
          </w:tcPr>
          <w:p/>
        </w:tc>
        <w:tc>
          <w:tcPr>
            <w:tcW w:w="1133" w:type="dxa"/>
            <w:vMerge/>
            <w:tcBorders>
              <w:top w:val="nil"/>
              <w:left w:val="nil"/>
              <w:bottom w:val="single" w:sz="4" w:space="0" w:color="000000"/>
              <w:right w:val="single" w:sz="4" w:space="0" w:color="000000"/>
            </w:tcBorders>
            <w:noWrap/>
            <w:vAlign w:val="center"/>
          </w:tcPr>
          <w:p/>
        </w:tc>
        <w:tc>
          <w:tcPr>
            <w:tcW w:w="640"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小计</w:t>
            </w:r>
          </w:p>
        </w:tc>
        <w:tc>
          <w:tcPr>
            <w:tcW w:w="1027"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公务用车购置费</w:t>
            </w:r>
          </w:p>
        </w:tc>
        <w:tc>
          <w:tcPr>
            <w:tcW w:w="946"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公务用车运行维护费</w:t>
            </w:r>
          </w:p>
        </w:tc>
        <w:tc>
          <w:tcPr>
            <w:tcW w:w="1187" w:type="dxa"/>
            <w:vMerge/>
            <w:tcBorders>
              <w:top w:val="nil"/>
              <w:left w:val="nil"/>
              <w:bottom w:val="single" w:sz="4" w:space="0" w:color="000000"/>
              <w:right w:val="single" w:sz="4" w:space="0" w:color="000000"/>
            </w:tcBorders>
            <w:noWrap/>
            <w:vAlign w:val="center"/>
          </w:tcPr>
          <w:p/>
        </w:tc>
      </w:tr>
      <w:tr>
        <w:trPr>
          <w:trHeight w:val="431"/>
        </w:trPr>
        <w:tc>
          <w:tcPr>
            <w:tcW w:w="987" w:type="dxa"/>
            <w:tcBorders>
              <w:top w:val="nil"/>
              <w:left w:val="single" w:sz="4" w:space="0" w:color="000000"/>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kern w:val="0"/>
                <w:sz w:val="18"/>
                <w:szCs w:val="18"/>
                <w:u w:val="none"/>
                <w:lang w:val="en-US" w:eastAsia="zh-CN"/>
                <w:highlight w:val="auto"/>
              </w:rPr>
              <w:t>1</w:t>
            </w:r>
          </w:p>
        </w:tc>
        <w:tc>
          <w:tcPr>
            <w:tcW w:w="1226"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kern w:val="0"/>
                <w:sz w:val="18"/>
                <w:szCs w:val="18"/>
                <w:u w:val="none"/>
                <w:lang w:val="en-US" w:eastAsia="zh-CN"/>
                <w:highlight w:val="auto"/>
              </w:rPr>
              <w:t>2</w:t>
            </w:r>
          </w:p>
        </w:tc>
        <w:tc>
          <w:tcPr>
            <w:tcW w:w="814"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kern w:val="0"/>
                <w:sz w:val="18"/>
                <w:szCs w:val="18"/>
                <w:u w:val="none"/>
                <w:lang w:val="en-US" w:eastAsia="zh-CN"/>
                <w:highlight w:val="auto"/>
              </w:rPr>
              <w:t>3</w:t>
            </w:r>
          </w:p>
        </w:tc>
        <w:tc>
          <w:tcPr>
            <w:tcW w:w="946"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kern w:val="0"/>
                <w:sz w:val="18"/>
                <w:szCs w:val="18"/>
                <w:u w:val="none"/>
                <w:lang w:val="en-US" w:eastAsia="zh-CN"/>
                <w:highlight w:val="auto"/>
              </w:rPr>
              <w:t>4</w:t>
            </w:r>
          </w:p>
        </w:tc>
        <w:tc>
          <w:tcPr>
            <w:tcW w:w="1063" w:type="dxa"/>
            <w:gridSpan w:val="2"/>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kern w:val="0"/>
                <w:sz w:val="18"/>
                <w:szCs w:val="18"/>
                <w:u w:val="none"/>
                <w:lang w:val="en-US" w:eastAsia="zh-CN"/>
                <w:highlight w:val="auto"/>
              </w:rPr>
              <w:t>5</w:t>
            </w:r>
          </w:p>
        </w:tc>
        <w:tc>
          <w:tcPr>
            <w:tcW w:w="777"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kern w:val="0"/>
                <w:sz w:val="18"/>
                <w:szCs w:val="18"/>
                <w:u w:val="none"/>
                <w:lang w:val="en-US" w:eastAsia="zh-CN"/>
                <w:highlight w:val="auto"/>
              </w:rPr>
              <w:t>6</w:t>
            </w:r>
          </w:p>
        </w:tc>
        <w:tc>
          <w:tcPr>
            <w:tcW w:w="850" w:type="dxa"/>
            <w:gridSpan w:val="2"/>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kern w:val="0"/>
                <w:sz w:val="18"/>
                <w:szCs w:val="18"/>
                <w:u w:val="none"/>
                <w:lang w:val="en-US" w:eastAsia="zh-CN"/>
                <w:highlight w:val="auto"/>
              </w:rPr>
              <w:t>7</w:t>
            </w:r>
          </w:p>
        </w:tc>
        <w:tc>
          <w:tcPr>
            <w:tcW w:w="1133"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kern w:val="0"/>
                <w:sz w:val="18"/>
                <w:szCs w:val="18"/>
                <w:u w:val="none"/>
                <w:lang w:val="en-US" w:eastAsia="zh-CN"/>
                <w:highlight w:val="auto"/>
              </w:rPr>
              <w:t>8</w:t>
            </w:r>
          </w:p>
        </w:tc>
        <w:tc>
          <w:tcPr>
            <w:tcW w:w="640"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kern w:val="0"/>
                <w:sz w:val="18"/>
                <w:szCs w:val="18"/>
                <w:u w:val="none"/>
                <w:lang w:val="en-US" w:eastAsia="zh-CN"/>
                <w:highlight w:val="auto"/>
              </w:rPr>
              <w:t>9</w:t>
            </w:r>
          </w:p>
        </w:tc>
        <w:tc>
          <w:tcPr>
            <w:tcW w:w="1027"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kern w:val="0"/>
                <w:sz w:val="18"/>
                <w:szCs w:val="18"/>
                <w:u w:val="none"/>
                <w:lang w:val="en-US" w:eastAsia="zh-CN"/>
                <w:highlight w:val="auto"/>
              </w:rPr>
              <w:t>10</w:t>
            </w:r>
          </w:p>
        </w:tc>
        <w:tc>
          <w:tcPr>
            <w:tcW w:w="946"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kern w:val="0"/>
                <w:sz w:val="18"/>
                <w:szCs w:val="18"/>
                <w:u w:val="none"/>
                <w:lang w:val="en-US" w:eastAsia="zh-CN"/>
                <w:highlight w:val="auto"/>
              </w:rPr>
              <w:t>11</w:t>
            </w:r>
          </w:p>
        </w:tc>
        <w:tc>
          <w:tcPr>
            <w:tcW w:w="1187" w:type="dxa"/>
            <w:tcBorders>
              <w:top w:val="nil"/>
              <w:left w:val="nil"/>
              <w:bottom w:val="single" w:sz="4" w:space="0" w:color="000000"/>
              <w:right w:val="single" w:sz="4" w:space="0" w:color="000000"/>
            </w:tcBorders>
            <w:noWrap/>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kern w:val="0"/>
                <w:sz w:val="18"/>
                <w:szCs w:val="18"/>
                <w:u w:val="none"/>
                <w:lang w:val="en-US" w:eastAsia="zh-CN"/>
                <w:highlight w:val="auto"/>
              </w:rPr>
              <w:t>12</w:t>
            </w:r>
          </w:p>
        </w:tc>
      </w:tr>
      <w:tr>
        <w:trPr>
          <w:trHeight w:val="431"/>
        </w:trPr>
        <w:tc>
          <w:tcPr>
            <w:tcW w:w="987" w:type="dxa"/>
            <w:tcBorders>
              <w:top w:val="nil"/>
              <w:left w:val="single" w:sz="4" w:space="0" w:color="000000"/>
              <w:bottom w:val="single" w:sz="4" w:space="0" w:color="000000"/>
              <w:right w:val="single" w:sz="4" w:space="0" w:color="000000"/>
            </w:tcBorders>
            <w:noWrap/>
            <w:vAlign w:val="center"/>
          </w:tcPr>
          <w:p>
            <w:pPr>
              <w:jc w:val="right"/>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sz w:val="18"/>
                <w:szCs w:val="18"/>
                <w:u w:val="none"/>
                <w:highlight w:val="auto"/>
              </w:rPr>
              <w:t>16.88</w:t>
            </w:r>
          </w:p>
        </w:tc>
        <w:tc>
          <w:tcPr>
            <w:tcW w:w="1226" w:type="dxa"/>
            <w:tcBorders>
              <w:top w:val="nil"/>
              <w:left w:val="nil"/>
              <w:bottom w:val="single" w:sz="4" w:space="0" w:color="000000"/>
              <w:right w:val="single" w:sz="4" w:space="0" w:color="000000"/>
            </w:tcBorders>
            <w:noWrap/>
            <w:vAlign w:val="center"/>
          </w:tcPr>
          <w:p>
            <w:pPr>
              <w:jc w:val="right"/>
              <w:rPr>
                <w:rFonts w:ascii="Times New Roman" w:eastAsia="方正仿宋_GB2312" w:cs="Times New Roman" w:hAnsi="Times New Roman"/>
                <w:i w:val="0"/>
                <w:iCs w:val="0"/>
                <w:color w:val="000000"/>
                <w:sz w:val="18"/>
                <w:szCs w:val="18"/>
                <w:u w:val="none"/>
                <w:highlight w:val="auto"/>
              </w:rPr>
            </w:pPr>
          </w:p>
        </w:tc>
        <w:tc>
          <w:tcPr>
            <w:tcW w:w="814" w:type="dxa"/>
            <w:tcBorders>
              <w:top w:val="nil"/>
              <w:left w:val="nil"/>
              <w:bottom w:val="single" w:sz="4" w:space="0" w:color="000000"/>
              <w:right w:val="single" w:sz="4" w:space="0" w:color="000000"/>
            </w:tcBorders>
            <w:noWrap/>
            <w:vAlign w:val="center"/>
          </w:tcPr>
          <w:p>
            <w:pPr>
              <w:jc w:val="right"/>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sz w:val="18"/>
                <w:szCs w:val="18"/>
                <w:u w:val="none"/>
                <w:highlight w:val="auto"/>
              </w:rPr>
              <w:t>15.60</w:t>
            </w:r>
          </w:p>
        </w:tc>
        <w:tc>
          <w:tcPr>
            <w:tcW w:w="946" w:type="dxa"/>
            <w:tcBorders>
              <w:top w:val="nil"/>
              <w:left w:val="nil"/>
              <w:bottom w:val="single" w:sz="4" w:space="0" w:color="000000"/>
              <w:right w:val="single" w:sz="4" w:space="0" w:color="000000"/>
            </w:tcBorders>
            <w:noWrap/>
            <w:vAlign w:val="center"/>
          </w:tcPr>
          <w:p>
            <w:pPr>
              <w:jc w:val="right"/>
              <w:rPr>
                <w:rFonts w:ascii="Times New Roman" w:eastAsia="方正仿宋_GB2312" w:cs="Times New Roman" w:hAnsi="Times New Roman"/>
                <w:i w:val="0"/>
                <w:iCs w:val="0"/>
                <w:color w:val="000000"/>
                <w:sz w:val="18"/>
                <w:szCs w:val="18"/>
                <w:u w:val="none"/>
                <w:highlight w:val="auto"/>
              </w:rPr>
            </w:pPr>
          </w:p>
        </w:tc>
        <w:tc>
          <w:tcPr>
            <w:tcW w:w="1063" w:type="dxa"/>
            <w:gridSpan w:val="2"/>
            <w:tcBorders>
              <w:top w:val="nil"/>
              <w:left w:val="nil"/>
              <w:bottom w:val="single" w:sz="4" w:space="0" w:color="000000"/>
              <w:right w:val="single" w:sz="4" w:space="0" w:color="000000"/>
            </w:tcBorders>
            <w:noWrap/>
            <w:vAlign w:val="center"/>
          </w:tcPr>
          <w:p>
            <w:pPr>
              <w:jc w:val="right"/>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sz w:val="18"/>
                <w:szCs w:val="18"/>
                <w:u w:val="none"/>
                <w:highlight w:val="auto"/>
              </w:rPr>
              <w:t>15.60</w:t>
            </w:r>
          </w:p>
        </w:tc>
        <w:tc>
          <w:tcPr>
            <w:tcW w:w="777" w:type="dxa"/>
            <w:tcBorders>
              <w:top w:val="nil"/>
              <w:left w:val="nil"/>
              <w:bottom w:val="single" w:sz="4" w:space="0" w:color="000000"/>
              <w:right w:val="single" w:sz="4" w:space="0" w:color="000000"/>
            </w:tcBorders>
            <w:noWrap/>
            <w:vAlign w:val="center"/>
          </w:tcPr>
          <w:p>
            <w:pPr>
              <w:jc w:val="right"/>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sz w:val="18"/>
                <w:szCs w:val="18"/>
                <w:u w:val="none"/>
                <w:highlight w:val="auto"/>
              </w:rPr>
              <w:t>1.28</w:t>
            </w:r>
          </w:p>
        </w:tc>
        <w:tc>
          <w:tcPr>
            <w:tcW w:w="850" w:type="dxa"/>
            <w:gridSpan w:val="2"/>
            <w:tcBorders>
              <w:top w:val="nil"/>
              <w:left w:val="nil"/>
              <w:bottom w:val="single" w:sz="4" w:space="0" w:color="000000"/>
              <w:right w:val="single" w:sz="4" w:space="0" w:color="000000"/>
            </w:tcBorders>
            <w:noWrap/>
            <w:vAlign w:val="center"/>
          </w:tcPr>
          <w:p>
            <w:pPr>
              <w:jc w:val="right"/>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sz w:val="18"/>
                <w:szCs w:val="18"/>
                <w:u w:val="none"/>
                <w:highlight w:val="auto"/>
              </w:rPr>
              <w:t>13.36</w:t>
            </w:r>
          </w:p>
        </w:tc>
        <w:tc>
          <w:tcPr>
            <w:tcW w:w="1133" w:type="dxa"/>
            <w:tcBorders>
              <w:top w:val="nil"/>
              <w:left w:val="nil"/>
              <w:bottom w:val="single" w:sz="4" w:space="0" w:color="000000"/>
              <w:right w:val="single" w:sz="4" w:space="0" w:color="000000"/>
            </w:tcBorders>
            <w:noWrap/>
            <w:vAlign w:val="center"/>
          </w:tcPr>
          <w:p>
            <w:pPr>
              <w:jc w:val="right"/>
              <w:rPr>
                <w:rFonts w:ascii="Times New Roman" w:eastAsia="方正仿宋_GB2312" w:cs="Times New Roman" w:hAnsi="Times New Roman"/>
                <w:i w:val="0"/>
                <w:iCs w:val="0"/>
                <w:color w:val="000000"/>
                <w:sz w:val="18"/>
                <w:szCs w:val="18"/>
                <w:u w:val="none"/>
                <w:highlight w:val="auto"/>
              </w:rPr>
            </w:pPr>
          </w:p>
        </w:tc>
        <w:tc>
          <w:tcPr>
            <w:tcW w:w="640" w:type="dxa"/>
            <w:tcBorders>
              <w:top w:val="nil"/>
              <w:left w:val="nil"/>
              <w:bottom w:val="single" w:sz="4" w:space="0" w:color="000000"/>
              <w:right w:val="single" w:sz="4" w:space="0" w:color="000000"/>
            </w:tcBorders>
            <w:noWrap/>
            <w:vAlign w:val="center"/>
          </w:tcPr>
          <w:p>
            <w:pPr>
              <w:jc w:val="right"/>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sz w:val="18"/>
                <w:szCs w:val="18"/>
                <w:u w:val="none"/>
                <w:highlight w:val="auto"/>
              </w:rPr>
              <w:t>13.36</w:t>
            </w:r>
          </w:p>
        </w:tc>
        <w:tc>
          <w:tcPr>
            <w:tcW w:w="1027" w:type="dxa"/>
            <w:tcBorders>
              <w:top w:val="nil"/>
              <w:left w:val="nil"/>
              <w:bottom w:val="single" w:sz="4" w:space="0" w:color="000000"/>
              <w:right w:val="single" w:sz="4" w:space="0" w:color="000000"/>
            </w:tcBorders>
            <w:noWrap/>
            <w:vAlign w:val="center"/>
          </w:tcPr>
          <w:p>
            <w:pPr>
              <w:jc w:val="right"/>
              <w:rPr>
                <w:rFonts w:ascii="Times New Roman" w:eastAsia="方正仿宋_GB2312" w:cs="Times New Roman" w:hAnsi="Times New Roman"/>
                <w:i w:val="0"/>
                <w:iCs w:val="0"/>
                <w:color w:val="000000"/>
                <w:sz w:val="18"/>
                <w:szCs w:val="18"/>
                <w:u w:val="none"/>
                <w:highlight w:val="auto"/>
              </w:rPr>
            </w:pPr>
          </w:p>
        </w:tc>
        <w:tc>
          <w:tcPr>
            <w:tcW w:w="946" w:type="dxa"/>
            <w:tcBorders>
              <w:top w:val="nil"/>
              <w:left w:val="nil"/>
              <w:bottom w:val="single" w:sz="4" w:space="0" w:color="000000"/>
              <w:right w:val="single" w:sz="4" w:space="0" w:color="000000"/>
            </w:tcBorders>
            <w:noWrap/>
            <w:vAlign w:val="center"/>
          </w:tcPr>
          <w:p>
            <w:pPr>
              <w:jc w:val="right"/>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sz w:val="18"/>
                <w:szCs w:val="18"/>
                <w:u w:val="none"/>
                <w:highlight w:val="auto"/>
              </w:rPr>
              <w:t>13.36</w:t>
            </w:r>
          </w:p>
        </w:tc>
        <w:tc>
          <w:tcPr>
            <w:tcW w:w="1187" w:type="dxa"/>
            <w:tcBorders>
              <w:top w:val="nil"/>
              <w:left w:val="nil"/>
              <w:bottom w:val="single" w:sz="4" w:space="0" w:color="000000"/>
              <w:right w:val="single" w:sz="4" w:space="0" w:color="000000"/>
            </w:tcBorders>
            <w:noWrap/>
            <w:vAlign w:val="center"/>
          </w:tcPr>
          <w:p>
            <w:pPr>
              <w:jc w:val="right"/>
              <w:rPr>
                <w:rFonts w:ascii="Times New Roman" w:eastAsia="方正仿宋_GB2312" w:cs="Times New Roman" w:hAnsi="Times New Roman"/>
                <w:i w:val="0"/>
                <w:iCs w:val="0"/>
                <w:color w:val="000000"/>
                <w:sz w:val="18"/>
                <w:szCs w:val="18"/>
                <w:u w:val="none"/>
                <w:highlight w:val="auto"/>
              </w:rPr>
            </w:pPr>
          </w:p>
        </w:tc>
      </w:tr>
      <w:tr>
        <w:trPr>
          <w:trHeight w:val="431"/>
        </w:trPr>
        <w:tc>
          <w:tcPr>
            <w:tcW w:w="11596" w:type="dxa"/>
            <w:gridSpan w:val="14"/>
            <w:tcBorders>
              <w:top w:val="nil"/>
              <w:left w:val="nil"/>
              <w:bottom w:val="nil"/>
              <w:right w:val="nil"/>
            </w:tcBorders>
            <w:noWrap/>
            <w:vAlign w:val="center"/>
          </w:tcPr>
          <w:p>
            <w:pPr>
              <w:keepNext w:val="0"/>
              <w:keepLines w:val="0"/>
              <w:widowControl/>
              <w:suppressLineNumbers w:val="0"/>
              <w:jc w:val="left"/>
              <w:textAlignment w:val="center"/>
              <w:rPr>
                <w:rFonts w:ascii="宋体" w:eastAsia="宋体" w:cs="宋体" w:hAnsi="宋体"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注：本表反映</w:t>
            </w:r>
            <w:r>
              <w:rPr>
                <w:rFonts w:ascii="方正仿宋_GB2312" w:eastAsia="方正仿宋_GB2312" w:cs="方正仿宋_GB2312" w:hAnsi="方正仿宋_GB2312" w:hint="eastAsia"/>
                <w:i w:val="0"/>
                <w:iCs w:val="0"/>
                <w:color w:val="000000"/>
                <w:kern w:val="0"/>
                <w:sz w:val="18"/>
                <w:szCs w:val="18"/>
                <w:u w:val="none"/>
                <w:lang w:val="en-US" w:eastAsia="zh-CN"/>
              </w:rPr>
              <w:t>单位</w:t>
            </w:r>
            <w:r>
              <w:rPr>
                <w:rFonts w:ascii="方正仿宋_GB2312" w:eastAsia="方正仿宋_GB2312" w:cs="方正仿宋_GB2312" w:hAnsi="方正仿宋_GB2312" w:hint="eastAsia"/>
                <w:i w:val="0"/>
                <w:iCs w:val="0"/>
                <w:color w:val="000000"/>
                <w:kern w:val="0"/>
                <w:sz w:val="18"/>
                <w:szCs w:val="18"/>
                <w:u w:val="none"/>
                <w:lang w:val="en-US" w:eastAsia="zh-CN"/>
                <w:highlight w:val="auto"/>
              </w:rPr>
              <w:t>本年度财政拨款“三公”经费支出预决算情况。其中：预算数为“三公”经费全年预算数，反映按规定程序调整后的预算数；决算数是包括当年财政拨款和以前年度结转资金安排的实际支出。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ascii="仿宋_GB2312" w:eastAsia="仿宋_GB2312" w:hAnsi="宋体" w:hint="eastAsia"/>
          <w:b/>
          <w:color w:val="auto"/>
          <w:kern w:val="0"/>
          <w:sz w:val="32"/>
          <w:szCs w:val="32"/>
          <w:highlight w:val="auto"/>
        </w:rPr>
      </w:pPr>
    </w:p>
    <w:p>
      <w:pPr>
        <w:rPr>
          <w:rFonts w:ascii="Calibri" w:eastAsia="宋体" w:cs="宋体" w:hAnsi="Calibri" w:hint="eastAsia"/>
          <w:color w:val="auto"/>
          <w:kern w:val="0"/>
          <w:sz w:val="24"/>
          <w:szCs w:val="24"/>
          <w:lang w:val="en-US" w:eastAsia="zh-CN" w:bidi="ar-SA"/>
        </w:rPr>
        <w:sectPr>
          <w:headerReference w:type="default" r:id="rId9"/>
          <w:footerReference w:type="default" r:id="rId10"/>
          <w:pgSz w:w="11906" w:h="16838"/>
          <w:pgMar w:top="1531" w:right="1984" w:bottom="1531" w:left="2098" w:header="851" w:footer="992" w:gutter="0"/>
          <w:docGrid w:type="lines" w:linePitch="312" w:charSpace="0"/>
        </w:sectPr>
      </w:pPr>
      <w:r>
        <w:rPr>
          <w:rFonts w:ascii="仿宋_GB2312" w:eastAsia="仿宋_GB2312" w:hAnsi="宋体" w:hint="eastAsia"/>
          <w:b/>
          <w:color w:val="auto"/>
          <w:kern w:val="0"/>
          <w:sz w:val="32"/>
          <w:szCs w:val="32"/>
          <w:highlight w:val="auto"/>
        </w:rPr>
        <w:br w:type="page"/>
      </w:r>
    </w:p>
    <w:p>
      <w:pPr>
        <w:widowControl/>
        <w:spacing w:before="0" w:beforeAutospacing="0" w:after="0" w:afterAutospacing="0" w:line="360" w:lineRule="auto"/>
        <w:jc w:val="center"/>
        <w:outlineLvl w:val="0"/>
        <w:rPr>
          <w:rFonts w:ascii="Times New Roman" w:eastAsia="黑体" w:hAnsi="Times New Roman"/>
          <w:sz w:val="44"/>
          <w:szCs w:val="44"/>
        </w:rPr>
      </w:pPr>
      <w:r>
        <w:rPr>
          <w:rFonts w:ascii="Times New Roman" w:eastAsia="黑体" w:hAnsi="Times New Roman"/>
          <w:b w:val="0"/>
          <w:sz w:val="44"/>
          <w:szCs w:val="44"/>
        </w:rPr>
        <w:t>第三部分   </w:t>
      </w:r>
      <w:r>
        <w:rPr>
          <w:rFonts w:ascii="Times New Roman" w:eastAsia="仿宋_GB2312" w:hAnsi="Times New Roman"/>
          <w:b w:val="0"/>
          <w:sz w:val="44"/>
          <w:szCs w:val="44"/>
        </w:rPr>
        <w:t>2024</w:t>
      </w:r>
      <w:r>
        <w:rPr>
          <w:rFonts w:ascii="Times New Roman" w:eastAsia="黑体" w:hAnsi="Times New Roman"/>
          <w:b w:val="0"/>
          <w:sz w:val="44"/>
          <w:szCs w:val="44"/>
        </w:rPr>
        <w:t>年度单位决算情况说明</w:t>
      </w:r>
    </w:p>
    <w:p>
      <w:pPr>
        <w:widowControl/>
        <w:spacing w:before="0" w:beforeAutospacing="0" w:after="0" w:afterAutospacing="0" w:line="360" w:lineRule="auto"/>
        <w:jc w:val="left"/>
        <w:outlineLvl w:val="1"/>
        <w:rPr>
          <w:rFonts w:ascii="Times New Roman" w:eastAsia="黑体" w:hAnsi="Times New Roman"/>
          <w:sz w:val="32"/>
          <w:szCs w:val="32"/>
        </w:rPr>
      </w:pPr>
      <w:r>
        <w:rPr>
          <w:rFonts w:ascii="Times New Roman" w:eastAsia="黑体" w:hAnsi="Times New Roman"/>
          <w:b w:val="0"/>
          <w:sz w:val="32"/>
          <w:szCs w:val="32"/>
        </w:rPr>
        <w:t>一、收入支出决算总体情况说明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本单位2024年度收、支总计（含结转和结余）均为7,853.23万元。与2023年度决算相比，收支各减少3,263.24万元，下降29.4%，主要原因是</w:t>
      </w:r>
      <w:r>
        <w:rPr>
          <w:rFonts w:ascii="Times New Roman" w:eastAsia="仿宋_GB2312" w:cs="Times New Roman" w:hAnsi="Times New Roman" w:hint="eastAsia"/>
          <w:kern w:val="2"/>
          <w:sz w:val="32"/>
          <w:szCs w:val="32"/>
          <w:lang w:val="en-US" w:eastAsia="zh-CN"/>
        </w:rPr>
        <w:t>项目资金的减少。</w:t>
      </w: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center"/>
        <w:rPr>
          <w:rFonts w:ascii="Times New Roman" w:eastAsia="Arial" w:cs="Times New Roman" w:hAnsi="Times New Roman"/>
          <w:highlight w:val="auto"/>
        </w:rPr>
      </w:pPr>
      <w:r>
        <w:rPr>
          <w:rFonts w:ascii="Times New Roman" w:eastAsia="宋体" w:hAnsi="Times New Roman" w:hint="eastAsia"/>
        </w:rPr>
        <w:drawing>
          <wp:inline distT="0" distB="0" distL="114300" distR="114300">
            <wp:extent cx="5256530" cy="2988310"/>
            <wp:effectExtent l="0" t="0" r="0" b="0"/>
            <wp:docPr id="7" name="图表 5"/>
            <wp:cNvGraphicFramePr>
              <a:graphicFrameLocks noChangeAspect="0"/>
            </wp:cNvGraphicFramePr>
            <a:graphic>
              <a:graphicData uri="http://schemas.openxmlformats.org/drawingml/2006/chart">
                <c:chart xmlns:c="http://schemas.openxmlformats.org/drawingml/2006/chart" r:id="rId11"/>
              </a:graphicData>
            </a:graphic>
          </wp:inline>
        </w:drawing>
      </w:r>
      <w:r>
        <w:rPr>
          <w:rFonts w:ascii="Times New Roman" w:eastAsia="Arial" w:cs="Times New Roman" w:hAnsi="Times New Roman"/>
          <w:i w:val="0"/>
          <w:iCs w:val="0"/>
          <w:caps w:val="0"/>
          <w:smallCaps w:val="0"/>
          <w:color w:val="000000"/>
          <w:spacing w:val="0"/>
          <w:sz w:val="18"/>
          <w:szCs w:val="18"/>
          <w:shd w:val="clear" w:color="auto" w:fill="FFFFFF"/>
          <w:highlight w:val="auto"/>
        </w:rPr>
        <w:t> </w:t>
      </w:r>
    </w:p>
    <w:p>
      <w:pPr>
        <w:widowControl/>
        <w:spacing w:before="0" w:beforeAutospacing="0" w:after="0" w:afterAutospacing="0" w:line="360" w:lineRule="auto"/>
        <w:jc w:val="left"/>
        <w:outlineLvl w:val="1"/>
        <w:rPr>
          <w:rFonts w:ascii="Times New Roman" w:eastAsia="黑体" w:hAnsi="Times New Roman"/>
          <w:sz w:val="32"/>
          <w:szCs w:val="32"/>
        </w:rPr>
      </w:pPr>
      <w:r>
        <w:rPr>
          <w:rFonts w:ascii="Times New Roman" w:eastAsia="黑体" w:hAnsi="Times New Roman"/>
          <w:b w:val="0"/>
          <w:sz w:val="32"/>
          <w:szCs w:val="32"/>
        </w:rPr>
        <w:t>二、收入决算情况说明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本单位2024年度本年收入合计7,853.23万元，其中：财政拨款收入7,853.23万元，占100.0%​；上级补助收入0.00万元，占0.0%；事业收入0.00万元，占0.0%；经营收入0.00万元，占0.0%；附属单位上缴收入0.00万元，占0.0%；其他收入0.00万元，占0.0%。</w:t>
      </w:r>
    </w:p>
    <w:p>
      <w:pPr>
        <w:adjustRightInd w:val="0"/>
        <w:snapToGrid w:val="0"/>
        <w:spacing w:line="580" w:lineRule="exact"/>
        <w:jc w:val="both"/>
        <w:rPr>
          <w:rFonts w:ascii="Times New Roman" w:eastAsia="仿宋_GB2312" w:cs="Times New Roman" w:hAnsi="Times New Roman"/>
          <w:kern w:val="2"/>
          <w:sz w:val="32"/>
          <w:szCs w:val="32"/>
          <w:lang w:val="zh-CN"/>
          <w:highlight w:val="yellow"/>
        </w:rPr>
      </w:pPr>
      <w:r>
        <w:rPr>
          <w:rFonts w:ascii="Times New Roman" w:eastAsia="仿宋_GB2312" w:hAnsi="Times New Roman"/>
          <w:kern w:val="2"/>
          <w:sz w:val="32"/>
          <w:szCs w:val="32"/>
          <w:lang w:val="zh-CN"/>
          <w:highlight w:val="yellow"/>
        </w:rPr>
        <w:drawing>
          <wp:anchor distT="0" distB="0" distL="114300" distR="114300" simplePos="0" relativeHeight="33" behindDoc="0" locked="0" layoutInCell="1" hidden="0" allowOverlap="1">
            <wp:simplePos x="0" y="0"/>
            <wp:positionH relativeFrom="column">
              <wp:posOffset>-16510</wp:posOffset>
            </wp:positionH>
            <wp:positionV relativeFrom="paragraph">
              <wp:posOffset>201930</wp:posOffset>
            </wp:positionV>
            <wp:extent cx="5256530" cy="2988310"/>
            <wp:effectExtent l="0" t="0" r="0" b="0"/>
            <wp:wrapTopAndBottom/>
            <wp:docPr id="8" name="图表 9"/>
            <wp:cNvGraphicFramePr>
              <a:graphicFrameLocks noChangeAspect="0"/>
            </wp:cNvGraphicFramePr>
            <a:graphic>
              <a:graphicData uri="http://schemas.openxmlformats.org/drawingml/2006/chart">
                <c:chart xmlns:c="http://schemas.openxmlformats.org/drawingml/2006/chart" r:id="rId12"/>
              </a:graphicData>
            </a:graphic>
          </wp:anchor>
        </w:drawing>
      </w:r>
    </w:p>
    <w:p>
      <w:pPr>
        <w:widowControl/>
        <w:spacing w:before="0" w:beforeAutospacing="0" w:after="0" w:afterAutospacing="0" w:line="360" w:lineRule="auto"/>
        <w:jc w:val="left"/>
        <w:outlineLvl w:val="1"/>
        <w:rPr>
          <w:rFonts w:ascii="Times New Roman" w:eastAsia="黑体" w:hAnsi="Times New Roman"/>
          <w:sz w:val="32"/>
          <w:szCs w:val="32"/>
        </w:rPr>
      </w:pPr>
      <w:r>
        <w:rPr>
          <w:rFonts w:ascii="Times New Roman" w:eastAsia="黑体" w:hAnsi="Times New Roman"/>
          <w:b w:val="0"/>
          <w:sz w:val="32"/>
          <w:szCs w:val="32"/>
        </w:rPr>
        <w:t>三、支出决算情况说明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本单位2024年度本年支出合计7,853.23万元，其中：基本支出2,092.57万元，占26.6%；项目支出5,760.66万元，占73.4%；上缴上级支出0.00万元，占0.0%；经营支出0.00万元，占0.0%；对附属单位补助支出0.00万元，占0.0%。</w:t>
      </w:r>
    </w:p>
    <w:p>
      <w:pPr>
        <w:autoSpaceDE w:val="0"/>
        <w:autoSpaceDN w:val="0"/>
        <w:adjustRightInd w:val="0"/>
        <w:jc w:val="center"/>
        <w:rPr>
          <w:rFonts w:ascii="Times New Roman" w:eastAsia="仿宋_GB2312" w:cs="Times New Roman" w:hAnsi="Times New Roman"/>
          <w:color w:val="auto"/>
          <w:kern w:val="0"/>
          <w:sz w:val="32"/>
          <w:szCs w:val="32"/>
          <w:lang w:val="en-US" w:eastAsia="zh-CN" w:bidi="ar-SA"/>
          <w:highlight w:val="auto"/>
        </w:rPr>
      </w:pPr>
      <w:r>
        <w:rPr>
          <w:rFonts w:ascii="Times New Roman" w:eastAsia="仿宋_GB2312" w:cs="Times New Roman" w:hAnsi="Times New Roman"/>
          <w:sz w:val="32"/>
          <w:szCs w:val="32"/>
          <w:highlight w:val="auto"/>
        </w:rPr>
        <w:drawing>
          <wp:inline distT="0" distB="0" distL="114300" distR="114300">
            <wp:extent cx="5256530" cy="2988310"/>
            <wp:effectExtent l="0" t="0" r="0" b="0"/>
            <wp:docPr id="9" name="图表 7"/>
            <wp:cNvGraphicFramePr>
              <a:graphicFrameLocks noChangeAspect="0"/>
            </wp:cNvGraphicFramePr>
            <a:graphic>
              <a:graphicData uri="http://schemas.openxmlformats.org/drawingml/2006/chart">
                <c:chart xmlns:c="http://schemas.openxmlformats.org/drawingml/2006/chart" r:id="rId13"/>
              </a:graphicData>
            </a:graphic>
          </wp:inline>
        </w:drawing>
      </w:r>
    </w:p>
    <w:p>
      <w:pPr>
        <w:widowControl/>
        <w:spacing w:before="0" w:beforeAutospacing="0" w:after="0" w:afterAutospacing="0" w:line="360" w:lineRule="auto"/>
        <w:ind w:firstLineChars="200" w:firstLine="640"/>
        <w:jc w:val="left"/>
        <w:outlineLvl w:val="1"/>
        <w:rPr>
          <w:rFonts w:ascii="Times New Roman" w:eastAsia="黑体" w:hAnsi="Times New Roman"/>
          <w:sz w:val="32"/>
          <w:szCs w:val="32"/>
        </w:rPr>
      </w:pPr>
      <w:r>
        <w:rPr>
          <w:rFonts w:ascii="Times New Roman" w:eastAsia="黑体" w:hAnsi="Times New Roman"/>
          <w:b w:val="0"/>
          <w:sz w:val="32"/>
          <w:szCs w:val="32"/>
        </w:rPr>
        <w:t>四、财政拨款收入支出决算总体情况说明</w:t>
      </w:r>
    </w:p>
    <w:p>
      <w:pPr>
        <w:widowControl/>
        <w:spacing w:before="0" w:beforeAutospacing="0" w:after="0" w:afterAutospacing="0" w:line="360" w:lineRule="auto"/>
        <w:ind w:firstLineChars="200" w:firstLine="640"/>
        <w:jc w:val="left"/>
        <w:rPr>
          <w:rFonts w:ascii="Times New Roman" w:eastAsia="楷体_GB2312" w:hAnsi="Times New Roman"/>
          <w:sz w:val="32"/>
          <w:szCs w:val="32"/>
        </w:rPr>
      </w:pPr>
      <w:r>
        <w:rPr>
          <w:rFonts w:ascii="Times New Roman" w:eastAsia="楷体_GB2312" w:hAnsi="Times New Roman"/>
          <w:b/>
          <w:sz w:val="32"/>
          <w:szCs w:val="32"/>
        </w:rPr>
        <w:t>（一）财政拨款收支与</w:t>
      </w:r>
      <w:r>
        <w:rPr>
          <w:rFonts w:ascii="Times New Roman" w:eastAsia="仿宋_GB2312" w:hAnsi="Times New Roman"/>
          <w:b/>
          <w:sz w:val="32"/>
          <w:szCs w:val="32"/>
        </w:rPr>
        <w:t>2023</w:t>
      </w:r>
      <w:r>
        <w:rPr>
          <w:rFonts w:ascii="Times New Roman" w:eastAsia="楷体_GB2312" w:hAnsi="Times New Roman"/>
          <w:b/>
          <w:sz w:val="32"/>
          <w:szCs w:val="32"/>
        </w:rPr>
        <w:t>年度决算对比情况</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本单位2024年度财政拨款收、支总计（含结转和结余）均为7,853.23万元。与2023年度相比，财政拨款收支各减少3,263.24万元，降低29.4%，主要原因是</w:t>
      </w:r>
      <w:r>
        <w:rPr>
          <w:rFonts w:ascii="Times New Roman" w:eastAsia="仿宋_GB2312" w:cs="Times New Roman" w:hAnsi="Times New Roman" w:hint="eastAsia"/>
          <w:kern w:val="2"/>
          <w:sz w:val="32"/>
          <w:szCs w:val="32"/>
          <w:lang w:val="en-US" w:eastAsia="zh-CN"/>
        </w:rPr>
        <w:t>项目资金的减少</w:t>
      </w:r>
      <w:r>
        <w:rPr>
          <w:rFonts w:ascii="Times New Roman" w:eastAsia="仿宋_GB2312" w:hAnsi="Times New Roman"/>
          <w:b w:val="0"/>
          <w:sz w:val="32"/>
          <w:szCs w:val="32"/>
        </w:rPr>
        <w:t>。</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本单位2024年度财政拨款本年收入7,853.23万元,比上年减少3,263.24万元，降低29.4%，主要原因是</w:t>
      </w:r>
      <w:r>
        <w:rPr>
          <w:rFonts w:ascii="Times New Roman" w:eastAsia="仿宋_GB2312" w:cs="Times New Roman" w:hAnsi="Times New Roman" w:hint="eastAsia"/>
          <w:kern w:val="2"/>
          <w:sz w:val="32"/>
          <w:szCs w:val="32"/>
          <w:lang w:val="en-US" w:eastAsia="zh-CN"/>
        </w:rPr>
        <w:t>项目资金的减少</w:t>
      </w:r>
      <w:r>
        <w:rPr>
          <w:rFonts w:ascii="Times New Roman" w:eastAsia="仿宋_GB2312" w:hAnsi="Times New Roman"/>
          <w:b w:val="0"/>
          <w:sz w:val="32"/>
          <w:szCs w:val="32"/>
        </w:rPr>
        <w:t>；本年支出7,853.23万元，比上年减少3,263.24万元，降低29.4%，主要原因是</w:t>
      </w:r>
      <w:r>
        <w:rPr>
          <w:rFonts w:ascii="Times New Roman" w:eastAsia="仿宋_GB2312" w:cs="Times New Roman" w:hAnsi="Times New Roman" w:hint="eastAsia"/>
          <w:kern w:val="2"/>
          <w:sz w:val="32"/>
          <w:szCs w:val="32"/>
          <w:lang w:val="en-US" w:eastAsia="zh-CN"/>
        </w:rPr>
        <w:t>项目资金的减少</w:t>
      </w:r>
      <w:r>
        <w:rPr>
          <w:rFonts w:ascii="Times New Roman" w:eastAsia="仿宋_GB2312" w:hAnsi="Times New Roman"/>
          <w:b w:val="0"/>
          <w:sz w:val="32"/>
          <w:szCs w:val="32"/>
        </w:rPr>
        <w:t>。具体情况如下：</w:t>
      </w:r>
    </w:p>
    <w:p>
      <w:pPr>
        <w:widowControl/>
        <w:spacing w:before="0" w:beforeAutospacing="0" w:after="0" w:afterAutospacing="0" w:line="360" w:lineRule="auto"/>
        <w:ind w:firstLineChars="200" w:firstLine="640"/>
        <w:jc w:val="left"/>
        <w:outlineLvl w:val="1"/>
        <w:rPr>
          <w:rFonts w:ascii="Times New Roman" w:eastAsia="仿宋_GB2312" w:hAnsi="Times New Roman"/>
          <w:sz w:val="32"/>
          <w:szCs w:val="32"/>
        </w:rPr>
      </w:pPr>
      <w:r>
        <w:rPr>
          <w:rFonts w:ascii="Times New Roman" w:eastAsia="仿宋_GB2312" w:hAnsi="Times New Roman"/>
          <w:b w:val="0"/>
          <w:sz w:val="32"/>
          <w:szCs w:val="32"/>
        </w:rPr>
        <w:t>1. 一般公共预算财政拨款本年收入7,853.23万元,比上年减少3,230.47万元，降低29.1%，主要原因是</w:t>
      </w:r>
      <w:r>
        <w:rPr>
          <w:rFonts w:ascii="Times New Roman" w:eastAsia="仿宋_GB2312" w:cs="Times New Roman" w:hAnsi="Times New Roman" w:hint="eastAsia"/>
          <w:kern w:val="2"/>
          <w:sz w:val="32"/>
          <w:szCs w:val="32"/>
          <w:lang w:val="en-US" w:eastAsia="zh-CN"/>
        </w:rPr>
        <w:t>项目资金的减少</w:t>
      </w:r>
      <w:r>
        <w:rPr>
          <w:rFonts w:ascii="Times New Roman" w:eastAsia="仿宋_GB2312" w:hAnsi="Times New Roman"/>
          <w:b w:val="0"/>
          <w:sz w:val="32"/>
          <w:szCs w:val="32"/>
        </w:rPr>
        <w:t>；本年支出7,853.23万元，比上年减少3,230.47万元，降低29.1%，主要原因是</w:t>
      </w:r>
      <w:r>
        <w:rPr>
          <w:rFonts w:ascii="Times New Roman" w:eastAsia="仿宋_GB2312" w:cs="Times New Roman" w:hAnsi="Times New Roman" w:hint="eastAsia"/>
          <w:kern w:val="2"/>
          <w:sz w:val="32"/>
          <w:szCs w:val="32"/>
          <w:lang w:val="en-US" w:eastAsia="zh-CN"/>
        </w:rPr>
        <w:t>项目资金的减少</w:t>
      </w:r>
      <w:r>
        <w:rPr>
          <w:rFonts w:ascii="Times New Roman" w:eastAsia="仿宋_GB2312" w:hAnsi="Times New Roman"/>
          <w:b w:val="0"/>
          <w:sz w:val="32"/>
          <w:szCs w:val="32"/>
        </w:rPr>
        <w:t>。</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2. 政府性基金预算财政拨款本年收入0.00万元，比上年减少32.77万元，降低100.0%，主要原因是</w:t>
      </w:r>
      <w:r>
        <w:rPr>
          <w:rFonts w:ascii="Times New Roman" w:eastAsia="仿宋_GB2312" w:cs="Times New Roman" w:hAnsi="Times New Roman" w:hint="eastAsia"/>
          <w:kern w:val="2"/>
          <w:sz w:val="32"/>
          <w:szCs w:val="32"/>
          <w:lang w:val="en-US" w:eastAsia="zh-CN"/>
        </w:rPr>
        <w:t>项目资金的减少</w:t>
      </w:r>
      <w:r>
        <w:rPr>
          <w:rFonts w:ascii="Times New Roman" w:eastAsia="仿宋_GB2312" w:hAnsi="Times New Roman"/>
          <w:b w:val="0"/>
          <w:sz w:val="32"/>
          <w:szCs w:val="32"/>
        </w:rPr>
        <w:t>；本年支出0.00万元，比上年减少32.77万元，降低100.0%，主要原因是</w:t>
      </w:r>
      <w:r>
        <w:rPr>
          <w:rFonts w:ascii="Times New Roman" w:eastAsia="仿宋_GB2312" w:cs="Times New Roman" w:hAnsi="Times New Roman" w:hint="eastAsia"/>
          <w:kern w:val="2"/>
          <w:sz w:val="32"/>
          <w:szCs w:val="32"/>
          <w:lang w:val="en-US" w:eastAsia="zh-CN"/>
        </w:rPr>
        <w:t>项目资金的减少</w:t>
      </w:r>
      <w:r>
        <w:rPr>
          <w:rFonts w:ascii="Times New Roman" w:eastAsia="仿宋_GB2312" w:hAnsi="Times New Roman"/>
          <w:b w:val="0"/>
          <w:sz w:val="32"/>
          <w:szCs w:val="32"/>
        </w:rPr>
        <w:t>。</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3. 国有资本经营预算财政拨款本年收入0.00万元，比上年增加0.00万元，增长0.00%，主要原因是</w:t>
      </w:r>
      <w:r>
        <w:rPr>
          <w:rFonts w:ascii="Times New Roman" w:eastAsia="仿宋_GB2312" w:hAnsi="Times New Roman" w:hint="eastAsia"/>
          <w:b w:val="0"/>
          <w:sz w:val="32"/>
          <w:szCs w:val="32"/>
          <w:lang w:eastAsia="zh-CN"/>
        </w:rPr>
        <w:t>与上年持平</w:t>
      </w:r>
      <w:r>
        <w:rPr>
          <w:rFonts w:ascii="Times New Roman" w:eastAsia="仿宋_GB2312" w:hAnsi="Times New Roman"/>
          <w:b w:val="0"/>
          <w:sz w:val="32"/>
          <w:szCs w:val="32"/>
        </w:rPr>
        <w:t>；本年支出0.00万元，比上年增加0.00万元，增长0.00%，主要原因是</w:t>
      </w:r>
      <w:r>
        <w:rPr>
          <w:rFonts w:ascii="Times New Roman" w:eastAsia="仿宋_GB2312" w:hAnsi="Times New Roman" w:hint="eastAsia"/>
          <w:b w:val="0"/>
          <w:sz w:val="32"/>
          <w:szCs w:val="32"/>
          <w:lang w:eastAsia="zh-CN"/>
        </w:rPr>
        <w:t>与上年持平</w:t>
      </w:r>
      <w:r>
        <w:rPr>
          <w:rFonts w:ascii="Times New Roman" w:eastAsia="仿宋_GB2312" w:hAnsi="Times New Roman"/>
          <w:b w:val="0"/>
          <w:sz w:val="32"/>
          <w:szCs w:val="32"/>
        </w:rPr>
        <w:t>。</w:t>
      </w: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center"/>
        <w:rPr>
          <w:rFonts w:ascii="Times New Roman" w:eastAsia="仿宋_GB2312" w:cs="Times New Roman" w:hAnsi="Times New Roman"/>
          <w:sz w:val="32"/>
          <w:szCs w:val="32"/>
          <w:lang w:val="en-US" w:eastAsia="zh-CN"/>
          <w:highlight w:val="auto"/>
        </w:rPr>
      </w:pPr>
      <w:r>
        <w:rPr>
          <w:rFonts w:ascii="Times New Roman" w:eastAsia="仿宋_GB2312" w:hAnsi="Times New Roman"/>
          <w:sz w:val="32"/>
          <w:szCs w:val="32"/>
        </w:rPr>
        <w:drawing>
          <wp:inline distT="0" distB="0" distL="114300" distR="114300">
            <wp:extent cx="5256530" cy="2988310"/>
            <wp:effectExtent l="0" t="0" r="0" b="0"/>
            <wp:docPr id="10" name="图表 3"/>
            <wp:cNvGraphicFramePr>
              <a:graphicFrameLocks noChangeAspect="0"/>
            </wp:cNvGraphicFramePr>
            <a:graphic>
              <a:graphicData uri="http://schemas.openxmlformats.org/drawingml/2006/chart">
                <c:chart xmlns:c="http://schemas.openxmlformats.org/drawingml/2006/chart" r:id="rId14"/>
              </a:graphicData>
            </a:graphic>
          </wp:inline>
        </w:drawing>
      </w:r>
    </w:p>
    <w:p>
      <w:pPr>
        <w:widowControl/>
        <w:spacing w:before="0" w:beforeAutospacing="0" w:after="0" w:afterAutospacing="0" w:line="360" w:lineRule="auto"/>
        <w:ind w:firstLineChars="200" w:firstLine="640"/>
        <w:jc w:val="left"/>
        <w:rPr>
          <w:rFonts w:ascii="Times New Roman" w:eastAsia="楷体_GB2312" w:hAnsi="Times New Roman"/>
          <w:sz w:val="32"/>
          <w:szCs w:val="32"/>
        </w:rPr>
      </w:pPr>
      <w:r>
        <w:rPr>
          <w:rFonts w:ascii="Times New Roman" w:eastAsia="楷体_GB2312" w:hAnsi="Times New Roman"/>
          <w:b/>
          <w:sz w:val="32"/>
          <w:szCs w:val="32"/>
        </w:rPr>
        <w:t>（二）财政拨款收支与年初预算数对比情况</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本单位2024年度财政拨款本年收入7,853.23万元，完成年初预算的113.6%，比年初预算增加938.65万元，决算数大于预算数主要原因是</w:t>
      </w:r>
      <w:r>
        <w:rPr>
          <w:rFonts w:ascii="Times New Roman" w:eastAsia="仿宋_GB2312" w:cs="Times New Roman" w:hAnsi="Times New Roman" w:hint="eastAsia"/>
          <w:color w:val="auto"/>
          <w:kern w:val="2"/>
          <w:sz w:val="32"/>
          <w:szCs w:val="32"/>
          <w:lang w:val="en-US" w:eastAsia="zh-CN" w:bidi="ar-SA"/>
        </w:rPr>
        <w:t>项目资金的增加</w:t>
      </w:r>
      <w:r>
        <w:rPr>
          <w:rFonts w:ascii="Times New Roman" w:eastAsia="仿宋_GB2312" w:hAnsi="Times New Roman"/>
          <w:b w:val="0"/>
          <w:sz w:val="32"/>
          <w:szCs w:val="32"/>
        </w:rPr>
        <w:t> ；本年支出7,853.23万元，完成年初预算的113.6%，比年初预算增加938.65万元，决算数大于预算数主要原因是</w:t>
      </w:r>
      <w:r>
        <w:rPr>
          <w:rFonts w:ascii="Times New Roman" w:eastAsia="仿宋_GB2312" w:cs="Times New Roman" w:hAnsi="Times New Roman" w:hint="eastAsia"/>
          <w:color w:val="auto"/>
          <w:kern w:val="2"/>
          <w:sz w:val="32"/>
          <w:szCs w:val="32"/>
          <w:lang w:val="en-US" w:eastAsia="zh-CN" w:bidi="ar-SA"/>
        </w:rPr>
        <w:t>项目资金的增加</w:t>
      </w:r>
      <w:r>
        <w:rPr>
          <w:rFonts w:ascii="Times New Roman" w:eastAsia="仿宋_GB2312" w:hAnsi="Times New Roman"/>
          <w:b w:val="0"/>
          <w:sz w:val="32"/>
          <w:szCs w:val="32"/>
        </w:rPr>
        <w:t> 。具体情况如下：</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1. 一般公共预算财政拨款本年收入完成年初预算的113.6%，比年初预算增加938.65万元，主要原因是</w:t>
      </w:r>
      <w:r>
        <w:rPr>
          <w:rFonts w:ascii="Times New Roman" w:eastAsia="仿宋_GB2312" w:cs="Times New Roman" w:hAnsi="Times New Roman" w:hint="eastAsia"/>
          <w:color w:val="auto"/>
          <w:kern w:val="2"/>
          <w:sz w:val="32"/>
          <w:szCs w:val="32"/>
          <w:lang w:val="en-US" w:eastAsia="zh-CN" w:bidi="ar-SA"/>
        </w:rPr>
        <w:t>项目资金的增加</w:t>
      </w:r>
      <w:r>
        <w:rPr>
          <w:rFonts w:ascii="Times New Roman" w:eastAsia="仿宋_GB2312" w:hAnsi="Times New Roman"/>
          <w:b w:val="0"/>
          <w:sz w:val="32"/>
          <w:szCs w:val="32"/>
        </w:rPr>
        <w:t>；支出完成年初预算的113.6%，比年初预算增加938.65万元，主要原因是</w:t>
      </w:r>
      <w:r>
        <w:rPr>
          <w:rFonts w:ascii="Times New Roman" w:eastAsia="仿宋_GB2312" w:cs="Times New Roman" w:hAnsi="Times New Roman" w:hint="eastAsia"/>
          <w:color w:val="auto"/>
          <w:kern w:val="2"/>
          <w:sz w:val="32"/>
          <w:szCs w:val="32"/>
          <w:lang w:val="en-US" w:eastAsia="zh-CN" w:bidi="ar-SA"/>
        </w:rPr>
        <w:t>项目资金的增加</w:t>
      </w:r>
      <w:r>
        <w:rPr>
          <w:rFonts w:ascii="Times New Roman" w:eastAsia="仿宋_GB2312" w:hAnsi="Times New Roman"/>
          <w:b w:val="0"/>
          <w:sz w:val="32"/>
          <w:szCs w:val="32"/>
        </w:rPr>
        <w:t>。</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2. 政府性基金预算财政拨款本年收入完成年初预算的0.0%，比年初预算增加0.00万元，主要原因是</w:t>
      </w:r>
      <w:r>
        <w:rPr>
          <w:rFonts w:ascii="Times New Roman" w:eastAsia="仿宋_GB2312" w:cs="Times New Roman" w:hAnsi="Times New Roman" w:hint="eastAsia"/>
          <w:color w:val="auto"/>
          <w:kern w:val="2"/>
          <w:sz w:val="32"/>
          <w:szCs w:val="32"/>
          <w:lang w:val="en-US" w:eastAsia="zh-CN" w:bidi="ar-SA"/>
        </w:rPr>
        <w:t>项目资金的减少</w:t>
      </w:r>
      <w:r>
        <w:rPr>
          <w:rFonts w:ascii="Times New Roman" w:eastAsia="仿宋_GB2312" w:hAnsi="Times New Roman"/>
          <w:b w:val="0"/>
          <w:sz w:val="32"/>
          <w:szCs w:val="32"/>
        </w:rPr>
        <w:t>；支出完成年初预算的0.0%，比年初预算增加0.00万元，主要原因是</w:t>
      </w:r>
      <w:r>
        <w:rPr>
          <w:rFonts w:ascii="Times New Roman" w:eastAsia="仿宋_GB2312" w:cs="Times New Roman" w:hAnsi="Times New Roman" w:hint="eastAsia"/>
          <w:color w:val="auto"/>
          <w:kern w:val="2"/>
          <w:sz w:val="32"/>
          <w:szCs w:val="32"/>
          <w:lang w:val="en-US" w:eastAsia="zh-CN" w:bidi="ar-SA"/>
        </w:rPr>
        <w:t>项目资金的减少</w:t>
      </w:r>
      <w:r>
        <w:rPr>
          <w:rFonts w:ascii="Times New Roman" w:eastAsia="仿宋_GB2312" w:hAnsi="Times New Roman"/>
          <w:b w:val="0"/>
          <w:sz w:val="32"/>
          <w:szCs w:val="32"/>
        </w:rPr>
        <w:t>。</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3. 国有资本经营预算财政拨款本年收入完成年初预算的0.0 %，比年初预算增加0.00万元，主要原因是</w:t>
      </w:r>
      <w:r>
        <w:rPr>
          <w:rFonts w:ascii="Times New Roman" w:eastAsia="仿宋_GB2312" w:hAnsi="Times New Roman" w:hint="eastAsia"/>
          <w:b w:val="0"/>
          <w:sz w:val="32"/>
          <w:szCs w:val="32"/>
          <w:lang w:eastAsia="zh-CN"/>
        </w:rPr>
        <w:t>与上年持平</w:t>
      </w:r>
      <w:r>
        <w:rPr>
          <w:rFonts w:ascii="Times New Roman" w:eastAsia="仿宋_GB2312" w:hAnsi="Times New Roman"/>
          <w:b w:val="0"/>
          <w:sz w:val="32"/>
          <w:szCs w:val="32"/>
        </w:rPr>
        <w:t>；支出完成年初预算的0.0%，比年初预算增加0.00万元，主要原因是</w:t>
      </w:r>
      <w:r>
        <w:rPr>
          <w:rFonts w:ascii="Times New Roman" w:eastAsia="仿宋_GB2312" w:hAnsi="Times New Roman" w:hint="eastAsia"/>
          <w:b w:val="0"/>
          <w:sz w:val="32"/>
          <w:szCs w:val="32"/>
          <w:lang w:eastAsia="zh-CN"/>
        </w:rPr>
        <w:t>与上年持平</w:t>
      </w:r>
      <w:r>
        <w:rPr>
          <w:rFonts w:ascii="Times New Roman" w:eastAsia="仿宋_GB2312" w:hAnsi="Times New Roman"/>
          <w:b w:val="0"/>
          <w:sz w:val="32"/>
          <w:szCs w:val="32"/>
        </w:rPr>
        <w:t>。</w:t>
      </w: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left"/>
        <w:rPr>
          <w:rFonts w:ascii="Times New Roman" w:eastAsia="Arial" w:cs="Times New Roman" w:hAnsi="Times New Roma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center"/>
        <w:rPr>
          <w:rFonts w:ascii="Times New Roman" w:eastAsia="仿宋_GB2312" w:cs="Times New Roman" w:hAnsi="Times New Roman"/>
          <w:color w:val="auto"/>
          <w:kern w:val="0"/>
          <w:sz w:val="32"/>
          <w:szCs w:val="32"/>
          <w:lang w:val="en-US" w:eastAsia="zh-CN" w:bidi="ar-SA"/>
          <w:highlight w:val="auto"/>
        </w:rPr>
      </w:pPr>
      <w:r>
        <w:rPr>
          <w:rFonts w:ascii="Times New Roman" w:eastAsia="仿宋_GB2312" w:hAnsi="Times New Roman"/>
          <w:sz w:val="32"/>
          <w:szCs w:val="32"/>
          <w:highlight w:val="auto"/>
        </w:rPr>
        <w:drawing>
          <wp:inline distT="0" distB="0" distL="114300" distR="114300">
            <wp:extent cx="5256530" cy="2988310"/>
            <wp:effectExtent l="0" t="0" r="0" b="0"/>
            <wp:docPr id="11" name="图表 11"/>
            <wp:cNvGraphicFramePr>
              <a:graphicFrameLocks noChangeAspect="0"/>
            </wp:cNvGraphicFramePr>
            <a:graphic>
              <a:graphicData uri="http://schemas.openxmlformats.org/drawingml/2006/chart">
                <c:chart xmlns:c="http://schemas.openxmlformats.org/drawingml/2006/chart" r:id="rId15"/>
              </a:graphicData>
            </a:graphic>
          </wp:inline>
        </w:drawing>
      </w:r>
    </w:p>
    <w:p>
      <w:pPr>
        <w:widowControl/>
        <w:spacing w:before="0" w:beforeAutospacing="0" w:after="0" w:afterAutospacing="0" w:line="360" w:lineRule="auto"/>
        <w:ind w:firstLineChars="200" w:firstLine="640"/>
        <w:jc w:val="left"/>
        <w:rPr>
          <w:rFonts w:ascii="Times New Roman" w:eastAsia="楷体_GB2312" w:hAnsi="Times New Roman"/>
          <w:sz w:val="32"/>
          <w:szCs w:val="32"/>
        </w:rPr>
      </w:pPr>
      <w:r>
        <w:rPr>
          <w:rFonts w:ascii="Times New Roman" w:eastAsia="楷体_GB2312" w:hAnsi="Times New Roman"/>
          <w:b/>
          <w:sz w:val="32"/>
          <w:szCs w:val="32"/>
        </w:rPr>
        <w:t>（三）财政拨款支出决算结构情况</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  2024年度财政拨款支出7,853.23万元，主要用于以下方面：</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一般公共预算财政拨款支出：</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一般公共服务（类）支出0.00万元，占0.0%，主要用于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类）支出0.00万元，占0.0%，主要用于等支出；卫生健康（类）支出0.00万元，占0.0%，主要用于等支出；节能环保（类）支出0.00万元，占0.0%，主要用于等支出；城乡社区（类）支出130.00万元，占1.7%，主要用于等支出；农林水（类）支出1,849.49万元，占23.6%，主要用于等支出；交通运输（类）支出5,366.74万元，占68.3%，主要用于等支出；资源勘探信息等（类）支出0.00万元，占0.0%，主要用于等支出；商业服务业等（类）支出0.00万元，占0.0%，主要用于等支出；金融（类）支出0.00万元，占0.0%，主要用于等支出；援助其他地区（类）支出0.00万元，占0.0%</w:t>
      </w:r>
      <w:r>
        <w:rPr>
          <w:rFonts w:ascii="Times New Roman" w:eastAsia="仿宋_GB2312" w:hAnsi="Times New Roman" w:hint="eastAsia"/>
          <w:b w:val="0"/>
          <w:sz w:val="32"/>
          <w:szCs w:val="32"/>
          <w:lang w:eastAsia="zh-CN"/>
        </w:rPr>
        <w:t>，</w:t>
      </w:r>
      <w:r>
        <w:rPr>
          <w:rFonts w:ascii="Times New Roman" w:eastAsia="仿宋_GB2312" w:hAnsi="Times New Roman"/>
          <w:b w:val="0"/>
          <w:sz w:val="32"/>
          <w:szCs w:val="32"/>
        </w:rPr>
        <w:t>主要用于等支出；自然资源海洋气象等（类）支出0.00万元，占0.0%，主要用于等支出；住房保障（类）支出0.00万元，占0.0%，主要用于等支出；粮油物资储备（类）支出0.00万元，占0.0%，主要用于等支出；国有资本经营预算支出0.00万元，占0.0%，主要用于等支出；害防治及应急管理（类）支出507.00万元，占6.5%，主要用于等支出；其他（类）支出0.00万元，占0.0%，主要用于等支出；债务还本（类）支出0.00万元，占0.0%，主要用于等支出；债务付息（类）支出0.00万元，占0.0%，主要用于等支出；抗疫特别国债安排的支出0.00万元，占0.0%，主要用于等支出。</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政府性基金预算财政拨款支出：</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一般公共服务（类）支出0.00万元，占0.0%，主要用于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 （类）支</w:t>
      </w:r>
      <w:r>
        <w:rPr>
          <w:rFonts w:ascii="Times New Roman" w:eastAsia="仿宋_GB2312" w:hAnsi="Times New Roman" w:hint="eastAsia"/>
          <w:b w:val="0"/>
          <w:sz w:val="32"/>
          <w:szCs w:val="32"/>
          <w:lang w:eastAsia="zh-CN"/>
        </w:rPr>
        <w:t>出</w:t>
      </w:r>
      <w:r>
        <w:rPr>
          <w:rFonts w:ascii="Times New Roman" w:eastAsia="仿宋_GB2312" w:hAnsi="Times New Roman"/>
          <w:b w:val="0"/>
          <w:sz w:val="32"/>
          <w:szCs w:val="32"/>
        </w:rPr>
        <w:t>0.00万元，占0.0%，主要用于等支出；卫生健康（类）支出0.00万元，</w:t>
      </w:r>
      <w:r>
        <w:rPr>
          <w:rFonts w:ascii="Times New Roman" w:eastAsia="仿宋_GB2312" w:hAnsi="Times New Roman" w:hint="eastAsia"/>
          <w:b w:val="0"/>
          <w:sz w:val="32"/>
          <w:szCs w:val="32"/>
          <w:lang w:eastAsia="zh-CN"/>
        </w:rPr>
        <w:t>占</w:t>
      </w:r>
      <w:r>
        <w:rPr>
          <w:rFonts w:ascii="Times New Roman" w:eastAsia="仿宋_GB2312" w:hAnsi="Times New Roman"/>
          <w:b w:val="0"/>
          <w:sz w:val="32"/>
          <w:szCs w:val="32"/>
        </w:rPr>
        <w:t>0.0%，主要用于等支出；节能环保（类）</w:t>
      </w:r>
      <w:r>
        <w:rPr>
          <w:rFonts w:ascii="Times New Roman" w:eastAsia="仿宋_GB2312" w:hAnsi="Times New Roman" w:hint="eastAsia"/>
          <w:b w:val="0"/>
          <w:sz w:val="32"/>
          <w:szCs w:val="32"/>
          <w:lang w:eastAsia="zh-CN"/>
        </w:rPr>
        <w:t>支出</w:t>
      </w:r>
      <w:r>
        <w:rPr>
          <w:rFonts w:ascii="Times New Roman" w:eastAsia="仿宋_GB2312" w:hAnsi="Times New Roman"/>
          <w:b w:val="0"/>
          <w:sz w:val="32"/>
          <w:szCs w:val="32"/>
        </w:rPr>
        <w:t>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害防治及应急管理（类）支出0.00万元，占0.0%，主要用于等支出；其他（类）支出0.00万元，占0.0%，主要用于等支出；债务还本（类）支出0.00万元，占0.0%，主要用于等支出；债务付息（类）支出0.00万元，占0.0%，主要用于等支出；抗疫特别国债安排的支</w:t>
      </w:r>
      <w:r>
        <w:rPr>
          <w:rFonts w:ascii="Times New Roman" w:eastAsia="仿宋_GB2312" w:hAnsi="Times New Roman" w:hint="eastAsia"/>
          <w:b w:val="0"/>
          <w:sz w:val="32"/>
          <w:szCs w:val="32"/>
          <w:lang w:eastAsia="zh-CN"/>
        </w:rPr>
        <w:t>出</w:t>
      </w:r>
      <w:r>
        <w:rPr>
          <w:rFonts w:ascii="Times New Roman" w:eastAsia="仿宋_GB2312" w:hAnsi="Times New Roman"/>
          <w:b w:val="0"/>
          <w:sz w:val="32"/>
          <w:szCs w:val="32"/>
        </w:rPr>
        <w:t>0.00万元，占0.00%，主要用于等支出。</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国有资本经营预算财政拨款支出：</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一般公共服务（类）支出0.00万元，占0.0%，主要用于等支出；外交（类）支出0.00万元，占0.0%，主要用于等支出；国防（类）支出0.00万元，占0.0%，主要用于等支出；公共安全（类）支出0.00万元，占0.0%，主要用于等支出；教育（类）支出0.00万元，占0.0%，主要用于等支出；科学技术（类）</w:t>
      </w:r>
      <w:r>
        <w:rPr>
          <w:rFonts w:ascii="Times New Roman" w:eastAsia="仿宋_GB2312" w:hAnsi="Times New Roman" w:hint="eastAsia"/>
          <w:b w:val="0"/>
          <w:sz w:val="32"/>
          <w:szCs w:val="32"/>
          <w:lang w:eastAsia="zh-CN"/>
        </w:rPr>
        <w:t>支出</w:t>
      </w:r>
      <w:r>
        <w:rPr>
          <w:rFonts w:ascii="Times New Roman" w:eastAsia="仿宋_GB2312" w:hAnsi="Times New Roman"/>
          <w:b w:val="0"/>
          <w:sz w:val="32"/>
          <w:szCs w:val="32"/>
        </w:rPr>
        <w:t>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pPr>
        <w:pStyle w:val="19"/>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spacing w:before="0" w:beforeAutospacing="0" w:after="0" w:afterAutospacing="0"/>
        <w:ind w:left="0" w:right="0"/>
        <w:jc w:val="left"/>
        <w:textAlignment w:val="auto"/>
        <w:rPr>
          <w:rFonts w:ascii="Times New Roman" w:eastAsia="仿宋_GB2312" w:cs="Times New Roman" w:hAnsi="Times New Roman"/>
          <w:color w:val="auto"/>
          <w:kern w:val="2"/>
          <w:sz w:val="32"/>
          <w:szCs w:val="32"/>
          <w:lang w:val="zh-CN" w:eastAsia="zh-CN" w:bidi="ar-SA"/>
        </w:rPr>
      </w:pPr>
      <w:r>
        <w:rPr>
          <w:rFonts w:ascii="Times New Roman" w:eastAsia="仿宋_GB2312" w:hAnsi="Times New Roman"/>
          <w:kern w:val="2"/>
          <w:sz w:val="32"/>
          <w:szCs w:val="32"/>
          <w:lang w:val="zh-CN"/>
        </w:rPr>
        <w:drawing>
          <wp:inline distT="0" distB="0" distL="114300" distR="114300">
            <wp:extent cx="5859145" cy="2988310"/>
            <wp:effectExtent l="0" t="0" r="0" b="0"/>
            <wp:docPr id="12" name="图表 13"/>
            <wp:cNvGraphicFramePr>
              <a:graphicFrameLocks noChangeAspect="0"/>
            </wp:cNvGraphicFramePr>
            <a:graphic>
              <a:graphicData uri="http://schemas.openxmlformats.org/drawingml/2006/chart">
                <c:chart xmlns:c="http://schemas.openxmlformats.org/drawingml/2006/chart" r:id="rId16"/>
              </a:graphicData>
            </a:graphic>
          </wp:inline>
        </w:drawing>
      </w:r>
    </w:p>
    <w:p>
      <w:pPr>
        <w:widowControl/>
        <w:spacing w:before="0" w:beforeAutospacing="0" w:after="0" w:afterAutospacing="0" w:line="360" w:lineRule="auto"/>
        <w:ind w:firstLineChars="200" w:firstLine="640"/>
        <w:jc w:val="left"/>
        <w:rPr>
          <w:rFonts w:ascii="Times New Roman" w:eastAsia="楷体_GB2312" w:hAnsi="Times New Roman"/>
          <w:b/>
          <w:sz w:val="32"/>
          <w:szCs w:val="32"/>
        </w:rPr>
      </w:pPr>
    </w:p>
    <w:p>
      <w:pPr>
        <w:widowControl/>
        <w:spacing w:before="0" w:beforeAutospacing="0" w:after="0" w:afterAutospacing="0" w:line="360" w:lineRule="auto"/>
        <w:ind w:firstLineChars="200" w:firstLine="640"/>
        <w:jc w:val="left"/>
        <w:rPr>
          <w:rFonts w:ascii="Times New Roman" w:eastAsia="楷体_GB2312" w:hAnsi="Times New Roman"/>
          <w:sz w:val="32"/>
          <w:szCs w:val="32"/>
        </w:rPr>
      </w:pPr>
      <w:r>
        <w:rPr>
          <w:rFonts w:ascii="Times New Roman" w:eastAsia="楷体_GB2312" w:hAnsi="Times New Roman"/>
          <w:b/>
          <w:sz w:val="32"/>
          <w:szCs w:val="32"/>
        </w:rPr>
        <w:t>（四）一般公共预算基本支出决算情况说明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  2024年度财政拨款基本支出2,092.57万元，其中：</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人员经费1,986.86万元，主要包括基本工资、津贴补贴、奖金、伙食补助费、绩效工资、机关事业单位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公用经费105.71万元，主要包括办公费、印刷费、咨询费、手续费、水费、电费、邮电费、取 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pPr>
        <w:widowControl/>
        <w:spacing w:before="0" w:beforeAutospacing="0" w:after="0" w:afterAutospacing="0" w:line="360" w:lineRule="auto"/>
        <w:ind w:firstLineChars="200" w:firstLine="640"/>
        <w:jc w:val="left"/>
        <w:outlineLvl w:val="1"/>
        <w:rPr>
          <w:rFonts w:ascii="Times New Roman" w:eastAsia="黑体" w:hAnsi="Times New Roman"/>
          <w:sz w:val="32"/>
          <w:szCs w:val="32"/>
        </w:rPr>
      </w:pPr>
      <w:r>
        <w:rPr>
          <w:rFonts w:ascii="Times New Roman" w:eastAsia="黑体" w:hAnsi="Times New Roman"/>
          <w:b w:val="0"/>
          <w:sz w:val="32"/>
          <w:szCs w:val="32"/>
        </w:rPr>
        <w:t>五、财政拨款“三公” 经费支出决算情况说明</w:t>
      </w:r>
    </w:p>
    <w:p>
      <w:pPr>
        <w:widowControl/>
        <w:spacing w:before="0" w:beforeAutospacing="0" w:after="0" w:afterAutospacing="0" w:line="360" w:lineRule="auto"/>
        <w:ind w:firstLineChars="200" w:firstLine="640"/>
        <w:jc w:val="left"/>
        <w:rPr>
          <w:rFonts w:ascii="Times New Roman" w:eastAsia="楷体_GB2312" w:hAnsi="Times New Roman"/>
          <w:sz w:val="32"/>
          <w:szCs w:val="32"/>
        </w:rPr>
      </w:pPr>
      <w:r>
        <w:rPr>
          <w:rFonts w:ascii="Times New Roman" w:eastAsia="楷体_GB2312" w:hAnsi="Times New Roman"/>
          <w:b/>
          <w:sz w:val="32"/>
          <w:szCs w:val="32"/>
        </w:rPr>
        <w:t>（一）“三公”经费财政拨款支出决算总体情况说明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本单位2024年度“三公”经费财政拨款支出预算为16.88万元，支出决算为13.36万元，完成预算的79.1%，较预算减少3.52万元，降低20.9%，主要原因是</w:t>
      </w:r>
      <w:r>
        <w:rPr>
          <w:rFonts w:ascii="Times New Roman" w:eastAsia="仿宋_GB2312" w:cs="Times New Roman" w:hAnsi="Times New Roman"/>
          <w:color w:val="auto"/>
          <w:kern w:val="2"/>
          <w:sz w:val="32"/>
          <w:szCs w:val="32"/>
          <w:lang w:val="zh-CN" w:eastAsia="zh-CN" w:bidi="ar-SA"/>
        </w:rPr>
        <w:t>认真贯彻落实了中央八项规定精神和厉行节约的要求，从严控制了“三公”经费开支，全年实际支出比预算有所节约</w:t>
      </w:r>
      <w:r>
        <w:rPr>
          <w:rFonts w:ascii="Times New Roman" w:eastAsia="仿宋_GB2312" w:hAnsi="Times New Roman"/>
          <w:b w:val="0"/>
          <w:sz w:val="32"/>
          <w:szCs w:val="32"/>
        </w:rPr>
        <w:t>；较2023年度决算减少3.32万元，降低19.9%，主要原因是</w:t>
      </w:r>
      <w:r>
        <w:rPr>
          <w:rFonts w:ascii="Times New Roman" w:eastAsia="仿宋_GB2312" w:cs="Times New Roman" w:hAnsi="Times New Roman"/>
          <w:color w:val="auto"/>
          <w:kern w:val="2"/>
          <w:sz w:val="32"/>
          <w:szCs w:val="32"/>
          <w:lang w:val="zh-CN" w:eastAsia="zh-CN" w:bidi="ar-SA"/>
        </w:rPr>
        <w:t>认真贯彻落实了中央八项规定精神和厉行节约的要求，从严控制了“三公”经费开支，全年实际支出比预算有所节约</w:t>
      </w:r>
      <w:r>
        <w:rPr>
          <w:rFonts w:ascii="Times New Roman" w:eastAsia="仿宋_GB2312" w:hAnsi="Times New Roman"/>
          <w:b w:val="0"/>
          <w:sz w:val="32"/>
          <w:szCs w:val="32"/>
        </w:rPr>
        <w:t>。</w:t>
      </w:r>
    </w:p>
    <w:p>
      <w:pPr>
        <w:widowControl/>
        <w:spacing w:before="0" w:beforeAutospacing="0" w:after="0" w:afterAutospacing="0" w:line="360" w:lineRule="auto"/>
        <w:ind w:firstLineChars="200" w:firstLine="640"/>
        <w:jc w:val="left"/>
        <w:rPr>
          <w:rFonts w:ascii="Times New Roman" w:eastAsia="楷体_GB2312" w:hAnsi="Times New Roman"/>
          <w:sz w:val="32"/>
          <w:szCs w:val="32"/>
        </w:rPr>
      </w:pPr>
      <w:r>
        <w:rPr>
          <w:rFonts w:ascii="Times New Roman" w:eastAsia="楷体_GB2312" w:hAnsi="Times New Roman"/>
          <w:b/>
          <w:sz w:val="32"/>
          <w:szCs w:val="32"/>
        </w:rPr>
        <w:t>（二）“三公”经费财政拨款支出决算具体情况说明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楷体_GB2312" w:hAnsi="Times New Roman"/>
          <w:b/>
          <w:sz w:val="32"/>
          <w:szCs w:val="32"/>
        </w:rPr>
        <w:t> 1.因公出国（境）费支出情况。</w:t>
      </w:r>
      <w:r>
        <w:rPr>
          <w:rFonts w:ascii="Times New Roman" w:eastAsia="仿宋_GB2312" w:hAnsi="Times New Roman"/>
          <w:b w:val="0"/>
          <w:sz w:val="32"/>
          <w:szCs w:val="32"/>
        </w:rPr>
        <w:t>本单位2024年度因公出国（境）费支出预算为0.00万元,支出决算0.00万元。完成预算的0.0%。因公出国（境）费支出较预算增加0.00万元，增长0.0%,主要原因是；较上年增加0.00万元，增长0.00%,主要原因是</w:t>
      </w:r>
      <w:r>
        <w:rPr>
          <w:rFonts w:ascii="Times New Roman" w:eastAsia="仿宋_GB2312" w:cs="Times New Roman" w:hAnsi="Times New Roman"/>
          <w:color w:val="auto"/>
          <w:kern w:val="2"/>
          <w:sz w:val="32"/>
          <w:szCs w:val="32"/>
          <w:lang w:val="en-US" w:eastAsia="zh-CN" w:bidi="ar-SA"/>
        </w:rPr>
        <w:t>因公出国（境）费支出较预算</w:t>
      </w:r>
      <w:r>
        <w:rPr>
          <w:rFonts w:ascii="Times New Roman" w:eastAsia="仿宋_GB2312" w:cs="Times New Roman" w:hAnsi="Times New Roman" w:hint="eastAsia"/>
          <w:color w:val="auto"/>
          <w:kern w:val="2"/>
          <w:sz w:val="32"/>
          <w:szCs w:val="32"/>
          <w:lang w:val="zh-CN" w:eastAsia="zh-CN" w:bidi="ar-SA"/>
        </w:rPr>
        <w:t>持平</w:t>
      </w:r>
      <w:r>
        <w:rPr>
          <w:rFonts w:ascii="Times New Roman" w:eastAsia="仿宋_GB2312" w:cs="Times New Roman" w:hAnsi="Times New Roman"/>
          <w:color w:val="auto"/>
          <w:kern w:val="2"/>
          <w:sz w:val="32"/>
          <w:szCs w:val="32"/>
          <w:lang w:val="en-US" w:eastAsia="zh-CN" w:bidi="ar-SA"/>
        </w:rPr>
        <w:t>；较上年</w:t>
      </w:r>
      <w:r>
        <w:rPr>
          <w:rFonts w:ascii="Times New Roman" w:eastAsia="仿宋_GB2312" w:cs="Times New Roman" w:hAnsi="Times New Roman" w:hint="eastAsia"/>
          <w:color w:val="auto"/>
          <w:kern w:val="2"/>
          <w:sz w:val="32"/>
          <w:szCs w:val="32"/>
          <w:lang w:val="zh-CN" w:eastAsia="zh-CN" w:bidi="ar-SA"/>
        </w:rPr>
        <w:t>持平</w:t>
      </w:r>
      <w:r>
        <w:rPr>
          <w:rFonts w:ascii="Times New Roman" w:eastAsia="仿宋_GB2312" w:hAnsi="Times New Roman"/>
          <w:b w:val="0"/>
          <w:sz w:val="32"/>
          <w:szCs w:val="32"/>
        </w:rPr>
        <w:t>。因公出国（境）团组0个、共0人、参加其他单位组织的因公出国（境）团组</w:t>
      </w:r>
      <w:r>
        <w:rPr>
          <w:rFonts w:ascii="Times New Roman" w:eastAsia="仿宋_GB2312" w:hAnsi="Times New Roman" w:hint="eastAsia"/>
          <w:b w:val="0"/>
          <w:sz w:val="32"/>
          <w:szCs w:val="32"/>
          <w:lang w:val="en-US" w:eastAsia="zh-CN"/>
        </w:rPr>
        <w:t>0</w:t>
      </w:r>
      <w:r>
        <w:rPr>
          <w:rFonts w:ascii="Times New Roman" w:eastAsia="仿宋_GB2312" w:hAnsi="Times New Roman"/>
          <w:b w:val="0"/>
          <w:sz w:val="32"/>
          <w:szCs w:val="32"/>
        </w:rPr>
        <w:t>个、共</w:t>
      </w:r>
      <w:r>
        <w:rPr>
          <w:rFonts w:ascii="Times New Roman" w:eastAsia="仿宋_GB2312" w:hAnsi="Times New Roman" w:hint="eastAsia"/>
          <w:b w:val="0"/>
          <w:sz w:val="32"/>
          <w:szCs w:val="32"/>
          <w:lang w:val="en-US" w:eastAsia="zh-CN"/>
        </w:rPr>
        <w:t>0</w:t>
      </w:r>
      <w:r>
        <w:rPr>
          <w:rFonts w:ascii="Times New Roman" w:eastAsia="仿宋_GB2312" w:hAnsi="Times New Roman"/>
          <w:b w:val="0"/>
          <w:sz w:val="32"/>
          <w:szCs w:val="32"/>
        </w:rPr>
        <w:t>人</w:t>
      </w:r>
      <w:r>
        <w:rPr>
          <w:rFonts w:ascii="Times New Roman" w:eastAsia="仿宋_GB2312" w:hAnsi="Times New Roman" w:hint="eastAsia"/>
          <w:b w:val="0"/>
          <w:sz w:val="32"/>
          <w:szCs w:val="32"/>
          <w:lang w:eastAsia="zh-CN"/>
        </w:rPr>
        <w:t>，</w:t>
      </w:r>
      <w:r>
        <w:rPr>
          <w:rFonts w:ascii="Times New Roman" w:eastAsia="仿宋_GB2312" w:hAnsi="Times New Roman"/>
          <w:b w:val="0"/>
          <w:sz w:val="32"/>
          <w:szCs w:val="32"/>
        </w:rPr>
        <w:t>无本单位组织的出国（境）团组。</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楷体_GB2312" w:hAnsi="Times New Roman"/>
          <w:b/>
          <w:sz w:val="32"/>
          <w:szCs w:val="32"/>
        </w:rPr>
        <w:t> 2.公务用车购置及运行维护费支出情况。</w:t>
      </w:r>
      <w:r>
        <w:rPr>
          <w:rFonts w:ascii="Times New Roman" w:eastAsia="仿宋_GB2312" w:hAnsi="Times New Roman"/>
          <w:b w:val="0"/>
          <w:sz w:val="32"/>
          <w:szCs w:val="32"/>
        </w:rPr>
        <w:t>本单位2024年度公务用车购置及运行维护费预算为15.60万元，支出决算13.36万元，完成预算的85.6%,较预算减少2.24万元，降低14.4%,主要原因是</w:t>
      </w:r>
      <w:r>
        <w:rPr>
          <w:rFonts w:ascii="Times New Roman" w:eastAsia="仿宋_GB2312" w:cs="Times New Roman" w:hAnsi="Times New Roman"/>
          <w:color w:val="auto"/>
          <w:kern w:val="2"/>
          <w:sz w:val="32"/>
          <w:szCs w:val="32"/>
          <w:lang w:val="zh-CN" w:eastAsia="zh-CN" w:bidi="ar-SA"/>
        </w:rPr>
        <w:t>认真贯彻落实了中央八项规定精神和厉行节约的要求</w:t>
      </w:r>
      <w:r>
        <w:rPr>
          <w:rFonts w:ascii="Times New Roman" w:eastAsia="仿宋_GB2312" w:hAnsi="Times New Roman"/>
          <w:b w:val="0"/>
          <w:sz w:val="32"/>
          <w:szCs w:val="32"/>
        </w:rPr>
        <w:t>；较上年减少3.32万元，降低19.9%,主要原因是</w:t>
      </w:r>
      <w:r>
        <w:rPr>
          <w:rFonts w:ascii="Times New Roman" w:eastAsia="仿宋_GB2312" w:cs="Times New Roman" w:hAnsi="Times New Roman"/>
          <w:color w:val="auto"/>
          <w:kern w:val="2"/>
          <w:sz w:val="32"/>
          <w:szCs w:val="32"/>
          <w:lang w:val="zh-CN" w:eastAsia="zh-CN" w:bidi="ar-SA"/>
        </w:rPr>
        <w:t>认真贯彻落实了中央八项规定精神和厉行节约的要求</w:t>
      </w:r>
      <w:r>
        <w:rPr>
          <w:rFonts w:ascii="Times New Roman" w:eastAsia="仿宋_GB2312" w:hAnsi="Times New Roman"/>
          <w:b w:val="0"/>
          <w:sz w:val="32"/>
          <w:szCs w:val="32"/>
        </w:rPr>
        <w:t>。其中：</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公务用车购置费支出0.00万元：</w:t>
      </w:r>
      <w:r>
        <w:rPr>
          <w:rFonts w:ascii="Times New Roman" w:eastAsia="仿宋_GB2312" w:hAnsi="Times New Roman"/>
          <w:b w:val="0"/>
          <w:sz w:val="32"/>
          <w:szCs w:val="32"/>
        </w:rPr>
        <w:t>本单位2024年度公务用车购置量0辆，发生“公务用车购置”经费支出0.00 万元。公务用车购置费支出较预算增加0.00万元，增长0.0%,主要原因是</w:t>
      </w:r>
      <w:r>
        <w:rPr>
          <w:rFonts w:ascii="Times New Roman" w:eastAsia="仿宋_GB2312" w:cs="Times New Roman" w:hAnsi="Times New Roman"/>
          <w:color w:val="auto"/>
          <w:kern w:val="2"/>
          <w:sz w:val="32"/>
          <w:szCs w:val="32"/>
          <w:lang w:val="en-US" w:eastAsia="zh-CN" w:bidi="ar-SA"/>
        </w:rPr>
        <w:t>未发生‘公务用车购置</w:t>
      </w:r>
      <w:r>
        <w:rPr>
          <w:rFonts w:ascii="Times New Roman" w:eastAsia="仿宋_GB2312" w:cs="Times New Roman" w:hAnsi="Times New Roman"/>
          <w:color w:val="auto"/>
          <w:kern w:val="2"/>
          <w:sz w:val="32"/>
          <w:szCs w:val="32"/>
          <w:lang w:val="zh-CN" w:eastAsia="zh-CN" w:bidi="ar-SA"/>
        </w:rPr>
        <w:t>；较上年</w:t>
      </w:r>
      <w:r>
        <w:rPr>
          <w:rFonts w:ascii="Times New Roman" w:eastAsia="仿宋_GB2312" w:cs="Times New Roman" w:hAnsi="Times New Roman" w:hint="eastAsia"/>
          <w:color w:val="auto"/>
          <w:kern w:val="2"/>
          <w:sz w:val="32"/>
          <w:szCs w:val="32"/>
          <w:lang w:val="zh-CN" w:eastAsia="zh-CN" w:bidi="ar-SA"/>
        </w:rPr>
        <w:t>持平</w:t>
      </w:r>
      <w:r>
        <w:rPr>
          <w:rFonts w:ascii="Times New Roman" w:eastAsia="仿宋_GB2312" w:hAnsi="Times New Roman"/>
          <w:b w:val="0"/>
          <w:sz w:val="32"/>
          <w:szCs w:val="32"/>
        </w:rPr>
        <w:t>；较上年增加0.00万元，增长0.00%,主要原因是</w:t>
      </w:r>
      <w:r>
        <w:rPr>
          <w:rFonts w:ascii="Times New Roman" w:eastAsia="仿宋_GB2312" w:cs="Times New Roman" w:hAnsi="Times New Roman"/>
          <w:color w:val="auto"/>
          <w:kern w:val="2"/>
          <w:sz w:val="32"/>
          <w:szCs w:val="32"/>
          <w:lang w:val="en-US" w:eastAsia="zh-CN" w:bidi="ar-SA"/>
        </w:rPr>
        <w:t>未发生‘公务用车购置</w:t>
      </w:r>
      <w:r>
        <w:rPr>
          <w:rFonts w:ascii="Times New Roman" w:eastAsia="仿宋_GB2312" w:cs="Times New Roman" w:hAnsi="Times New Roman"/>
          <w:color w:val="auto"/>
          <w:kern w:val="2"/>
          <w:sz w:val="32"/>
          <w:szCs w:val="32"/>
          <w:lang w:val="zh-CN" w:eastAsia="zh-CN" w:bidi="ar-SA"/>
        </w:rPr>
        <w:t>；较上年</w:t>
      </w:r>
      <w:r>
        <w:rPr>
          <w:rFonts w:ascii="Times New Roman" w:eastAsia="仿宋_GB2312" w:cs="Times New Roman" w:hAnsi="Times New Roman" w:hint="eastAsia"/>
          <w:color w:val="auto"/>
          <w:kern w:val="2"/>
          <w:sz w:val="32"/>
          <w:szCs w:val="32"/>
          <w:lang w:val="zh-CN" w:eastAsia="zh-CN" w:bidi="ar-SA"/>
        </w:rPr>
        <w:t>持平</w:t>
      </w:r>
      <w:r>
        <w:rPr>
          <w:rFonts w:ascii="Times New Roman" w:eastAsia="仿宋_GB2312" w:hAnsi="Times New Roman"/>
          <w:b w:val="0"/>
          <w:sz w:val="32"/>
          <w:szCs w:val="32"/>
        </w:rPr>
        <w:t>。</w:t>
      </w:r>
    </w:p>
    <w:p>
      <w:pPr>
        <w:widowControl/>
        <w:spacing w:before="0" w:beforeAutospacing="0" w:after="0" w:afterAutospacing="0" w:line="360" w:lineRule="auto"/>
        <w:ind w:firstLineChars="200" w:firstLine="640"/>
        <w:jc w:val="left"/>
        <w:rPr>
          <w:rFonts w:ascii="Times New Roman" w:eastAsia="仿宋_GB2312" w:cs="Times New Roman" w:hAnsi="Times New Roman" w:hint="eastAsia"/>
          <w:color w:val="auto"/>
          <w:kern w:val="2"/>
          <w:sz w:val="32"/>
          <w:szCs w:val="32"/>
          <w:lang w:val="zh-CN" w:eastAsia="zh-CN" w:bidi="ar-SA"/>
        </w:rPr>
      </w:pPr>
      <w:r>
        <w:rPr>
          <w:rFonts w:ascii="Times New Roman" w:eastAsia="仿宋_GB2312" w:hAnsi="Times New Roman"/>
          <w:b/>
          <w:sz w:val="32"/>
          <w:szCs w:val="32"/>
        </w:rPr>
        <w:t>公务用车运行维护费支出13.36万元：</w:t>
      </w:r>
      <w:r>
        <w:rPr>
          <w:rFonts w:ascii="Times New Roman" w:eastAsia="仿宋_GB2312" w:hAnsi="Times New Roman"/>
          <w:b w:val="0"/>
          <w:sz w:val="32"/>
          <w:szCs w:val="32"/>
        </w:rPr>
        <w:t>本单位2024年度单位公务用车保有量</w:t>
      </w:r>
      <w:r>
        <w:rPr>
          <w:rFonts w:ascii="Times New Roman" w:eastAsia="仿宋_GB2312" w:hAnsi="Times New Roman" w:hint="eastAsia"/>
          <w:b w:val="0"/>
          <w:sz w:val="32"/>
          <w:szCs w:val="32"/>
          <w:lang w:val="en-US" w:eastAsia="zh-CN"/>
        </w:rPr>
        <w:t>6</w:t>
      </w:r>
      <w:r>
        <w:rPr>
          <w:rFonts w:ascii="Times New Roman" w:eastAsia="仿宋_GB2312" w:hAnsi="Times New Roman"/>
          <w:b w:val="0"/>
          <w:sz w:val="32"/>
          <w:szCs w:val="32"/>
        </w:rPr>
        <w:t>辆，发生运行维护费支出13.36万元。公车运行维护费支出较预算减少2.24万元，降低14.4%,主要原因是</w:t>
      </w:r>
      <w:r>
        <w:rPr>
          <w:rFonts w:ascii="Times New Roman" w:eastAsia="仿宋_GB2312" w:cs="Times New Roman" w:hAnsi="Times New Roman"/>
          <w:color w:val="auto"/>
          <w:kern w:val="2"/>
          <w:sz w:val="32"/>
          <w:szCs w:val="32"/>
          <w:lang w:val="zh-CN" w:eastAsia="zh-CN" w:bidi="ar-SA"/>
        </w:rPr>
        <w:t>认真贯彻落实了中央八项规定精神和厉行节约的要求，从严控制了“三公”经费开支，全年实际支出比预算有所节约</w:t>
      </w:r>
      <w:r>
        <w:rPr>
          <w:rFonts w:ascii="Times New Roman" w:eastAsia="仿宋_GB2312" w:hAnsi="Times New Roman"/>
          <w:b w:val="0"/>
          <w:sz w:val="32"/>
          <w:szCs w:val="32"/>
        </w:rPr>
        <w:t>；较上年减少3.32万元，降低19.9%，主要原因是</w:t>
      </w:r>
      <w:r>
        <w:rPr>
          <w:rFonts w:ascii="Times New Roman" w:eastAsia="仿宋_GB2312" w:cs="Times New Roman" w:hAnsi="Times New Roman"/>
          <w:color w:val="auto"/>
          <w:kern w:val="2"/>
          <w:sz w:val="32"/>
          <w:szCs w:val="32"/>
          <w:lang w:val="zh-CN" w:eastAsia="zh-CN" w:bidi="ar-SA"/>
        </w:rPr>
        <w:t>认真贯彻落实了中央八项规定精神和厉行节约的要求</w:t>
      </w:r>
      <w:r>
        <w:rPr>
          <w:rFonts w:ascii="Times New Roman" w:eastAsia="仿宋_GB2312" w:cs="Times New Roman" w:hAnsi="Times New Roman" w:hint="eastAsia"/>
          <w:color w:val="auto"/>
          <w:kern w:val="2"/>
          <w:sz w:val="32"/>
          <w:szCs w:val="32"/>
          <w:lang w:val="zh-CN" w:eastAsia="zh-CN" w:bidi="ar-SA"/>
        </w:rPr>
        <w:t>。</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楷体_GB2312" w:hAnsi="Times New Roman"/>
          <w:b/>
          <w:sz w:val="32"/>
          <w:szCs w:val="32"/>
        </w:rPr>
        <w:t>3.公务接待费支出情况。</w:t>
      </w:r>
      <w:r>
        <w:rPr>
          <w:rFonts w:ascii="Times New Roman" w:eastAsia="仿宋_GB2312" w:hAnsi="Times New Roman"/>
          <w:b w:val="0"/>
          <w:sz w:val="32"/>
          <w:szCs w:val="32"/>
        </w:rPr>
        <w:t>本单位2024年度公务接待费支出预算为1.28万元，支出决算0.00万元，完成预算的0.0%。公务接待费支出较预算减少1.28万元，降低100.0%,主要原因是</w:t>
      </w:r>
      <w:r>
        <w:rPr>
          <w:rFonts w:ascii="Times New Roman" w:eastAsia="仿宋_GB2312" w:hAnsi="Times New Roman" w:hint="eastAsia"/>
          <w:b w:val="0"/>
          <w:sz w:val="32"/>
          <w:szCs w:val="32"/>
          <w:lang w:eastAsia="zh-CN"/>
        </w:rPr>
        <w:t>厉行节约</w:t>
      </w:r>
      <w:r>
        <w:rPr>
          <w:rFonts w:ascii="Times New Roman" w:eastAsia="仿宋_GB2312" w:hAnsi="Times New Roman"/>
          <w:b w:val="0"/>
          <w:sz w:val="32"/>
          <w:szCs w:val="32"/>
        </w:rPr>
        <w:t>；较上年度增加0.00万元，增长0.00%,主要原因是</w:t>
      </w:r>
      <w:r>
        <w:rPr>
          <w:rFonts w:ascii="Times New Roman" w:eastAsia="仿宋_GB2312" w:hAnsi="Times New Roman" w:hint="eastAsia"/>
          <w:b w:val="0"/>
          <w:sz w:val="32"/>
          <w:szCs w:val="32"/>
          <w:lang w:eastAsia="zh-CN"/>
        </w:rPr>
        <w:t>厉行节约</w:t>
      </w:r>
      <w:r>
        <w:rPr>
          <w:rFonts w:ascii="Times New Roman" w:eastAsia="仿宋_GB2312" w:hAnsi="Times New Roman"/>
          <w:b w:val="0"/>
          <w:sz w:val="32"/>
          <w:szCs w:val="32"/>
        </w:rPr>
        <w:t>。本年度共发生公务接待0批次、0人次。</w:t>
      </w:r>
    </w:p>
    <w:p>
      <w:pPr>
        <w:widowControl/>
        <w:spacing w:before="0" w:beforeAutospacing="0" w:after="0" w:afterAutospacing="0" w:line="360" w:lineRule="auto"/>
        <w:ind w:firstLineChars="200" w:firstLine="640"/>
        <w:jc w:val="left"/>
        <w:outlineLvl w:val="1"/>
        <w:rPr>
          <w:rFonts w:ascii="Times New Roman" w:eastAsia="黑体" w:hAnsi="Times New Roman"/>
          <w:sz w:val="32"/>
          <w:szCs w:val="32"/>
        </w:rPr>
      </w:pPr>
      <w:r>
        <w:rPr>
          <w:rFonts w:ascii="Times New Roman" w:eastAsia="黑体" w:hAnsi="Times New Roman"/>
          <w:b w:val="0"/>
          <w:sz w:val="32"/>
          <w:szCs w:val="32"/>
        </w:rPr>
        <w:t>六、机关运行经费支出说明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本单位2024年度机关运行经费支出105.71万元，较2023年度减少38.84万元，降低26.9%。主要原因是</w:t>
      </w:r>
      <w:r>
        <w:rPr>
          <w:rFonts w:ascii="Times New Roman" w:eastAsia="仿宋_GB2312" w:cs="Times New Roman" w:hAnsi="Times New Roman"/>
          <w:color w:val="auto"/>
          <w:kern w:val="2"/>
          <w:sz w:val="32"/>
          <w:szCs w:val="32"/>
          <w:lang w:val="zh-CN" w:eastAsia="zh-CN" w:bidi="ar-SA"/>
        </w:rPr>
        <w:t>认真贯彻落实了中央八项规定精神和厉行节约的要求</w:t>
      </w:r>
      <w:r>
        <w:rPr>
          <w:rFonts w:ascii="Times New Roman" w:eastAsia="仿宋_GB2312" w:cs="Times New Roman" w:hAnsi="Times New Roman" w:hint="eastAsia"/>
          <w:color w:val="auto"/>
          <w:kern w:val="2"/>
          <w:sz w:val="32"/>
          <w:szCs w:val="32"/>
          <w:lang w:val="zh-CN" w:eastAsia="zh-CN" w:bidi="ar-SA"/>
        </w:rPr>
        <w:t>。</w:t>
      </w:r>
    </w:p>
    <w:p>
      <w:pPr>
        <w:widowControl/>
        <w:spacing w:before="0" w:beforeAutospacing="0" w:after="0" w:afterAutospacing="0" w:line="360" w:lineRule="auto"/>
        <w:ind w:firstLineChars="200" w:firstLine="640"/>
        <w:jc w:val="left"/>
        <w:outlineLvl w:val="1"/>
        <w:rPr>
          <w:rFonts w:ascii="Times New Roman" w:eastAsia="黑体" w:hAnsi="Times New Roman"/>
          <w:sz w:val="32"/>
          <w:szCs w:val="32"/>
        </w:rPr>
      </w:pPr>
      <w:r>
        <w:rPr>
          <w:rFonts w:ascii="Times New Roman" w:eastAsia="黑体" w:hAnsi="Times New Roman"/>
          <w:b w:val="0"/>
          <w:sz w:val="32"/>
          <w:szCs w:val="32"/>
        </w:rPr>
        <w:t>七、政府采购支出说明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本单位2024年度政府采购支出总额7,186.69万元，从采购类型来看，政府采购货物支出6,828.96万元、政府采购工程支出0.00万元、政府采购服务支出357.73万元。授予中小企业合同金额5,288.26万元，占政府采购支出总额的73.6%，其中授予小微企业合同金额5,288.26万元，占政府采购支出总额的73.6%。</w:t>
      </w:r>
    </w:p>
    <w:p>
      <w:pPr>
        <w:widowControl/>
        <w:spacing w:before="0" w:beforeAutospacing="0" w:after="0" w:afterAutospacing="0" w:line="360" w:lineRule="auto"/>
        <w:ind w:firstLineChars="200" w:firstLine="640"/>
        <w:jc w:val="left"/>
        <w:outlineLvl w:val="1"/>
        <w:rPr>
          <w:rFonts w:ascii="Times New Roman" w:eastAsia="黑体" w:hAnsi="Times New Roman"/>
          <w:color w:val="auto"/>
          <w:sz w:val="32"/>
          <w:szCs w:val="32"/>
        </w:rPr>
      </w:pPr>
      <w:r>
        <w:rPr>
          <w:rFonts w:ascii="Times New Roman" w:eastAsia="黑体" w:hAnsi="Times New Roman"/>
          <w:b w:val="0"/>
          <w:color w:val="auto"/>
          <w:sz w:val="32"/>
          <w:szCs w:val="32"/>
        </w:rPr>
        <w:t>八、国有资产占用情况说明</w:t>
      </w:r>
    </w:p>
    <w:p>
      <w:pPr>
        <w:widowControl/>
        <w:spacing w:before="0" w:beforeAutospacing="0" w:after="0" w:afterAutospacing="0" w:line="360" w:lineRule="auto"/>
        <w:ind w:firstLineChars="200" w:firstLine="640"/>
        <w:jc w:val="left"/>
        <w:rPr>
          <w:rFonts w:ascii="Times New Roman" w:eastAsia="仿宋_GB2312" w:hAnsi="Times New Roman"/>
          <w:color w:val="auto"/>
          <w:sz w:val="32"/>
          <w:szCs w:val="32"/>
        </w:rPr>
      </w:pPr>
      <w:r>
        <w:rPr>
          <w:rFonts w:ascii="Times New Roman" w:eastAsia="仿宋_GB2312" w:hAnsi="Times New Roman"/>
          <w:b w:val="0"/>
          <w:color w:val="auto"/>
          <w:sz w:val="32"/>
          <w:szCs w:val="32"/>
        </w:rPr>
        <w:t>截至2024年12月31日，本单位共有车辆47辆，比上年增加4辆，主要是</w:t>
      </w:r>
      <w:r>
        <w:rPr>
          <w:rFonts w:ascii="Times New Roman" w:eastAsia="仿宋_GB2312" w:hAnsi="Times New Roman" w:hint="eastAsia"/>
          <w:b w:val="0"/>
          <w:color w:val="auto"/>
          <w:sz w:val="32"/>
          <w:szCs w:val="32"/>
          <w:lang w:eastAsia="zh-CN"/>
        </w:rPr>
        <w:t>业务用车</w:t>
      </w:r>
      <w:r>
        <w:rPr>
          <w:rFonts w:ascii="Times New Roman" w:eastAsia="仿宋_GB2312" w:hAnsi="Times New Roman"/>
          <w:b w:val="0"/>
          <w:color w:val="auto"/>
          <w:sz w:val="32"/>
          <w:szCs w:val="32"/>
        </w:rPr>
        <w:t>。其中，副部（省）级及以上领导用车0辆，主要负责人用车0辆，机要通信用车7辆，应急保障用车0辆，执法执勤用车0辆，特种专业技术用车0辆，离退休干部用车0辆，其他用车40辆，其他用车主要是</w:t>
      </w:r>
      <w:r>
        <w:rPr>
          <w:rFonts w:ascii="Times New Roman" w:eastAsia="仿宋_GB2312" w:hAnsi="Times New Roman" w:hint="eastAsia"/>
          <w:b w:val="0"/>
          <w:color w:val="auto"/>
          <w:sz w:val="32"/>
          <w:szCs w:val="32"/>
          <w:lang w:eastAsia="zh-CN"/>
        </w:rPr>
        <w:t>业务用车</w:t>
      </w:r>
      <w:r>
        <w:rPr>
          <w:rFonts w:ascii="Times New Roman" w:eastAsia="仿宋_GB2312" w:hAnsi="Times New Roman"/>
          <w:b w:val="0"/>
          <w:color w:val="auto"/>
          <w:sz w:val="32"/>
          <w:szCs w:val="32"/>
        </w:rPr>
        <w:t>。单位价值100万元（含）以上设备（不含车辆）0台（套）。</w:t>
      </w:r>
    </w:p>
    <w:p>
      <w:pPr>
        <w:widowControl/>
        <w:spacing w:before="0" w:beforeAutospacing="0" w:after="0" w:afterAutospacing="0" w:line="360" w:lineRule="auto"/>
        <w:ind w:firstLineChars="200" w:firstLine="640"/>
        <w:jc w:val="left"/>
        <w:outlineLvl w:val="1"/>
        <w:rPr>
          <w:rFonts w:ascii="Times New Roman" w:eastAsia="黑体" w:hAnsi="Times New Roman"/>
          <w:color w:val="auto"/>
          <w:sz w:val="32"/>
          <w:szCs w:val="32"/>
        </w:rPr>
      </w:pPr>
      <w:r>
        <w:rPr>
          <w:rFonts w:ascii="Times New Roman" w:eastAsia="黑体" w:hAnsi="Times New Roman"/>
          <w:b w:val="0"/>
          <w:color w:val="auto"/>
          <w:sz w:val="32"/>
          <w:szCs w:val="32"/>
        </w:rPr>
        <w:t>九、关于2024年度绩效评价情况的说明</w:t>
      </w:r>
    </w:p>
    <w:p>
      <w:pPr>
        <w:widowControl/>
        <w:spacing w:before="0" w:beforeAutospacing="0" w:after="0" w:afterAutospacing="0" w:line="360" w:lineRule="auto"/>
        <w:ind w:firstLineChars="200" w:firstLine="640"/>
        <w:jc w:val="left"/>
        <w:rPr>
          <w:rFonts w:ascii="Times New Roman" w:eastAsia="仿宋_GB2312" w:hAnsi="Times New Roman"/>
          <w:color w:val="auto"/>
          <w:sz w:val="32"/>
          <w:szCs w:val="32"/>
        </w:rPr>
      </w:pPr>
      <w:r>
        <w:rPr>
          <w:rFonts w:ascii="Times New Roman" w:eastAsia="仿宋_GB2312" w:hAnsi="Times New Roman"/>
          <w:b/>
          <w:color w:val="auto"/>
          <w:sz w:val="32"/>
          <w:szCs w:val="32"/>
        </w:rPr>
        <w:t>（一）绩效评价工作开展情况</w:t>
      </w:r>
    </w:p>
    <w:p>
      <w:pPr>
        <w:widowControl/>
        <w:spacing w:before="0" w:beforeAutospacing="0" w:after="0" w:afterAutospacing="0" w:line="360" w:lineRule="auto"/>
        <w:ind w:firstLineChars="200" w:firstLine="640"/>
        <w:jc w:val="left"/>
        <w:rPr>
          <w:rFonts w:ascii="Times New Roman" w:eastAsia="仿宋_GB2312" w:hAnsi="Times New Roman"/>
          <w:color w:val="auto"/>
          <w:sz w:val="32"/>
          <w:szCs w:val="32"/>
        </w:rPr>
      </w:pPr>
      <w:r>
        <w:rPr>
          <w:rFonts w:ascii="Times New Roman" w:eastAsia="仿宋_GB2312" w:hAnsi="Times New Roman"/>
          <w:b w:val="0"/>
          <w:color w:val="auto"/>
          <w:sz w:val="32"/>
          <w:szCs w:val="32"/>
        </w:rPr>
        <w:t>根据预算绩效管理要求，本单位组织对2024年度本级预算项目支出全面开展绩效自评，共涉及资金</w:t>
      </w:r>
      <w:r>
        <w:rPr>
          <w:rFonts w:ascii="Times New Roman" w:eastAsia="仿宋_GB2312" w:hAnsi="Times New Roman" w:hint="eastAsia"/>
          <w:b w:val="0"/>
          <w:color w:val="auto"/>
          <w:sz w:val="32"/>
          <w:szCs w:val="32"/>
          <w:lang w:val="en-US" w:eastAsia="zh-CN"/>
        </w:rPr>
        <w:t>5760.662499</w:t>
      </w:r>
      <w:r>
        <w:rPr>
          <w:rFonts w:ascii="Times New Roman" w:eastAsia="仿宋_GB2312" w:hAnsi="Times New Roman"/>
          <w:b w:val="0"/>
          <w:color w:val="auto"/>
          <w:sz w:val="32"/>
          <w:szCs w:val="32"/>
        </w:rPr>
        <w:t>万元。其中，一般公共预算项目</w:t>
      </w:r>
      <w:r>
        <w:rPr>
          <w:rFonts w:ascii="Times New Roman" w:eastAsia="仿宋_GB2312" w:hAnsi="Times New Roman" w:hint="eastAsia"/>
          <w:b w:val="0"/>
          <w:color w:val="auto"/>
          <w:sz w:val="32"/>
          <w:szCs w:val="32"/>
          <w:lang w:val="en-US" w:eastAsia="zh-CN"/>
        </w:rPr>
        <w:t>15</w:t>
      </w:r>
      <w:r>
        <w:rPr>
          <w:rFonts w:ascii="Times New Roman" w:eastAsia="仿宋_GB2312" w:hAnsi="Times New Roman"/>
          <w:b w:val="0"/>
          <w:color w:val="auto"/>
          <w:sz w:val="32"/>
          <w:szCs w:val="32"/>
        </w:rPr>
        <w:t>个，涉及资金</w:t>
      </w:r>
      <w:r>
        <w:rPr>
          <w:rFonts w:ascii="Times New Roman" w:eastAsia="仿宋_GB2312" w:hAnsi="Times New Roman" w:hint="eastAsia"/>
          <w:b w:val="0"/>
          <w:color w:val="auto"/>
          <w:sz w:val="32"/>
          <w:szCs w:val="32"/>
          <w:lang w:val="en-US" w:eastAsia="zh-CN"/>
        </w:rPr>
        <w:t>5760.662499</w:t>
      </w:r>
      <w:r>
        <w:rPr>
          <w:rFonts w:ascii="Times New Roman" w:eastAsia="仿宋_GB2312" w:hAnsi="Times New Roman"/>
          <w:b w:val="0"/>
          <w:color w:val="auto"/>
          <w:sz w:val="32"/>
          <w:szCs w:val="32"/>
        </w:rPr>
        <w:t>万元，占一般公共预算项目支出总额的</w:t>
      </w:r>
      <w:r>
        <w:rPr>
          <w:rFonts w:ascii="Times New Roman" w:eastAsia="仿宋_GB2312" w:hAnsi="Times New Roman" w:hint="eastAsia"/>
          <w:b w:val="0"/>
          <w:color w:val="auto"/>
          <w:sz w:val="32"/>
          <w:szCs w:val="32"/>
          <w:lang w:val="en-US" w:eastAsia="zh-CN"/>
        </w:rPr>
        <w:t>100.0</w:t>
      </w:r>
      <w:r>
        <w:rPr>
          <w:rFonts w:ascii="Times New Roman" w:eastAsia="仿宋_GB2312" w:hAnsi="Times New Roman"/>
          <w:b w:val="0"/>
          <w:color w:val="auto"/>
          <w:sz w:val="32"/>
          <w:szCs w:val="32"/>
        </w:rPr>
        <w:t>%；政府性基金预算项目</w:t>
      </w:r>
      <w:r>
        <w:rPr>
          <w:rFonts w:ascii="Times New Roman" w:eastAsia="仿宋_GB2312" w:hAnsi="Times New Roman" w:hint="eastAsia"/>
          <w:b w:val="0"/>
          <w:color w:val="auto"/>
          <w:sz w:val="32"/>
          <w:szCs w:val="32"/>
          <w:lang w:val="en-US" w:eastAsia="zh-CN"/>
        </w:rPr>
        <w:t>0</w:t>
      </w:r>
      <w:r>
        <w:rPr>
          <w:rFonts w:ascii="Times New Roman" w:eastAsia="仿宋_GB2312" w:hAnsi="Times New Roman"/>
          <w:b w:val="0"/>
          <w:color w:val="auto"/>
          <w:sz w:val="32"/>
          <w:szCs w:val="32"/>
        </w:rPr>
        <w:t>个，涉及资金</w:t>
      </w:r>
      <w:r>
        <w:rPr>
          <w:rFonts w:ascii="Times New Roman" w:eastAsia="仿宋_GB2312" w:hAnsi="Times New Roman" w:hint="eastAsia"/>
          <w:b w:val="0"/>
          <w:color w:val="auto"/>
          <w:sz w:val="32"/>
          <w:szCs w:val="32"/>
          <w:lang w:val="en-US" w:eastAsia="zh-CN"/>
        </w:rPr>
        <w:t>0</w:t>
      </w:r>
      <w:r>
        <w:rPr>
          <w:rFonts w:ascii="Times New Roman" w:eastAsia="仿宋_GB2312" w:hAnsi="Times New Roman"/>
          <w:b w:val="0"/>
          <w:color w:val="auto"/>
          <w:sz w:val="32"/>
          <w:szCs w:val="32"/>
        </w:rPr>
        <w:t>万元，占政府性基金预算项目支出总额的</w:t>
      </w:r>
      <w:r>
        <w:rPr>
          <w:rFonts w:ascii="Times New Roman" w:eastAsia="仿宋_GB2312" w:hAnsi="Times New Roman" w:hint="eastAsia"/>
          <w:b w:val="0"/>
          <w:color w:val="auto"/>
          <w:sz w:val="32"/>
          <w:szCs w:val="32"/>
          <w:lang w:val="en-US" w:eastAsia="zh-CN"/>
        </w:rPr>
        <w:t>0.0</w:t>
      </w:r>
      <w:r>
        <w:rPr>
          <w:rFonts w:ascii="Times New Roman" w:eastAsia="仿宋_GB2312" w:hAnsi="Times New Roman"/>
          <w:b w:val="0"/>
          <w:color w:val="auto"/>
          <w:sz w:val="32"/>
          <w:szCs w:val="32"/>
        </w:rPr>
        <w:t>%；国有资本经营预算项目</w:t>
      </w:r>
      <w:r>
        <w:rPr>
          <w:rFonts w:ascii="Times New Roman" w:eastAsia="仿宋_GB2312" w:hAnsi="Times New Roman" w:hint="eastAsia"/>
          <w:b w:val="0"/>
          <w:color w:val="auto"/>
          <w:sz w:val="32"/>
          <w:szCs w:val="32"/>
          <w:lang w:val="en-US" w:eastAsia="zh-CN"/>
        </w:rPr>
        <w:t>0</w:t>
      </w:r>
      <w:r>
        <w:rPr>
          <w:rFonts w:ascii="Times New Roman" w:eastAsia="仿宋_GB2312" w:hAnsi="Times New Roman"/>
          <w:b w:val="0"/>
          <w:color w:val="auto"/>
          <w:sz w:val="32"/>
          <w:szCs w:val="32"/>
        </w:rPr>
        <w:t>个，涉及资金</w:t>
      </w:r>
      <w:r>
        <w:rPr>
          <w:rFonts w:ascii="Times New Roman" w:eastAsia="仿宋_GB2312" w:hAnsi="Times New Roman" w:hint="eastAsia"/>
          <w:b w:val="0"/>
          <w:color w:val="auto"/>
          <w:sz w:val="32"/>
          <w:szCs w:val="32"/>
          <w:lang w:val="en-US" w:eastAsia="zh-CN"/>
        </w:rPr>
        <w:t>0</w:t>
      </w:r>
      <w:r>
        <w:rPr>
          <w:rFonts w:ascii="Times New Roman" w:eastAsia="仿宋_GB2312" w:hAnsi="Times New Roman"/>
          <w:b w:val="0"/>
          <w:color w:val="auto"/>
          <w:sz w:val="32"/>
          <w:szCs w:val="32"/>
        </w:rPr>
        <w:t>万元，占国有资本经营预算项目支出总额的</w:t>
      </w:r>
      <w:r>
        <w:rPr>
          <w:rFonts w:ascii="Times New Roman" w:eastAsia="仿宋_GB2312" w:hAnsi="Times New Roman" w:hint="eastAsia"/>
          <w:b w:val="0"/>
          <w:color w:val="auto"/>
          <w:sz w:val="32"/>
          <w:szCs w:val="32"/>
          <w:lang w:val="en-US" w:eastAsia="zh-CN"/>
        </w:rPr>
        <w:t>0.0</w:t>
      </w:r>
      <w:r>
        <w:rPr>
          <w:rFonts w:ascii="Times New Roman" w:eastAsia="仿宋_GB2312" w:hAnsi="Times New Roman"/>
          <w:b w:val="0"/>
          <w:color w:val="auto"/>
          <w:sz w:val="32"/>
          <w:szCs w:val="32"/>
        </w:rPr>
        <w:t>%。</w:t>
      </w:r>
    </w:p>
    <w:p>
      <w:pPr>
        <w:widowControl/>
        <w:spacing w:before="0" w:beforeAutospacing="0" w:after="0" w:afterAutospacing="0" w:line="360" w:lineRule="auto"/>
        <w:ind w:firstLineChars="200" w:firstLine="640"/>
        <w:jc w:val="left"/>
        <w:rPr>
          <w:rFonts w:ascii="Times New Roman" w:eastAsia="仿宋_GB2312" w:hAnsi="Times New Roman"/>
          <w:color w:val="auto"/>
          <w:sz w:val="32"/>
          <w:szCs w:val="32"/>
        </w:rPr>
      </w:pPr>
      <w:r>
        <w:rPr>
          <w:rFonts w:ascii="Times New Roman" w:eastAsia="仿宋_GB2312" w:hAnsi="Times New Roman"/>
          <w:b w:val="0"/>
          <w:color w:val="auto"/>
          <w:sz w:val="32"/>
          <w:szCs w:val="32"/>
        </w:rPr>
        <w:t>组织对</w:t>
      </w:r>
      <w:r>
        <w:rPr>
          <w:rFonts w:ascii="Times New Roman" w:eastAsia="仿宋_GB2312" w:hAnsi="Times New Roman" w:hint="eastAsia"/>
          <w:b w:val="0"/>
          <w:color w:val="auto"/>
          <w:sz w:val="32"/>
          <w:szCs w:val="32"/>
          <w:lang w:val="en-US" w:eastAsia="zh-CN"/>
        </w:rPr>
        <w:t>1</w:t>
      </w:r>
      <w:r>
        <w:rPr>
          <w:rFonts w:ascii="Times New Roman" w:eastAsia="仿宋_GB2312" w:hAnsi="Times New Roman"/>
          <w:b w:val="0"/>
          <w:color w:val="auto"/>
          <w:sz w:val="32"/>
          <w:szCs w:val="32"/>
        </w:rPr>
        <w:t>个项目开展了单位重点评价，涉及一般公共预算支出</w:t>
      </w:r>
      <w:r>
        <w:rPr>
          <w:rFonts w:ascii="Times New Roman" w:eastAsia="仿宋_GB2312" w:hAnsi="Times New Roman" w:hint="eastAsia"/>
          <w:b w:val="0"/>
          <w:color w:val="auto"/>
          <w:sz w:val="32"/>
          <w:szCs w:val="32"/>
          <w:lang w:val="en-US" w:eastAsia="zh-CN"/>
        </w:rPr>
        <w:t>40</w:t>
      </w:r>
      <w:r>
        <w:rPr>
          <w:rFonts w:ascii="Times New Roman" w:eastAsia="仿宋_GB2312" w:hAnsi="Times New Roman"/>
          <w:b w:val="0"/>
          <w:color w:val="auto"/>
          <w:sz w:val="32"/>
          <w:szCs w:val="32"/>
        </w:rPr>
        <w:t>万元，政府性基金预算支出</w:t>
      </w:r>
      <w:r>
        <w:rPr>
          <w:rFonts w:ascii="Times New Roman" w:eastAsia="仿宋_GB2312" w:hAnsi="Times New Roman" w:hint="eastAsia"/>
          <w:b w:val="0"/>
          <w:color w:val="auto"/>
          <w:sz w:val="32"/>
          <w:szCs w:val="32"/>
          <w:lang w:val="en-US" w:eastAsia="zh-CN"/>
        </w:rPr>
        <w:t>0</w:t>
      </w:r>
      <w:r>
        <w:rPr>
          <w:rFonts w:ascii="Times New Roman" w:eastAsia="仿宋_GB2312" w:hAnsi="Times New Roman"/>
          <w:b w:val="0"/>
          <w:color w:val="auto"/>
          <w:sz w:val="32"/>
          <w:szCs w:val="32"/>
        </w:rPr>
        <w:t>万元，国有资本经营预算支出</w:t>
      </w:r>
      <w:r>
        <w:rPr>
          <w:rFonts w:ascii="Times New Roman" w:eastAsia="仿宋_GB2312" w:hAnsi="Times New Roman" w:hint="eastAsia"/>
          <w:b w:val="0"/>
          <w:color w:val="auto"/>
          <w:sz w:val="32"/>
          <w:szCs w:val="32"/>
          <w:lang w:val="en-US" w:eastAsia="zh-CN"/>
        </w:rPr>
        <w:t>0</w:t>
      </w:r>
      <w:r>
        <w:rPr>
          <w:rFonts w:ascii="Times New Roman" w:eastAsia="仿宋_GB2312" w:hAnsi="Times New Roman"/>
          <w:b w:val="0"/>
          <w:color w:val="auto"/>
          <w:sz w:val="32"/>
          <w:szCs w:val="32"/>
        </w:rPr>
        <w:t>万元，从评价情况来看，</w:t>
      </w:r>
      <w:r>
        <w:rPr>
          <w:rFonts w:ascii="Times New Roman" w:eastAsia="仿宋_GB2312" w:cs="Times New Roman" w:hAnsi="Times New Roman"/>
          <w:color w:val="auto"/>
          <w:kern w:val="2"/>
          <w:sz w:val="32"/>
          <w:szCs w:val="32"/>
          <w:lang w:val="zh-CN" w:eastAsia="zh-CN" w:bidi="ar-SA"/>
        </w:rPr>
        <w:t>资金已全部支出</w:t>
      </w:r>
      <w:r>
        <w:rPr>
          <w:rFonts w:ascii="Times New Roman" w:eastAsia="仿宋_GB2312" w:hAnsi="Times New Roman"/>
          <w:b w:val="0"/>
          <w:color w:val="auto"/>
          <w:sz w:val="32"/>
          <w:szCs w:val="32"/>
        </w:rPr>
        <w:t>。</w:t>
      </w:r>
    </w:p>
    <w:p>
      <w:pPr>
        <w:widowControl/>
        <w:spacing w:before="0" w:beforeAutospacing="0" w:after="0" w:afterAutospacing="0" w:line="360" w:lineRule="auto"/>
        <w:ind w:firstLineChars="200" w:firstLine="640"/>
        <w:jc w:val="left"/>
        <w:rPr>
          <w:rFonts w:ascii="Times New Roman" w:eastAsia="仿宋_GB2312" w:hAnsi="Times New Roman"/>
          <w:color w:val="auto"/>
          <w:sz w:val="32"/>
          <w:szCs w:val="32"/>
        </w:rPr>
      </w:pPr>
      <w:r>
        <w:rPr>
          <w:rFonts w:ascii="Times New Roman" w:eastAsia="仿宋_GB2312" w:hAnsi="Times New Roman"/>
          <w:b/>
          <w:color w:val="auto"/>
          <w:sz w:val="32"/>
          <w:szCs w:val="32"/>
        </w:rPr>
        <w:t>（二）单位决算中项目绩效自评结果</w:t>
      </w:r>
    </w:p>
    <w:p>
      <w:pPr>
        <w:widowControl/>
        <w:spacing w:before="0" w:beforeAutospacing="0" w:after="0" w:afterAutospacing="0" w:line="360" w:lineRule="auto"/>
        <w:ind w:firstLineChars="200" w:firstLine="640"/>
        <w:jc w:val="left"/>
        <w:rPr>
          <w:rFonts w:ascii="Times New Roman" w:eastAsia="仿宋_GB2312" w:hAnsi="Times New Roman"/>
          <w:color w:val="auto"/>
          <w:sz w:val="32"/>
          <w:szCs w:val="32"/>
          <w:shd w:val="clear" w:color="auto" w:fill="auto"/>
        </w:rPr>
      </w:pPr>
      <w:r>
        <w:rPr>
          <w:rFonts w:ascii="Times New Roman" w:eastAsia="仿宋_GB2312" w:hAnsi="Times New Roman"/>
          <w:b w:val="0"/>
          <w:color w:val="auto"/>
          <w:sz w:val="32"/>
          <w:szCs w:val="32"/>
          <w:shd w:val="clear" w:color="auto" w:fill="auto"/>
        </w:rPr>
        <w:t>本单位在今年单位决算公开中反映</w:t>
      </w:r>
      <w:r>
        <w:rPr>
          <w:rFonts w:ascii="Times New Roman" w:eastAsia="仿宋_GB2312" w:hAnsi="Times New Roman" w:hint="eastAsia"/>
          <w:b w:val="0"/>
          <w:color w:val="auto"/>
          <w:sz w:val="32"/>
          <w:szCs w:val="32"/>
          <w:shd w:val="clear" w:color="auto" w:fill="auto"/>
          <w:lang w:val="en-US" w:eastAsia="zh-CN"/>
        </w:rPr>
        <w:t>1</w:t>
      </w:r>
      <w:r>
        <w:rPr>
          <w:rFonts w:ascii="Times New Roman" w:eastAsia="仿宋_GB2312" w:hAnsi="Times New Roman"/>
          <w:b w:val="0"/>
          <w:color w:val="auto"/>
          <w:sz w:val="32"/>
          <w:szCs w:val="32"/>
          <w:shd w:val="clear" w:color="auto" w:fill="auto"/>
        </w:rPr>
        <w:t>个项目绩效自评结果。</w:t>
      </w:r>
    </w:p>
    <w:p>
      <w:pPr>
        <w:widowControl/>
        <w:spacing w:before="0" w:beforeAutospacing="0" w:after="0" w:afterAutospacing="0" w:line="360" w:lineRule="auto"/>
        <w:ind w:firstLineChars="200" w:firstLine="640"/>
        <w:jc w:val="left"/>
        <w:rPr>
          <w:rFonts w:ascii="仿宋" w:eastAsia="仿宋" w:cs="仿宋" w:hAnsi="仿宋" w:hint="eastAsia"/>
          <w:color w:val="auto"/>
          <w:kern w:val="0"/>
          <w:sz w:val="32"/>
          <w:szCs w:val="32"/>
          <w:shd w:val="clear" w:color="auto" w:fill="auto"/>
          <w:lang w:eastAsia="zh-CN"/>
        </w:rPr>
      </w:pPr>
      <w:r>
        <w:rPr>
          <w:rFonts w:ascii="Times New Roman" w:eastAsia="仿宋_GB2312" w:hAnsi="Times New Roman"/>
          <w:b w:val="0"/>
          <w:color w:val="auto"/>
          <w:sz w:val="32"/>
          <w:szCs w:val="32"/>
          <w:shd w:val="clear" w:color="auto" w:fill="auto"/>
        </w:rPr>
        <w:t>项目绩效自评情况：根据年初设定的绩效目标</w:t>
      </w:r>
      <w:r>
        <w:rPr>
          <w:rFonts w:ascii="Times New Roman" w:eastAsia="仿宋_GB2312" w:hAnsi="Times New Roman" w:hint="eastAsia"/>
          <w:b w:val="0"/>
          <w:color w:val="auto"/>
          <w:sz w:val="32"/>
          <w:szCs w:val="32"/>
          <w:shd w:val="clear" w:color="auto" w:fill="auto"/>
          <w:lang w:val="en-US" w:eastAsia="zh-CN"/>
        </w:rPr>
        <w:t>,</w:t>
      </w:r>
      <w:r>
        <w:rPr>
          <w:rFonts w:ascii="Times New Roman" w:eastAsia="仿宋_GB2312" w:hAnsi="Times New Roman" w:hint="eastAsia"/>
          <w:b w:val="0"/>
          <w:color w:val="auto"/>
          <w:sz w:val="32"/>
          <w:szCs w:val="32"/>
          <w:shd w:val="clear" w:color="auto" w:fill="auto"/>
        </w:rPr>
        <w:t>石家庄行唐县无繁公路市同治超站治超资金</w:t>
      </w:r>
      <w:r>
        <w:rPr>
          <w:rFonts w:ascii="Times New Roman" w:eastAsia="仿宋_GB2312" w:hAnsi="Times New Roman"/>
          <w:b w:val="0"/>
          <w:color w:val="auto"/>
          <w:sz w:val="32"/>
          <w:szCs w:val="32"/>
          <w:shd w:val="clear" w:color="auto" w:fill="auto"/>
        </w:rPr>
        <w:t>项目绩效自评得分为</w:t>
      </w:r>
      <w:r>
        <w:rPr>
          <w:rFonts w:ascii="Times New Roman" w:eastAsia="仿宋_GB2312" w:hAnsi="Times New Roman" w:hint="eastAsia"/>
          <w:b w:val="0"/>
          <w:color w:val="auto"/>
          <w:sz w:val="32"/>
          <w:szCs w:val="32"/>
          <w:shd w:val="clear" w:color="auto" w:fill="auto"/>
          <w:lang w:val="en-US" w:eastAsia="zh-CN"/>
        </w:rPr>
        <w:t>100</w:t>
      </w:r>
      <w:r>
        <w:rPr>
          <w:rFonts w:ascii="Times New Roman" w:eastAsia="仿宋_GB2312" w:hAnsi="Times New Roman"/>
          <w:b w:val="0"/>
          <w:color w:val="auto"/>
          <w:sz w:val="32"/>
          <w:szCs w:val="32"/>
          <w:shd w:val="clear" w:color="auto" w:fill="auto"/>
        </w:rPr>
        <w:t>分（绩效自评表附后）。全年预算数为</w:t>
      </w:r>
      <w:r>
        <w:rPr>
          <w:rFonts w:ascii="Times New Roman" w:eastAsia="仿宋_GB2312" w:hAnsi="Times New Roman" w:hint="eastAsia"/>
          <w:b w:val="0"/>
          <w:color w:val="auto"/>
          <w:sz w:val="32"/>
          <w:szCs w:val="32"/>
          <w:shd w:val="clear" w:color="auto" w:fill="auto"/>
          <w:lang w:val="en-US" w:eastAsia="zh-CN"/>
        </w:rPr>
        <w:t>40</w:t>
      </w:r>
      <w:r>
        <w:rPr>
          <w:rFonts w:ascii="Times New Roman" w:eastAsia="仿宋_GB2312" w:hAnsi="Times New Roman"/>
          <w:b w:val="0"/>
          <w:color w:val="auto"/>
          <w:sz w:val="32"/>
          <w:szCs w:val="32"/>
          <w:shd w:val="clear" w:color="auto" w:fill="auto"/>
        </w:rPr>
        <w:t>万元，执行数为</w:t>
      </w:r>
      <w:r>
        <w:rPr>
          <w:rFonts w:ascii="Times New Roman" w:eastAsia="仿宋_GB2312" w:hAnsi="Times New Roman" w:hint="eastAsia"/>
          <w:b w:val="0"/>
          <w:color w:val="auto"/>
          <w:sz w:val="32"/>
          <w:szCs w:val="32"/>
          <w:shd w:val="clear" w:color="auto" w:fill="auto"/>
          <w:lang w:val="en-US" w:eastAsia="zh-CN"/>
        </w:rPr>
        <w:t>40</w:t>
      </w:r>
      <w:r>
        <w:rPr>
          <w:rFonts w:ascii="Times New Roman" w:eastAsia="仿宋_GB2312" w:hAnsi="Times New Roman"/>
          <w:b w:val="0"/>
          <w:color w:val="auto"/>
          <w:sz w:val="32"/>
          <w:szCs w:val="32"/>
          <w:shd w:val="clear" w:color="auto" w:fill="auto"/>
        </w:rPr>
        <w:t>万元，完成预算的</w:t>
      </w:r>
      <w:r>
        <w:rPr>
          <w:rFonts w:ascii="Times New Roman" w:eastAsia="仿宋_GB2312" w:hAnsi="Times New Roman" w:hint="eastAsia"/>
          <w:b w:val="0"/>
          <w:color w:val="auto"/>
          <w:sz w:val="32"/>
          <w:szCs w:val="32"/>
          <w:shd w:val="clear" w:color="auto" w:fill="auto"/>
          <w:lang w:val="en-US" w:eastAsia="zh-CN"/>
        </w:rPr>
        <w:t>100.0</w:t>
      </w:r>
      <w:r>
        <w:rPr>
          <w:rFonts w:ascii="Times New Roman" w:eastAsia="仿宋_GB2312" w:hAnsi="Times New Roman"/>
          <w:b w:val="0"/>
          <w:color w:val="auto"/>
          <w:sz w:val="32"/>
          <w:szCs w:val="32"/>
          <w:shd w:val="clear" w:color="auto" w:fill="auto"/>
        </w:rPr>
        <w:t>%。项目绩效目标完成情况：一是</w:t>
      </w:r>
      <w:r>
        <w:rPr>
          <w:rFonts w:ascii="仿宋" w:eastAsia="仿宋" w:cs="仿宋" w:hAnsi="仿宋" w:hint="eastAsia"/>
          <w:color w:val="auto"/>
          <w:kern w:val="0"/>
          <w:sz w:val="32"/>
          <w:szCs w:val="32"/>
          <w:shd w:val="clear" w:color="auto" w:fill="auto"/>
        </w:rPr>
        <w:t>用于完善治超站点建设及日常运行维护</w:t>
      </w:r>
      <w:r>
        <w:rPr>
          <w:rFonts w:ascii="Times New Roman" w:eastAsia="仿宋_GB2312" w:hAnsi="Times New Roman"/>
          <w:b w:val="0"/>
          <w:color w:val="auto"/>
          <w:sz w:val="32"/>
          <w:szCs w:val="32"/>
          <w:shd w:val="clear" w:color="auto" w:fill="auto"/>
        </w:rPr>
        <w:t>；二是</w:t>
      </w:r>
      <w:r>
        <w:rPr>
          <w:rFonts w:ascii="仿宋" w:eastAsia="仿宋" w:cs="仿宋" w:hAnsi="仿宋" w:hint="eastAsia"/>
          <w:color w:val="auto"/>
          <w:kern w:val="0"/>
          <w:sz w:val="32"/>
          <w:szCs w:val="32"/>
          <w:shd w:val="clear" w:color="auto" w:fill="auto"/>
        </w:rPr>
        <w:t>治超站建设及工作顺利开展</w:t>
      </w:r>
      <w:r>
        <w:rPr>
          <w:rFonts w:ascii="仿宋" w:eastAsia="仿宋" w:cs="仿宋" w:hAnsi="仿宋" w:hint="eastAsia"/>
          <w:color w:val="auto"/>
          <w:kern w:val="0"/>
          <w:sz w:val="32"/>
          <w:szCs w:val="32"/>
          <w:shd w:val="clear" w:color="auto" w:fill="auto"/>
          <w:lang w:eastAsia="zh-CN"/>
        </w:rPr>
        <w:t>。</w:t>
      </w:r>
    </w:p>
    <w:p>
      <w:pPr>
        <w:widowControl/>
        <w:spacing w:before="0" w:beforeAutospacing="0" w:after="0" w:afterAutospacing="0" w:line="360" w:lineRule="auto"/>
        <w:ind w:firstLineChars="200" w:firstLine="640"/>
        <w:jc w:val="left"/>
        <w:rPr>
          <w:rFonts w:ascii="仿宋" w:eastAsia="仿宋" w:cs="仿宋" w:hAnsi="仿宋" w:hint="eastAsia"/>
          <w:color w:val="auto"/>
          <w:kern w:val="0"/>
          <w:sz w:val="32"/>
          <w:szCs w:val="32"/>
          <w:shd w:val="clear" w:color="auto" w:fill="auto"/>
          <w:lang w:eastAsia="zh-CN"/>
        </w:rPr>
      </w:pPr>
    </w:p>
    <w:p>
      <w:pPr>
        <w:widowControl/>
        <w:spacing w:before="0" w:beforeAutospacing="0" w:after="0" w:afterAutospacing="0" w:line="360" w:lineRule="auto"/>
        <w:jc w:val="left"/>
        <w:rPr>
          <w:rFonts w:ascii="Times New Roman" w:eastAsia="仿宋_GB2312" w:hAnsi="Times New Roman" w:hint="eastAsia"/>
          <w:b/>
          <w:color w:val="0000FF"/>
          <w:sz w:val="32"/>
          <w:szCs w:val="32"/>
          <w:lang w:val="en-US" w:eastAsia="zh-CN"/>
        </w:rPr>
      </w:pPr>
      <w:r>
        <w:rPr>
          <w:rFonts w:ascii="Times New Roman" w:eastAsia="仿宋_GB2312" w:hAnsi="Times New Roman" w:hint="eastAsia"/>
          <w:b/>
          <w:color w:val="0000FF"/>
          <w:sz w:val="32"/>
          <w:szCs w:val="32"/>
          <w:lang w:val="en-US" w:eastAsia="zh-CN"/>
        </w:rPr>
        <w:t xml:space="preserve">    </w:t>
      </w:r>
    </w:p>
    <w:tbl>
      <w:tblPr>
        <w:jc w:val="left"/>
        <w:tblInd w:w="0" w:type="dxa"/>
        <w:tblW w:w="8490" w:type="dxa"/>
        <w:tblBorders>
          <w:top w:val="none" w:sz="0" w:space="0" w:color="auto"/>
          <w:left w:val="none" w:sz="0" w:space="0" w:color="auto"/>
          <w:bottom w:val="none" w:sz="0" w:space="0" w:color="auto"/>
          <w:right w:val="none" w:sz="0" w:space="0" w:color="auto"/>
        </w:tblBorders>
        <w:shd w:val="clear" w:color="auto" w:fill="auto"/>
        <w:tblLayout w:type="fixed"/>
        <w:tblCellMar>
          <w:top w:w="0" w:type="dxa"/>
          <w:left w:w="0" w:type="dxa"/>
          <w:bottom w:w="0" w:type="dxa"/>
          <w:right w:w="0" w:type="dxa"/>
        </w:tblCellMar>
      </w:tblPr>
      <w:tblGrid>
        <w:gridCol w:w="1536"/>
        <w:gridCol w:w="804"/>
        <w:gridCol w:w="598"/>
        <w:gridCol w:w="550"/>
        <w:gridCol w:w="60"/>
        <w:gridCol w:w="453"/>
        <w:gridCol w:w="145"/>
        <w:gridCol w:w="894"/>
        <w:gridCol w:w="990"/>
        <w:gridCol w:w="1030"/>
        <w:gridCol w:w="1430"/>
      </w:tblGrid>
      <w:tr>
        <w:trPr>
          <w:trHeight w:val="540"/>
        </w:trPr>
        <w:tc>
          <w:tcPr>
            <w:tcW w:w="8490" w:type="dxa"/>
            <w:gridSpan w:val="11"/>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方正小标宋_GBK" w:eastAsia="方正小标宋_GBK" w:cs="方正小标宋_GBK" w:hAnsi="方正小标宋_GBK"/>
                <w:i w:val="0"/>
                <w:color w:val="000000"/>
                <w:sz w:val="44"/>
                <w:szCs w:val="44"/>
                <w:u w:val="none"/>
              </w:rPr>
            </w:pPr>
            <w:r>
              <w:rPr>
                <w:rFonts w:ascii="方正小标宋_GBK" w:eastAsia="方正小标宋_GBK" w:cs="方正小标宋_GBK" w:hAnsi="方正小标宋_GBK" w:hint="eastAsia"/>
                <w:i w:val="0"/>
                <w:color w:val="000000"/>
                <w:kern w:val="0"/>
                <w:sz w:val="44"/>
                <w:szCs w:val="44"/>
                <w:u w:val="none"/>
                <w:bdr w:val="none" w:sz="0" w:space="0" w:color="auto"/>
                <w:lang w:val="en-US" w:eastAsia="zh-CN"/>
              </w:rPr>
              <w:t>县级单位预算项目绩效自评表</w:t>
            </w:r>
          </w:p>
        </w:tc>
      </w:tr>
      <w:tr>
        <w:trPr>
          <w:trHeight w:val="315"/>
        </w:trPr>
        <w:tc>
          <w:tcPr>
            <w:tcW w:w="8490" w:type="dxa"/>
            <w:gridSpan w:val="11"/>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 2024年度）</w:t>
            </w:r>
          </w:p>
        </w:tc>
      </w:tr>
      <w:tr>
        <w:trPr>
          <w:trHeight w:val="360"/>
        </w:trPr>
        <w:tc>
          <w:tcPr>
            <w:tcW w:w="1536"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填报单位：</w:t>
            </w:r>
          </w:p>
        </w:tc>
        <w:tc>
          <w:tcPr>
            <w:tcW w:w="1402" w:type="dxa"/>
            <w:gridSpan w:val="2"/>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行唐县交通运输局</w:t>
            </w:r>
          </w:p>
        </w:tc>
        <w:tc>
          <w:tcPr>
            <w:tcW w:w="1208" w:type="dxa"/>
            <w:gridSpan w:val="4"/>
            <w:tcBorders>
              <w:top w:val="nil"/>
              <w:left w:val="nil"/>
              <w:bottom w:val="nil"/>
              <w:right w:val="nil"/>
            </w:tcBorders>
            <w:shd w:val="clear" w:color="auto" w:fill="auto"/>
            <w:noWrap/>
            <w:tcMar>
              <w:top w:w="15" w:type="dxa"/>
              <w:left w:w="15" w:type="dxa"/>
              <w:right w:w="15" w:type="dxa"/>
            </w:tcMar>
            <w:vAlign w:val="center"/>
          </w:tcPr>
          <w:p>
            <w:pPr>
              <w:jc w:val="center"/>
              <w:rPr>
                <w:rFonts w:ascii="宋体" w:eastAsia="宋体" w:cs="宋体" w:hAnsi="宋体" w:hint="eastAsia"/>
                <w:i w:val="0"/>
                <w:color w:val="000000"/>
                <w:sz w:val="20"/>
                <w:szCs w:val="20"/>
                <w:u w:val="none"/>
              </w:rPr>
            </w:pPr>
          </w:p>
        </w:tc>
        <w:tc>
          <w:tcPr>
            <w:tcW w:w="894" w:type="dxa"/>
            <w:tcBorders>
              <w:top w:val="nil"/>
              <w:left w:val="nil"/>
              <w:bottom w:val="nil"/>
              <w:right w:val="nil"/>
            </w:tcBorders>
            <w:shd w:val="clear" w:color="auto" w:fill="auto"/>
            <w:noWrap/>
            <w:tcMar>
              <w:top w:w="15" w:type="dxa"/>
              <w:left w:w="15" w:type="dxa"/>
              <w:right w:w="15" w:type="dxa"/>
            </w:tcMar>
            <w:vAlign w:val="center"/>
          </w:tcPr>
          <w:p>
            <w:pPr>
              <w:jc w:val="center"/>
              <w:rPr>
                <w:rFonts w:ascii="宋体" w:eastAsia="宋体" w:cs="宋体" w:hAnsi="宋体" w:hint="eastAsia"/>
                <w:i w:val="0"/>
                <w:color w:val="000000"/>
                <w:sz w:val="20"/>
                <w:szCs w:val="20"/>
                <w:u w:val="none"/>
              </w:rPr>
            </w:pPr>
          </w:p>
        </w:tc>
        <w:tc>
          <w:tcPr>
            <w:tcW w:w="990" w:type="dxa"/>
            <w:tcBorders>
              <w:top w:val="nil"/>
              <w:left w:val="nil"/>
              <w:bottom w:val="nil"/>
              <w:right w:val="nil"/>
            </w:tcBorders>
            <w:shd w:val="clear" w:color="auto" w:fill="auto"/>
            <w:noWrap/>
            <w:tcMar>
              <w:top w:w="15" w:type="dxa"/>
              <w:left w:w="15" w:type="dxa"/>
              <w:right w:w="15" w:type="dxa"/>
            </w:tcMar>
            <w:vAlign w:val="center"/>
          </w:tcPr>
          <w:p>
            <w:pPr>
              <w:jc w:val="center"/>
              <w:rPr>
                <w:rFonts w:ascii="宋体" w:eastAsia="宋体" w:cs="宋体" w:hAnsi="宋体" w:hint="eastAsia"/>
                <w:i w:val="0"/>
                <w:color w:val="000000"/>
                <w:sz w:val="20"/>
                <w:szCs w:val="20"/>
                <w:u w:val="none"/>
              </w:rPr>
            </w:pPr>
          </w:p>
        </w:tc>
        <w:tc>
          <w:tcPr>
            <w:tcW w:w="1030" w:type="dxa"/>
            <w:tcBorders>
              <w:top w:val="nil"/>
              <w:left w:val="nil"/>
              <w:bottom w:val="nil"/>
              <w:right w:val="nil"/>
            </w:tcBorders>
            <w:shd w:val="clear" w:color="auto" w:fill="auto"/>
            <w:noWrap/>
            <w:tcMar>
              <w:top w:w="15" w:type="dxa"/>
              <w:left w:w="15" w:type="dxa"/>
              <w:right w:w="15" w:type="dxa"/>
            </w:tcMar>
            <w:vAlign w:val="center"/>
          </w:tcPr>
          <w:p>
            <w:pPr>
              <w:jc w:val="center"/>
              <w:rPr>
                <w:rFonts w:ascii="宋体" w:eastAsia="宋体" w:cs="宋体" w:hAnsi="宋体" w:hint="eastAsia"/>
                <w:i w:val="0"/>
                <w:color w:val="000000"/>
                <w:sz w:val="20"/>
                <w:szCs w:val="20"/>
                <w:u w:val="none"/>
              </w:rPr>
            </w:pPr>
          </w:p>
        </w:tc>
        <w:tc>
          <w:tcPr>
            <w:tcW w:w="1430"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金额单位：万元</w:t>
            </w:r>
          </w:p>
        </w:tc>
      </w:tr>
      <w:tr>
        <w:trPr>
          <w:trHeight w:val="1120"/>
        </w:trPr>
        <w:tc>
          <w:tcPr>
            <w:tcW w:w="1536" w:type="dxa"/>
            <w:tcBorders>
              <w:top w:val="single" w:sz="4" w:space="0" w:color="000000"/>
              <w:left w:val="single" w:sz="4" w:space="0" w:color="000000"/>
              <w:bottom w:val="nil"/>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一、</w:t>
            </w:r>
            <w:r>
              <w:rPr>
                <w:rFonts w:ascii="Calibri" w:eastAsia="宋体" w:cs="Calibri" w:hAnsi="Calibri"/>
                <w:i w:val="0"/>
                <w:color w:val="000000"/>
                <w:kern w:val="0"/>
                <w:sz w:val="20"/>
                <w:szCs w:val="20"/>
                <w:u w:val="none"/>
                <w:bdr w:val="none" w:sz="0" w:space="0" w:color="auto"/>
                <w:lang w:val="en-US" w:eastAsia="zh-CN"/>
              </w:rPr>
              <w:t xml:space="preserve"> </w:t>
            </w:r>
            <w:r>
              <w:rPr>
                <w:rFonts w:ascii="宋体" w:eastAsia="宋体" w:cs="宋体" w:hAnsi="宋体" w:hint="eastAsia"/>
                <w:i w:val="0"/>
                <w:color w:val="000000"/>
                <w:kern w:val="0"/>
                <w:sz w:val="20"/>
                <w:szCs w:val="20"/>
                <w:u w:val="none"/>
                <w:bdr w:val="none" w:sz="0" w:space="0" w:color="auto"/>
                <w:lang w:val="en-US" w:eastAsia="zh-CN"/>
              </w:rPr>
              <w:t>基本情况</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项目名称</w:t>
            </w:r>
          </w:p>
        </w:tc>
        <w:tc>
          <w:tcPr>
            <w:tcW w:w="1806" w:type="dxa"/>
            <w:gridSpan w:val="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石家庄行唐县无繁公路市同治超站治超资金</w:t>
            </w:r>
          </w:p>
        </w:tc>
        <w:tc>
          <w:tcPr>
            <w:tcW w:w="89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实施(主管）单位</w:t>
            </w:r>
          </w:p>
        </w:tc>
        <w:tc>
          <w:tcPr>
            <w:tcW w:w="3450"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行唐县交通运输局</w:t>
            </w:r>
          </w:p>
        </w:tc>
      </w:tr>
      <w:tr>
        <w:trPr>
          <w:trHeight w:val="480"/>
        </w:trPr>
        <w:tc>
          <w:tcPr>
            <w:tcW w:w="1536"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二、预算执行情况</w:t>
            </w:r>
          </w:p>
        </w:tc>
        <w:tc>
          <w:tcPr>
            <w:tcW w:w="1402"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预算安排情况（调整后）</w:t>
            </w:r>
          </w:p>
        </w:tc>
        <w:tc>
          <w:tcPr>
            <w:tcW w:w="2102" w:type="dxa"/>
            <w:gridSpan w:val="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资金到位情况</w:t>
            </w:r>
          </w:p>
        </w:tc>
        <w:tc>
          <w:tcPr>
            <w:tcW w:w="2020" w:type="dxa"/>
            <w:gridSpan w:val="2"/>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资金执行情况</w:t>
            </w:r>
          </w:p>
        </w:tc>
        <w:tc>
          <w:tcPr>
            <w:tcW w:w="14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预算执行进度</w:t>
            </w:r>
          </w:p>
        </w:tc>
      </w:tr>
      <w:tr>
        <w:trPr>
          <w:trHeight w:val="420"/>
        </w:trPr>
        <w:tc>
          <w:tcPr>
            <w:tcW w:w="1536"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预算数：</w:t>
            </w:r>
          </w:p>
        </w:tc>
        <w:tc>
          <w:tcPr>
            <w:tcW w:w="59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40</w:t>
            </w:r>
          </w:p>
        </w:tc>
        <w:tc>
          <w:tcPr>
            <w:tcW w:w="1208" w:type="dxa"/>
            <w:gridSpan w:val="4"/>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到位数：</w:t>
            </w:r>
          </w:p>
        </w:tc>
        <w:tc>
          <w:tcPr>
            <w:tcW w:w="89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40</w:t>
            </w:r>
          </w:p>
        </w:tc>
        <w:tc>
          <w:tcPr>
            <w:tcW w:w="99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执行数：</w:t>
            </w:r>
          </w:p>
        </w:tc>
        <w:tc>
          <w:tcPr>
            <w:tcW w:w="1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40</w:t>
            </w:r>
          </w:p>
        </w:tc>
        <w:tc>
          <w:tcPr>
            <w:tcW w:w="1430"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100%</w:t>
            </w:r>
          </w:p>
        </w:tc>
      </w:tr>
      <w:tr>
        <w:trPr>
          <w:trHeight w:val="680"/>
        </w:trPr>
        <w:tc>
          <w:tcPr>
            <w:tcW w:w="1536"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其中：                 财政资金</w:t>
            </w:r>
          </w:p>
        </w:tc>
        <w:tc>
          <w:tcPr>
            <w:tcW w:w="59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40</w:t>
            </w:r>
          </w:p>
        </w:tc>
        <w:tc>
          <w:tcPr>
            <w:tcW w:w="1208" w:type="dxa"/>
            <w:gridSpan w:val="4"/>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其中：                      财政资金</w:t>
            </w:r>
          </w:p>
        </w:tc>
        <w:tc>
          <w:tcPr>
            <w:tcW w:w="89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40</w:t>
            </w:r>
          </w:p>
        </w:tc>
        <w:tc>
          <w:tcPr>
            <w:tcW w:w="99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其中：                     财政资金</w:t>
            </w:r>
          </w:p>
        </w:tc>
        <w:tc>
          <w:tcPr>
            <w:tcW w:w="1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40</w:t>
            </w:r>
          </w:p>
        </w:tc>
        <w:tc>
          <w:tcPr>
            <w:tcW w:w="1430"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tc>
      </w:tr>
      <w:tr>
        <w:trPr>
          <w:trHeight w:val="405"/>
        </w:trPr>
        <w:tc>
          <w:tcPr>
            <w:tcW w:w="1536"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其他</w:t>
            </w:r>
          </w:p>
        </w:tc>
        <w:tc>
          <w:tcPr>
            <w:tcW w:w="59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jc w:val="left"/>
              <w:rPr>
                <w:rFonts w:ascii="Calibri" w:eastAsia="宋体" w:cs="Calibri" w:hAnsi="Calibri"/>
                <w:i w:val="0"/>
                <w:color w:val="000000"/>
                <w:sz w:val="20"/>
                <w:szCs w:val="20"/>
                <w:u w:val="none"/>
              </w:rPr>
            </w:pPr>
          </w:p>
        </w:tc>
        <w:tc>
          <w:tcPr>
            <w:tcW w:w="1208" w:type="dxa"/>
            <w:gridSpan w:val="4"/>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其他</w:t>
            </w:r>
          </w:p>
        </w:tc>
        <w:tc>
          <w:tcPr>
            <w:tcW w:w="89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jc w:val="left"/>
              <w:rPr>
                <w:rFonts w:ascii="宋体" w:eastAsia="宋体" w:cs="宋体" w:hAnsi="宋体" w:hint="eastAsia"/>
                <w:i w:val="0"/>
                <w:color w:val="000000"/>
                <w:sz w:val="20"/>
                <w:szCs w:val="20"/>
                <w:u w:val="none"/>
              </w:rPr>
            </w:pPr>
          </w:p>
        </w:tc>
        <w:tc>
          <w:tcPr>
            <w:tcW w:w="99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其他</w:t>
            </w:r>
          </w:p>
        </w:tc>
        <w:tc>
          <w:tcPr>
            <w:tcW w:w="1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jc w:val="left"/>
              <w:rPr>
                <w:rFonts w:ascii="宋体" w:eastAsia="宋体" w:cs="宋体" w:hAnsi="宋体" w:hint="eastAsia"/>
                <w:i w:val="0"/>
                <w:color w:val="000000"/>
                <w:sz w:val="20"/>
                <w:szCs w:val="20"/>
                <w:u w:val="none"/>
              </w:rPr>
            </w:pPr>
          </w:p>
        </w:tc>
        <w:tc>
          <w:tcPr>
            <w:tcW w:w="1430"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tc>
      </w:tr>
      <w:tr>
        <w:trPr>
          <w:trHeight w:val="465"/>
        </w:trPr>
        <w:tc>
          <w:tcPr>
            <w:tcW w:w="1536"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三、目标完成情况</w:t>
            </w:r>
          </w:p>
        </w:tc>
        <w:tc>
          <w:tcPr>
            <w:tcW w:w="2610" w:type="dxa"/>
            <w:gridSpan w:val="6"/>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年度预期目标</w:t>
            </w:r>
          </w:p>
        </w:tc>
        <w:tc>
          <w:tcPr>
            <w:tcW w:w="2914"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具体完成情况</w:t>
            </w:r>
          </w:p>
        </w:tc>
        <w:tc>
          <w:tcPr>
            <w:tcW w:w="14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总体完成率</w:t>
            </w:r>
          </w:p>
        </w:tc>
      </w:tr>
      <w:tr>
        <w:trPr>
          <w:trHeight w:val="120"/>
        </w:trPr>
        <w:tc>
          <w:tcPr>
            <w:tcW w:w="1536"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tc>
        <w:tc>
          <w:tcPr>
            <w:tcW w:w="2610" w:type="dxa"/>
            <w:gridSpan w:val="6"/>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按照广泛宣传、统一行动、多方合作，对车辆超限超载进行综合治理，坚决打击车辆超限超载违法行为，确保治超工作开展顺利，全额用于治超站点。为了保护公路路面没确保公路使用年限。</w:t>
            </w:r>
          </w:p>
        </w:tc>
        <w:tc>
          <w:tcPr>
            <w:tcW w:w="2914" w:type="dxa"/>
            <w:gridSpan w:val="3"/>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已完成</w:t>
            </w:r>
          </w:p>
        </w:tc>
        <w:tc>
          <w:tcPr>
            <w:tcW w:w="1430"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100%</w:t>
            </w:r>
          </w:p>
        </w:tc>
      </w:tr>
      <w:tr>
        <w:trPr>
          <w:trHeight w:val="220"/>
        </w:trPr>
        <w:tc>
          <w:tcPr>
            <w:tcW w:w="1536"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tc>
        <w:tc>
          <w:tcPr>
            <w:tcW w:w="2610" w:type="dxa"/>
            <w:gridSpan w:val="6"/>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tc>
        <w:tc>
          <w:tcPr>
            <w:tcW w:w="2914" w:type="dxa"/>
            <w:gridSpan w:val="3"/>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tc>
        <w:tc>
          <w:tcPr>
            <w:tcW w:w="1430"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tc>
      </w:tr>
      <w:tr>
        <w:trPr>
          <w:trHeight w:val="1080"/>
        </w:trPr>
        <w:tc>
          <w:tcPr>
            <w:tcW w:w="1536"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tc>
        <w:tc>
          <w:tcPr>
            <w:tcW w:w="2610" w:type="dxa"/>
            <w:gridSpan w:val="6"/>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tc>
        <w:tc>
          <w:tcPr>
            <w:tcW w:w="2914" w:type="dxa"/>
            <w:gridSpan w:val="3"/>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tc>
        <w:tc>
          <w:tcPr>
            <w:tcW w:w="1430"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tc>
      </w:tr>
      <w:tr>
        <w:trPr>
          <w:trHeight w:val="540"/>
        </w:trPr>
        <w:tc>
          <w:tcPr>
            <w:tcW w:w="1536" w:type="dxa"/>
            <w:vMerge w:val="restart"/>
            <w:tcBorders>
              <w:top w:val="single" w:sz="4" w:space="0" w:color="000000"/>
              <w:left w:val="single" w:sz="4" w:space="0" w:color="000000"/>
              <w:bottom w:val="single" w:sz="4" w:space="0" w:color="000000"/>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四、</w:t>
            </w:r>
            <w:r>
              <w:rPr>
                <w:rFonts w:ascii="Calibri" w:eastAsia="宋体" w:cs="Calibri" w:hAnsi="Calibri"/>
                <w:i w:val="0"/>
                <w:color w:val="000000"/>
                <w:kern w:val="0"/>
                <w:sz w:val="20"/>
                <w:szCs w:val="20"/>
                <w:u w:val="none"/>
                <w:bdr w:val="none" w:sz="0" w:space="0" w:color="auto"/>
                <w:lang w:val="en-US" w:eastAsia="zh-CN"/>
              </w:rPr>
              <w:t xml:space="preserve"> </w:t>
            </w:r>
            <w:r>
              <w:rPr>
                <w:rFonts w:ascii="宋体" w:eastAsia="宋体" w:cs="宋体" w:hAnsi="宋体" w:hint="eastAsia"/>
                <w:i w:val="0"/>
                <w:color w:val="000000"/>
                <w:kern w:val="0"/>
                <w:sz w:val="20"/>
                <w:szCs w:val="20"/>
                <w:u w:val="none"/>
                <w:bdr w:val="none" w:sz="0" w:space="0" w:color="auto"/>
                <w:lang w:val="en-US" w:eastAsia="zh-CN"/>
              </w:rPr>
              <w:t>年度绩效指标完成情况</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一级指标</w:t>
            </w:r>
          </w:p>
        </w:tc>
        <w:tc>
          <w:tcPr>
            <w:tcW w:w="59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二级指标</w:t>
            </w:r>
          </w:p>
        </w:tc>
        <w:tc>
          <w:tcPr>
            <w:tcW w:w="2102" w:type="dxa"/>
            <w:gridSpan w:val="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三级指标</w:t>
            </w:r>
          </w:p>
        </w:tc>
        <w:tc>
          <w:tcPr>
            <w:tcW w:w="99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预期指标值</w:t>
            </w:r>
          </w:p>
        </w:tc>
        <w:tc>
          <w:tcPr>
            <w:tcW w:w="1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实际完成值</w:t>
            </w:r>
          </w:p>
        </w:tc>
        <w:tc>
          <w:tcPr>
            <w:tcW w:w="14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自评得分</w:t>
            </w:r>
          </w:p>
        </w:tc>
      </w:tr>
      <w:tr>
        <w:trPr>
          <w:trHeight w:val="660"/>
        </w:trPr>
        <w:tc>
          <w:tcPr>
            <w:tcW w:w="1536" w:type="dxa"/>
            <w:vMerge/>
            <w:tcBorders>
              <w:top w:val="single" w:sz="4" w:space="0" w:color="000000"/>
              <w:left w:val="single" w:sz="4" w:space="0" w:color="000000"/>
              <w:bottom w:val="single" w:sz="4" w:space="0" w:color="000000"/>
              <w:right w:val="nil"/>
            </w:tcBorders>
            <w:shd w:val="clear" w:color="auto" w:fill="auto"/>
            <w:noWrap/>
            <w:tcMar>
              <w:top w:w="15" w:type="dxa"/>
              <w:left w:w="15" w:type="dxa"/>
              <w:right w:w="15" w:type="dxa"/>
            </w:tcMar>
            <w:vAlign w:val="center"/>
          </w:tcPr>
          <w:p/>
        </w:tc>
        <w:tc>
          <w:tcPr>
            <w:tcW w:w="804" w:type="dxa"/>
            <w:vMerge w:val="restart"/>
            <w:tcBorders>
              <w:top w:val="single" w:sz="4" w:space="0" w:color="000000"/>
              <w:left w:val="single" w:sz="4" w:space="0" w:color="000000"/>
              <w:bottom w:val="nil"/>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产出指标（40）</w:t>
            </w:r>
          </w:p>
        </w:tc>
        <w:tc>
          <w:tcPr>
            <w:tcW w:w="598" w:type="dxa"/>
            <w:tcBorders>
              <w:top w:val="single" w:sz="4" w:space="0" w:color="000000"/>
              <w:left w:val="single" w:sz="4" w:space="0" w:color="000000"/>
              <w:bottom w:val="nil"/>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数量指标</w:t>
            </w:r>
          </w:p>
        </w:tc>
        <w:tc>
          <w:tcPr>
            <w:tcW w:w="2102" w:type="dxa"/>
            <w:gridSpan w:val="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用于治超站</w:t>
            </w:r>
          </w:p>
        </w:tc>
        <w:tc>
          <w:tcPr>
            <w:tcW w:w="99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18"/>
                <w:szCs w:val="18"/>
                <w:u w:val="none"/>
              </w:rPr>
            </w:pPr>
            <w:r>
              <w:rPr>
                <w:rFonts w:ascii="宋体" w:eastAsia="宋体" w:cs="宋体" w:hAnsi="宋体" w:hint="eastAsia"/>
                <w:i w:val="0"/>
                <w:color w:val="000000"/>
                <w:kern w:val="0"/>
                <w:sz w:val="18"/>
                <w:szCs w:val="18"/>
                <w:u w:val="none"/>
                <w:bdr w:val="none" w:sz="0" w:space="0" w:color="auto"/>
                <w:lang w:val="en-US" w:eastAsia="zh-CN"/>
              </w:rPr>
              <w:t>1</w:t>
            </w:r>
          </w:p>
        </w:tc>
        <w:tc>
          <w:tcPr>
            <w:tcW w:w="1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18"/>
                <w:szCs w:val="18"/>
                <w:u w:val="none"/>
              </w:rPr>
            </w:pPr>
            <w:r>
              <w:rPr>
                <w:rFonts w:ascii="宋体" w:eastAsia="宋体" w:cs="宋体" w:hAnsi="宋体" w:hint="eastAsia"/>
                <w:i w:val="0"/>
                <w:color w:val="000000"/>
                <w:kern w:val="0"/>
                <w:sz w:val="18"/>
                <w:szCs w:val="18"/>
                <w:u w:val="none"/>
                <w:bdr w:val="none" w:sz="0" w:space="0" w:color="auto"/>
                <w:lang w:val="en-US" w:eastAsia="zh-CN"/>
              </w:rPr>
              <w:t>100%</w:t>
            </w:r>
          </w:p>
        </w:tc>
        <w:tc>
          <w:tcPr>
            <w:tcW w:w="14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10</w:t>
            </w:r>
          </w:p>
        </w:tc>
      </w:tr>
      <w:tr>
        <w:trPr>
          <w:trHeight w:val="880"/>
        </w:trPr>
        <w:tc>
          <w:tcPr>
            <w:tcW w:w="1536" w:type="dxa"/>
            <w:vMerge/>
            <w:tcBorders>
              <w:top w:val="single" w:sz="4" w:space="0" w:color="000000"/>
              <w:left w:val="single" w:sz="4" w:space="0" w:color="000000"/>
              <w:bottom w:val="single" w:sz="4" w:space="0" w:color="000000"/>
              <w:right w:val="nil"/>
            </w:tcBorders>
            <w:shd w:val="clear" w:color="auto" w:fill="auto"/>
            <w:noWrap/>
            <w:tcMar>
              <w:top w:w="15" w:type="dxa"/>
              <w:left w:w="15" w:type="dxa"/>
              <w:right w:w="15" w:type="dxa"/>
            </w:tcMar>
            <w:vAlign w:val="center"/>
          </w:tcPr>
          <w:p/>
        </w:tc>
        <w:tc>
          <w:tcPr>
            <w:tcW w:w="804" w:type="dxa"/>
            <w:vMerge/>
            <w:tcBorders>
              <w:top w:val="single" w:sz="4" w:space="0" w:color="000000"/>
              <w:left w:val="single" w:sz="4" w:space="0" w:color="000000"/>
              <w:bottom w:val="nil"/>
              <w:right w:val="single" w:sz="4" w:space="0" w:color="000000"/>
            </w:tcBorders>
            <w:shd w:val="clear" w:color="auto" w:fill="auto"/>
            <w:noWrap/>
            <w:tcMar>
              <w:top w:w="15" w:type="dxa"/>
              <w:left w:w="15" w:type="dxa"/>
              <w:right w:w="15" w:type="dxa"/>
            </w:tcMar>
            <w:vAlign w:val="center"/>
          </w:tcPr>
          <w:p/>
        </w:tc>
        <w:tc>
          <w:tcPr>
            <w:tcW w:w="59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质量指标</w:t>
            </w:r>
          </w:p>
        </w:tc>
        <w:tc>
          <w:tcPr>
            <w:tcW w:w="2102" w:type="dxa"/>
            <w:gridSpan w:val="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结项鉴定优秀等级项目数量占结项总数</w:t>
            </w:r>
          </w:p>
        </w:tc>
        <w:tc>
          <w:tcPr>
            <w:tcW w:w="99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Calibri" w:eastAsia="宋体" w:cs="Calibri" w:hAnsi="Calibri"/>
                <w:i w:val="0"/>
                <w:color w:val="000000"/>
                <w:sz w:val="20"/>
                <w:szCs w:val="20"/>
                <w:u w:val="none"/>
              </w:rPr>
            </w:pPr>
            <w:r>
              <w:rPr>
                <w:rFonts w:ascii="Calibri" w:eastAsia="宋体" w:cs="Calibri" w:hAnsi="Calibri"/>
                <w:i w:val="0"/>
                <w:color w:val="000000"/>
                <w:kern w:val="0"/>
                <w:sz w:val="20"/>
                <w:szCs w:val="20"/>
                <w:u w:val="none"/>
                <w:bdr w:val="none" w:sz="0" w:space="0" w:color="auto"/>
                <w:lang w:val="en-US" w:eastAsia="zh-CN"/>
              </w:rPr>
              <w:t>99%</w:t>
            </w:r>
          </w:p>
        </w:tc>
        <w:tc>
          <w:tcPr>
            <w:tcW w:w="1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18"/>
                <w:szCs w:val="18"/>
                <w:u w:val="none"/>
              </w:rPr>
            </w:pPr>
            <w:r>
              <w:rPr>
                <w:rFonts w:ascii="宋体" w:eastAsia="宋体" w:cs="宋体" w:hAnsi="宋体" w:hint="eastAsia"/>
                <w:i w:val="0"/>
                <w:color w:val="000000"/>
                <w:kern w:val="0"/>
                <w:sz w:val="18"/>
                <w:szCs w:val="18"/>
                <w:u w:val="none"/>
                <w:bdr w:val="none" w:sz="0" w:space="0" w:color="auto"/>
                <w:lang w:val="en-US" w:eastAsia="zh-CN"/>
              </w:rPr>
              <w:t>100%</w:t>
            </w:r>
          </w:p>
        </w:tc>
        <w:tc>
          <w:tcPr>
            <w:tcW w:w="14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Calibri" w:eastAsia="宋体" w:cs="Calibri" w:hAnsi="Calibri"/>
                <w:i w:val="0"/>
                <w:color w:val="000000"/>
                <w:sz w:val="20"/>
                <w:szCs w:val="20"/>
                <w:u w:val="none"/>
              </w:rPr>
            </w:pPr>
            <w:r>
              <w:rPr>
                <w:rFonts w:ascii="Calibri" w:eastAsia="宋体" w:cs="Calibri" w:hAnsi="Calibri"/>
                <w:i w:val="0"/>
                <w:color w:val="000000"/>
                <w:kern w:val="0"/>
                <w:sz w:val="20"/>
                <w:szCs w:val="20"/>
                <w:u w:val="none"/>
                <w:bdr w:val="none" w:sz="0" w:space="0" w:color="auto"/>
                <w:lang w:val="en-US" w:eastAsia="zh-CN"/>
              </w:rPr>
              <w:t>10</w:t>
            </w:r>
          </w:p>
        </w:tc>
      </w:tr>
      <w:tr>
        <w:trPr>
          <w:trHeight w:val="580"/>
        </w:trPr>
        <w:tc>
          <w:tcPr>
            <w:tcW w:w="1536" w:type="dxa"/>
            <w:vMerge/>
            <w:tcBorders>
              <w:top w:val="single" w:sz="4" w:space="0" w:color="000000"/>
              <w:left w:val="single" w:sz="4" w:space="0" w:color="000000"/>
              <w:bottom w:val="single" w:sz="4" w:space="0" w:color="000000"/>
              <w:right w:val="nil"/>
            </w:tcBorders>
            <w:shd w:val="clear" w:color="auto" w:fill="auto"/>
            <w:noWrap/>
            <w:tcMar>
              <w:top w:w="15" w:type="dxa"/>
              <w:left w:w="15" w:type="dxa"/>
              <w:right w:w="15" w:type="dxa"/>
            </w:tcMar>
            <w:vAlign w:val="center"/>
          </w:tcPr>
          <w:p/>
        </w:tc>
        <w:tc>
          <w:tcPr>
            <w:tcW w:w="804" w:type="dxa"/>
            <w:vMerge/>
            <w:tcBorders>
              <w:top w:val="single" w:sz="4" w:space="0" w:color="000000"/>
              <w:left w:val="single" w:sz="4" w:space="0" w:color="000000"/>
              <w:bottom w:val="nil"/>
              <w:right w:val="single" w:sz="4" w:space="0" w:color="000000"/>
            </w:tcBorders>
            <w:shd w:val="clear" w:color="auto" w:fill="auto"/>
            <w:noWrap/>
            <w:tcMar>
              <w:top w:w="15" w:type="dxa"/>
              <w:left w:w="15" w:type="dxa"/>
              <w:right w:w="15" w:type="dxa"/>
            </w:tcMar>
            <w:vAlign w:val="center"/>
          </w:tcPr>
          <w:p/>
        </w:tc>
        <w:tc>
          <w:tcPr>
            <w:tcW w:w="59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时效指标</w:t>
            </w:r>
          </w:p>
        </w:tc>
        <w:tc>
          <w:tcPr>
            <w:tcW w:w="2102" w:type="dxa"/>
            <w:gridSpan w:val="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各项任务完成及时率（%）</w:t>
            </w:r>
          </w:p>
        </w:tc>
        <w:tc>
          <w:tcPr>
            <w:tcW w:w="99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Calibri" w:eastAsia="宋体" w:cs="Calibri" w:hAnsi="Calibri"/>
                <w:i w:val="0"/>
                <w:color w:val="000000"/>
                <w:sz w:val="20"/>
                <w:szCs w:val="20"/>
                <w:u w:val="none"/>
              </w:rPr>
            </w:pPr>
            <w:r>
              <w:rPr>
                <w:rFonts w:ascii="Calibri" w:eastAsia="宋体" w:cs="Calibri" w:hAnsi="Calibri"/>
                <w:i w:val="0"/>
                <w:color w:val="000000"/>
                <w:kern w:val="0"/>
                <w:sz w:val="20"/>
                <w:szCs w:val="20"/>
                <w:u w:val="none"/>
                <w:bdr w:val="none" w:sz="0" w:space="0" w:color="auto"/>
                <w:lang w:val="en-US" w:eastAsia="zh-CN"/>
              </w:rPr>
              <w:t>95%</w:t>
            </w:r>
          </w:p>
        </w:tc>
        <w:tc>
          <w:tcPr>
            <w:tcW w:w="1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Calibri" w:eastAsia="宋体" w:cs="Calibri" w:hAnsi="Calibri"/>
                <w:i w:val="0"/>
                <w:color w:val="000000"/>
                <w:sz w:val="20"/>
                <w:szCs w:val="20"/>
                <w:u w:val="none"/>
              </w:rPr>
            </w:pPr>
            <w:r>
              <w:rPr>
                <w:rFonts w:ascii="Calibri" w:eastAsia="宋体" w:cs="Calibri" w:hAnsi="Calibri"/>
                <w:i w:val="0"/>
                <w:color w:val="000000"/>
                <w:kern w:val="0"/>
                <w:sz w:val="20"/>
                <w:szCs w:val="20"/>
                <w:u w:val="none"/>
                <w:bdr w:val="none" w:sz="0" w:space="0" w:color="auto"/>
                <w:lang w:val="en-US" w:eastAsia="zh-CN"/>
              </w:rPr>
              <w:t>100%</w:t>
            </w:r>
          </w:p>
        </w:tc>
        <w:tc>
          <w:tcPr>
            <w:tcW w:w="14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Calibri" w:eastAsia="宋体" w:cs="Calibri" w:hAnsi="Calibri"/>
                <w:i w:val="0"/>
                <w:color w:val="000000"/>
                <w:sz w:val="20"/>
                <w:szCs w:val="20"/>
                <w:u w:val="none"/>
              </w:rPr>
            </w:pPr>
            <w:r>
              <w:rPr>
                <w:rFonts w:ascii="Calibri" w:eastAsia="宋体" w:cs="Calibri" w:hAnsi="Calibri"/>
                <w:i w:val="0"/>
                <w:color w:val="000000"/>
                <w:kern w:val="0"/>
                <w:sz w:val="20"/>
                <w:szCs w:val="20"/>
                <w:u w:val="none"/>
                <w:bdr w:val="none" w:sz="0" w:space="0" w:color="auto"/>
                <w:lang w:val="en-US" w:eastAsia="zh-CN"/>
              </w:rPr>
              <w:t>10</w:t>
            </w:r>
          </w:p>
        </w:tc>
      </w:tr>
      <w:tr>
        <w:trPr>
          <w:trHeight w:val="860"/>
        </w:trPr>
        <w:tc>
          <w:tcPr>
            <w:tcW w:w="1536" w:type="dxa"/>
            <w:vMerge/>
            <w:tcBorders>
              <w:top w:val="single" w:sz="4" w:space="0" w:color="000000"/>
              <w:left w:val="single" w:sz="4" w:space="0" w:color="000000"/>
              <w:bottom w:val="single" w:sz="4" w:space="0" w:color="000000"/>
              <w:right w:val="nil"/>
            </w:tcBorders>
            <w:shd w:val="clear" w:color="auto" w:fill="auto"/>
            <w:noWrap/>
            <w:tcMar>
              <w:top w:w="15" w:type="dxa"/>
              <w:left w:w="15" w:type="dxa"/>
              <w:right w:w="15" w:type="dxa"/>
            </w:tcMar>
            <w:vAlign w:val="center"/>
          </w:tcPr>
          <w:p/>
        </w:tc>
        <w:tc>
          <w:tcPr>
            <w:tcW w:w="804" w:type="dxa"/>
            <w:vMerge/>
            <w:tcBorders>
              <w:top w:val="single" w:sz="4" w:space="0" w:color="000000"/>
              <w:left w:val="single" w:sz="4" w:space="0" w:color="000000"/>
              <w:bottom w:val="nil"/>
              <w:right w:val="single" w:sz="4" w:space="0" w:color="000000"/>
            </w:tcBorders>
            <w:shd w:val="clear" w:color="auto" w:fill="auto"/>
            <w:noWrap/>
            <w:tcMar>
              <w:top w:w="15" w:type="dxa"/>
              <w:left w:w="15" w:type="dxa"/>
              <w:right w:w="15" w:type="dxa"/>
            </w:tcMar>
            <w:vAlign w:val="center"/>
          </w:tcPr>
          <w:p/>
        </w:tc>
        <w:tc>
          <w:tcPr>
            <w:tcW w:w="59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成本指标</w:t>
            </w:r>
          </w:p>
        </w:tc>
        <w:tc>
          <w:tcPr>
            <w:tcW w:w="2102" w:type="dxa"/>
            <w:gridSpan w:val="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实际支出金额占项目预算金额的比率</w:t>
            </w:r>
          </w:p>
        </w:tc>
        <w:tc>
          <w:tcPr>
            <w:tcW w:w="99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100%</w:t>
            </w:r>
          </w:p>
        </w:tc>
        <w:tc>
          <w:tcPr>
            <w:tcW w:w="1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Calibri" w:eastAsia="宋体" w:cs="Calibri" w:hAnsi="Calibri"/>
                <w:i w:val="0"/>
                <w:color w:val="000000"/>
                <w:sz w:val="20"/>
                <w:szCs w:val="20"/>
                <w:u w:val="none"/>
              </w:rPr>
            </w:pPr>
            <w:r>
              <w:rPr>
                <w:rFonts w:ascii="Calibri" w:eastAsia="宋体" w:cs="Calibri" w:hAnsi="Calibri"/>
                <w:i w:val="0"/>
                <w:color w:val="000000"/>
                <w:kern w:val="0"/>
                <w:sz w:val="20"/>
                <w:szCs w:val="20"/>
                <w:u w:val="none"/>
                <w:bdr w:val="none" w:sz="0" w:space="0" w:color="auto"/>
                <w:lang w:val="en-US" w:eastAsia="zh-CN"/>
              </w:rPr>
              <w:t>100%</w:t>
            </w:r>
          </w:p>
        </w:tc>
        <w:tc>
          <w:tcPr>
            <w:tcW w:w="14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Calibri" w:eastAsia="宋体" w:cs="Calibri" w:hAnsi="Calibri"/>
                <w:i w:val="0"/>
                <w:color w:val="000000"/>
                <w:sz w:val="20"/>
                <w:szCs w:val="20"/>
                <w:u w:val="none"/>
              </w:rPr>
            </w:pPr>
            <w:r>
              <w:rPr>
                <w:rFonts w:ascii="Calibri" w:eastAsia="宋体" w:cs="Calibri" w:hAnsi="Calibri"/>
                <w:i w:val="0"/>
                <w:color w:val="000000"/>
                <w:kern w:val="0"/>
                <w:sz w:val="20"/>
                <w:szCs w:val="20"/>
                <w:u w:val="none"/>
                <w:bdr w:val="none" w:sz="0" w:space="0" w:color="auto"/>
                <w:lang w:val="en-US" w:eastAsia="zh-CN"/>
              </w:rPr>
              <w:t>10</w:t>
            </w:r>
          </w:p>
        </w:tc>
      </w:tr>
      <w:tr>
        <w:trPr>
          <w:trHeight w:val="740"/>
        </w:trPr>
        <w:tc>
          <w:tcPr>
            <w:tcW w:w="1536" w:type="dxa"/>
            <w:vMerge/>
            <w:tcBorders>
              <w:top w:val="single" w:sz="4" w:space="0" w:color="000000"/>
              <w:left w:val="single" w:sz="4" w:space="0" w:color="000000"/>
              <w:bottom w:val="single" w:sz="4" w:space="0" w:color="000000"/>
              <w:right w:val="nil"/>
            </w:tcBorders>
            <w:shd w:val="clear" w:color="auto" w:fill="auto"/>
            <w:noWrap/>
            <w:tcMar>
              <w:top w:w="15" w:type="dxa"/>
              <w:left w:w="15" w:type="dxa"/>
              <w:right w:w="15" w:type="dxa"/>
            </w:tcMar>
            <w:vAlign w:val="center"/>
          </w:tcP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预算执行率指标</w:t>
              <w:br/>
              <w:t>（10分）</w:t>
            </w:r>
          </w:p>
        </w:tc>
        <w:tc>
          <w:tcPr>
            <w:tcW w:w="1208" w:type="dxa"/>
            <w:gridSpan w:val="3"/>
            <w:tcBorders>
              <w:top w:val="nil"/>
              <w:left w:val="nil"/>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预算执行率</w:t>
            </w:r>
          </w:p>
        </w:tc>
        <w:tc>
          <w:tcPr>
            <w:tcW w:w="1492"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确保治超工作顺利开展</w:t>
            </w:r>
          </w:p>
        </w:tc>
        <w:tc>
          <w:tcPr>
            <w:tcW w:w="99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Calibri" w:eastAsia="宋体" w:cs="Calibri" w:hAnsi="Calibri"/>
                <w:i w:val="0"/>
                <w:color w:val="000000"/>
                <w:sz w:val="20"/>
                <w:szCs w:val="20"/>
                <w:u w:val="none"/>
              </w:rPr>
            </w:pPr>
            <w:r>
              <w:rPr>
                <w:rFonts w:ascii="Calibri" w:eastAsia="宋体" w:cs="Calibri" w:hAnsi="Calibri"/>
                <w:i w:val="0"/>
                <w:color w:val="000000"/>
                <w:kern w:val="0"/>
                <w:sz w:val="20"/>
                <w:szCs w:val="20"/>
                <w:u w:val="none"/>
                <w:bdr w:val="none" w:sz="0" w:space="0" w:color="auto"/>
                <w:lang w:val="en-US" w:eastAsia="zh-CN"/>
              </w:rPr>
              <w:t>≥95%</w:t>
            </w:r>
          </w:p>
        </w:tc>
        <w:tc>
          <w:tcPr>
            <w:tcW w:w="1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Calibri" w:eastAsia="宋体" w:cs="Calibri" w:hAnsi="Calibri"/>
                <w:i w:val="0"/>
                <w:color w:val="000000"/>
                <w:sz w:val="20"/>
                <w:szCs w:val="20"/>
                <w:u w:val="none"/>
              </w:rPr>
            </w:pPr>
            <w:r>
              <w:rPr>
                <w:rFonts w:ascii="Calibri" w:eastAsia="宋体" w:cs="Calibri" w:hAnsi="Calibri"/>
                <w:i w:val="0"/>
                <w:color w:val="000000"/>
                <w:kern w:val="0"/>
                <w:sz w:val="20"/>
                <w:szCs w:val="20"/>
                <w:u w:val="none"/>
                <w:bdr w:val="none" w:sz="0" w:space="0" w:color="auto"/>
                <w:lang w:val="en-US" w:eastAsia="zh-CN"/>
              </w:rPr>
              <w:t>100%</w:t>
            </w:r>
          </w:p>
        </w:tc>
        <w:tc>
          <w:tcPr>
            <w:tcW w:w="14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Calibri" w:eastAsia="宋体" w:cs="Calibri" w:hAnsi="Calibri"/>
                <w:i w:val="0"/>
                <w:color w:val="000000"/>
                <w:sz w:val="20"/>
                <w:szCs w:val="20"/>
                <w:u w:val="none"/>
              </w:rPr>
            </w:pPr>
            <w:r>
              <w:rPr>
                <w:rFonts w:ascii="Calibri" w:eastAsia="宋体" w:cs="Calibri" w:hAnsi="Calibri"/>
                <w:i w:val="0"/>
                <w:color w:val="000000"/>
                <w:kern w:val="0"/>
                <w:sz w:val="20"/>
                <w:szCs w:val="20"/>
                <w:u w:val="none"/>
                <w:bdr w:val="none" w:sz="0" w:space="0" w:color="auto"/>
                <w:lang w:val="en-US" w:eastAsia="zh-CN"/>
              </w:rPr>
              <w:t>10</w:t>
            </w:r>
          </w:p>
        </w:tc>
      </w:tr>
      <w:tr>
        <w:trPr>
          <w:trHeight w:val="480"/>
        </w:trPr>
        <w:tc>
          <w:tcPr>
            <w:tcW w:w="1536" w:type="dxa"/>
            <w:vMerge/>
            <w:tcBorders>
              <w:top w:val="single" w:sz="4" w:space="0" w:color="000000"/>
              <w:left w:val="single" w:sz="4" w:space="0" w:color="000000"/>
              <w:bottom w:val="single" w:sz="4" w:space="0" w:color="000000"/>
              <w:right w:val="nil"/>
            </w:tcBorders>
            <w:shd w:val="clear" w:color="auto" w:fill="auto"/>
            <w:noWrap/>
            <w:tcMar>
              <w:top w:w="15" w:type="dxa"/>
              <w:left w:w="15" w:type="dxa"/>
              <w:right w:w="15" w:type="dxa"/>
            </w:tcMar>
            <w:vAlign w:val="center"/>
          </w:tcPr>
          <w:p/>
        </w:tc>
        <w:tc>
          <w:tcPr>
            <w:tcW w:w="804" w:type="dxa"/>
            <w:vMerge w:val="restart"/>
            <w:tcBorders>
              <w:top w:val="nil"/>
              <w:left w:val="single" w:sz="4" w:space="0" w:color="000000"/>
              <w:bottom w:val="nil"/>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效益指标（40）</w:t>
            </w:r>
          </w:p>
        </w:tc>
        <w:tc>
          <w:tcPr>
            <w:tcW w:w="1148" w:type="dxa"/>
            <w:gridSpan w:val="2"/>
            <w:tcBorders>
              <w:top w:val="single" w:sz="4" w:space="0" w:color="000000"/>
              <w:left w:val="nil"/>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经济效益指标</w:t>
            </w:r>
          </w:p>
        </w:tc>
        <w:tc>
          <w:tcPr>
            <w:tcW w:w="1552" w:type="dxa"/>
            <w:gridSpan w:val="4"/>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工作开展顺利</w:t>
            </w:r>
          </w:p>
        </w:tc>
        <w:tc>
          <w:tcPr>
            <w:tcW w:w="99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Calibri" w:eastAsia="宋体" w:cs="Calibri" w:hAnsi="Calibri"/>
                <w:i w:val="0"/>
                <w:color w:val="000000"/>
                <w:sz w:val="20"/>
                <w:szCs w:val="20"/>
                <w:u w:val="none"/>
              </w:rPr>
            </w:pPr>
            <w:r>
              <w:rPr>
                <w:rFonts w:ascii="Calibri" w:eastAsia="宋体" w:cs="Calibri" w:hAnsi="Calibri"/>
                <w:i w:val="0"/>
                <w:color w:val="000000"/>
                <w:kern w:val="0"/>
                <w:sz w:val="20"/>
                <w:szCs w:val="20"/>
                <w:u w:val="none"/>
                <w:bdr w:val="none" w:sz="0" w:space="0" w:color="auto"/>
                <w:lang w:val="en-US" w:eastAsia="zh-CN"/>
              </w:rPr>
              <w:t>96%</w:t>
            </w:r>
          </w:p>
        </w:tc>
        <w:tc>
          <w:tcPr>
            <w:tcW w:w="1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Calibri" w:eastAsia="宋体" w:cs="Calibri" w:hAnsi="Calibri"/>
                <w:i w:val="0"/>
                <w:color w:val="000000"/>
                <w:sz w:val="20"/>
                <w:szCs w:val="20"/>
                <w:u w:val="none"/>
              </w:rPr>
            </w:pPr>
            <w:r>
              <w:rPr>
                <w:rFonts w:ascii="Calibri" w:eastAsia="宋体" w:cs="Calibri" w:hAnsi="Calibri"/>
                <w:i w:val="0"/>
                <w:color w:val="000000"/>
                <w:kern w:val="0"/>
                <w:sz w:val="20"/>
                <w:szCs w:val="20"/>
                <w:u w:val="none"/>
                <w:bdr w:val="none" w:sz="0" w:space="0" w:color="auto"/>
                <w:lang w:val="en-US" w:eastAsia="zh-CN"/>
              </w:rPr>
              <w:t>100%</w:t>
            </w:r>
          </w:p>
        </w:tc>
        <w:tc>
          <w:tcPr>
            <w:tcW w:w="14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Calibri" w:eastAsia="宋体" w:cs="Calibri" w:hAnsi="Calibri"/>
                <w:i w:val="0"/>
                <w:color w:val="000000"/>
                <w:sz w:val="20"/>
                <w:szCs w:val="20"/>
                <w:u w:val="none"/>
              </w:rPr>
            </w:pPr>
            <w:r>
              <w:rPr>
                <w:rFonts w:ascii="Calibri" w:eastAsia="宋体" w:cs="Calibri" w:hAnsi="Calibri"/>
                <w:i w:val="0"/>
                <w:color w:val="000000"/>
                <w:kern w:val="0"/>
                <w:sz w:val="20"/>
                <w:szCs w:val="20"/>
                <w:u w:val="none"/>
                <w:bdr w:val="none" w:sz="0" w:space="0" w:color="auto"/>
                <w:lang w:val="en-US" w:eastAsia="zh-CN"/>
              </w:rPr>
              <w:t>10</w:t>
            </w:r>
          </w:p>
        </w:tc>
      </w:tr>
      <w:tr>
        <w:trPr>
          <w:trHeight w:val="560"/>
        </w:trPr>
        <w:tc>
          <w:tcPr>
            <w:tcW w:w="1536" w:type="dxa"/>
            <w:vMerge/>
            <w:tcBorders>
              <w:top w:val="single" w:sz="4" w:space="0" w:color="000000"/>
              <w:left w:val="single" w:sz="4" w:space="0" w:color="000000"/>
              <w:bottom w:val="single" w:sz="4" w:space="0" w:color="000000"/>
              <w:right w:val="nil"/>
            </w:tcBorders>
            <w:shd w:val="clear" w:color="auto" w:fill="auto"/>
            <w:noWrap/>
            <w:tcMar>
              <w:top w:w="15" w:type="dxa"/>
              <w:left w:w="15" w:type="dxa"/>
              <w:right w:w="15" w:type="dxa"/>
            </w:tcMar>
            <w:vAlign w:val="center"/>
          </w:tcPr>
          <w:p/>
        </w:tc>
        <w:tc>
          <w:tcPr>
            <w:tcW w:w="804" w:type="dxa"/>
            <w:vMerge/>
            <w:tcBorders>
              <w:top w:val="nil"/>
              <w:left w:val="single" w:sz="4" w:space="0" w:color="000000"/>
              <w:bottom w:val="nil"/>
              <w:right w:val="single" w:sz="4" w:space="0" w:color="000000"/>
            </w:tcBorders>
            <w:shd w:val="clear" w:color="auto" w:fill="auto"/>
            <w:noWrap/>
            <w:tcMar>
              <w:top w:w="15" w:type="dxa"/>
              <w:left w:w="15" w:type="dxa"/>
              <w:right w:w="15" w:type="dxa"/>
            </w:tcMar>
            <w:vAlign w:val="center"/>
          </w:tcPr>
          <w:p/>
        </w:tc>
        <w:tc>
          <w:tcPr>
            <w:tcW w:w="1148" w:type="dxa"/>
            <w:gridSpan w:val="2"/>
            <w:tcBorders>
              <w:top w:val="single" w:sz="4" w:space="0" w:color="000000"/>
              <w:left w:val="nil"/>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社会效益指标</w:t>
            </w:r>
          </w:p>
        </w:tc>
        <w:tc>
          <w:tcPr>
            <w:tcW w:w="1552" w:type="dxa"/>
            <w:gridSpan w:val="4"/>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对当地扬尘治理明显改善</w:t>
            </w:r>
          </w:p>
        </w:tc>
        <w:tc>
          <w:tcPr>
            <w:tcW w:w="99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效果明显</w:t>
            </w:r>
          </w:p>
        </w:tc>
        <w:tc>
          <w:tcPr>
            <w:tcW w:w="1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Calibri" w:eastAsia="宋体" w:cs="Calibri" w:hAnsi="Calibri"/>
                <w:i w:val="0"/>
                <w:color w:val="000000"/>
                <w:sz w:val="20"/>
                <w:szCs w:val="20"/>
                <w:u w:val="none"/>
              </w:rPr>
            </w:pPr>
            <w:r>
              <w:rPr>
                <w:rFonts w:ascii="Calibri" w:eastAsia="宋体" w:cs="Calibri" w:hAnsi="Calibri"/>
                <w:i w:val="0"/>
                <w:color w:val="000000"/>
                <w:kern w:val="0"/>
                <w:sz w:val="20"/>
                <w:szCs w:val="20"/>
                <w:u w:val="none"/>
                <w:bdr w:val="none" w:sz="0" w:space="0" w:color="auto"/>
                <w:lang w:val="en-US" w:eastAsia="zh-CN"/>
              </w:rPr>
              <w:t>100%</w:t>
            </w:r>
          </w:p>
        </w:tc>
        <w:tc>
          <w:tcPr>
            <w:tcW w:w="14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Calibri" w:eastAsia="宋体" w:cs="Calibri" w:hAnsi="Calibri"/>
                <w:i w:val="0"/>
                <w:color w:val="000000"/>
                <w:sz w:val="20"/>
                <w:szCs w:val="20"/>
                <w:u w:val="none"/>
              </w:rPr>
            </w:pPr>
            <w:r>
              <w:rPr>
                <w:rFonts w:ascii="Calibri" w:eastAsia="宋体" w:cs="Calibri" w:hAnsi="Calibri"/>
                <w:i w:val="0"/>
                <w:color w:val="000000"/>
                <w:kern w:val="0"/>
                <w:sz w:val="20"/>
                <w:szCs w:val="20"/>
                <w:u w:val="none"/>
                <w:bdr w:val="none" w:sz="0" w:space="0" w:color="auto"/>
                <w:lang w:val="en-US" w:eastAsia="zh-CN"/>
              </w:rPr>
              <w:t>10</w:t>
            </w:r>
          </w:p>
        </w:tc>
      </w:tr>
      <w:tr>
        <w:trPr>
          <w:trHeight w:val="270"/>
        </w:trPr>
        <w:tc>
          <w:tcPr>
            <w:tcW w:w="1536" w:type="dxa"/>
            <w:vMerge/>
            <w:tcBorders>
              <w:top w:val="single" w:sz="4" w:space="0" w:color="000000"/>
              <w:left w:val="single" w:sz="4" w:space="0" w:color="000000"/>
              <w:bottom w:val="single" w:sz="4" w:space="0" w:color="000000"/>
              <w:right w:val="nil"/>
            </w:tcBorders>
            <w:shd w:val="clear" w:color="auto" w:fill="auto"/>
            <w:noWrap/>
            <w:tcMar>
              <w:top w:w="15" w:type="dxa"/>
              <w:left w:w="15" w:type="dxa"/>
              <w:right w:w="15" w:type="dxa"/>
            </w:tcMar>
            <w:vAlign w:val="center"/>
          </w:tcPr>
          <w:p/>
        </w:tc>
        <w:tc>
          <w:tcPr>
            <w:tcW w:w="804" w:type="dxa"/>
            <w:vMerge/>
            <w:tcBorders>
              <w:top w:val="nil"/>
              <w:left w:val="single" w:sz="4" w:space="0" w:color="000000"/>
              <w:bottom w:val="nil"/>
              <w:right w:val="single" w:sz="4" w:space="0" w:color="000000"/>
            </w:tcBorders>
            <w:shd w:val="clear" w:color="auto" w:fill="auto"/>
            <w:noWrap/>
            <w:tcMar>
              <w:top w:w="15" w:type="dxa"/>
              <w:left w:w="15" w:type="dxa"/>
              <w:right w:w="15" w:type="dxa"/>
            </w:tcMar>
            <w:vAlign w:val="center"/>
          </w:tcPr>
          <w:p/>
        </w:tc>
        <w:tc>
          <w:tcPr>
            <w:tcW w:w="1148" w:type="dxa"/>
            <w:gridSpan w:val="2"/>
            <w:tcBorders>
              <w:top w:val="single" w:sz="4" w:space="0" w:color="000000"/>
              <w:left w:val="nil"/>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生态效益指标</w:t>
            </w:r>
          </w:p>
        </w:tc>
        <w:tc>
          <w:tcPr>
            <w:tcW w:w="1552" w:type="dxa"/>
            <w:gridSpan w:val="4"/>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达到标准</w:t>
            </w:r>
          </w:p>
        </w:tc>
        <w:tc>
          <w:tcPr>
            <w:tcW w:w="99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Calibri" w:eastAsia="宋体" w:cs="Calibri" w:hAnsi="Calibri"/>
                <w:i w:val="0"/>
                <w:color w:val="000000"/>
                <w:sz w:val="20"/>
                <w:szCs w:val="20"/>
                <w:u w:val="none"/>
              </w:rPr>
            </w:pPr>
            <w:r>
              <w:rPr>
                <w:rFonts w:ascii="Calibri" w:eastAsia="宋体" w:cs="Calibri" w:hAnsi="Calibri"/>
                <w:i w:val="0"/>
                <w:color w:val="000000"/>
                <w:kern w:val="0"/>
                <w:sz w:val="20"/>
                <w:szCs w:val="20"/>
                <w:u w:val="none"/>
                <w:bdr w:val="none" w:sz="0" w:space="0" w:color="auto"/>
                <w:lang w:val="en-US" w:eastAsia="zh-CN"/>
              </w:rPr>
              <w:t>≥95%</w:t>
            </w:r>
          </w:p>
        </w:tc>
        <w:tc>
          <w:tcPr>
            <w:tcW w:w="1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Calibri" w:eastAsia="宋体" w:cs="Calibri" w:hAnsi="Calibri"/>
                <w:i w:val="0"/>
                <w:color w:val="000000"/>
                <w:sz w:val="20"/>
                <w:szCs w:val="20"/>
                <w:u w:val="none"/>
              </w:rPr>
            </w:pPr>
            <w:r>
              <w:rPr>
                <w:rFonts w:ascii="Calibri" w:eastAsia="宋体" w:cs="Calibri" w:hAnsi="Calibri"/>
                <w:i w:val="0"/>
                <w:color w:val="000000"/>
                <w:kern w:val="0"/>
                <w:sz w:val="20"/>
                <w:szCs w:val="20"/>
                <w:u w:val="none"/>
                <w:bdr w:val="none" w:sz="0" w:space="0" w:color="auto"/>
                <w:lang w:val="en-US" w:eastAsia="zh-CN"/>
              </w:rPr>
              <w:t>100%</w:t>
            </w:r>
          </w:p>
        </w:tc>
        <w:tc>
          <w:tcPr>
            <w:tcW w:w="14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Calibri" w:eastAsia="宋体" w:cs="Calibri" w:hAnsi="Calibri"/>
                <w:i w:val="0"/>
                <w:color w:val="000000"/>
                <w:sz w:val="20"/>
                <w:szCs w:val="20"/>
                <w:u w:val="none"/>
              </w:rPr>
            </w:pPr>
            <w:r>
              <w:rPr>
                <w:rFonts w:ascii="Calibri" w:eastAsia="宋体" w:cs="Calibri" w:hAnsi="Calibri"/>
                <w:i w:val="0"/>
                <w:color w:val="000000"/>
                <w:kern w:val="0"/>
                <w:sz w:val="20"/>
                <w:szCs w:val="20"/>
                <w:u w:val="none"/>
                <w:bdr w:val="none" w:sz="0" w:space="0" w:color="auto"/>
                <w:lang w:val="en-US" w:eastAsia="zh-CN"/>
              </w:rPr>
              <w:t>10</w:t>
            </w:r>
          </w:p>
        </w:tc>
      </w:tr>
      <w:tr>
        <w:trPr>
          <w:trHeight w:val="360"/>
        </w:trPr>
        <w:tc>
          <w:tcPr>
            <w:tcW w:w="1536" w:type="dxa"/>
            <w:vMerge/>
            <w:tcBorders>
              <w:top w:val="single" w:sz="4" w:space="0" w:color="000000"/>
              <w:left w:val="single" w:sz="4" w:space="0" w:color="000000"/>
              <w:bottom w:val="single" w:sz="4" w:space="0" w:color="000000"/>
              <w:right w:val="nil"/>
            </w:tcBorders>
            <w:shd w:val="clear" w:color="auto" w:fill="auto"/>
            <w:noWrap/>
            <w:tcMar>
              <w:top w:w="15" w:type="dxa"/>
              <w:left w:w="15" w:type="dxa"/>
              <w:right w:w="15" w:type="dxa"/>
            </w:tcMar>
            <w:vAlign w:val="center"/>
          </w:tcPr>
          <w:p/>
        </w:tc>
        <w:tc>
          <w:tcPr>
            <w:tcW w:w="804" w:type="dxa"/>
            <w:vMerge/>
            <w:tcBorders>
              <w:top w:val="nil"/>
              <w:left w:val="single" w:sz="4" w:space="0" w:color="000000"/>
              <w:bottom w:val="nil"/>
              <w:right w:val="single" w:sz="4" w:space="0" w:color="000000"/>
            </w:tcBorders>
            <w:shd w:val="clear" w:color="auto" w:fill="auto"/>
            <w:noWrap/>
            <w:tcMar>
              <w:top w:w="15" w:type="dxa"/>
              <w:left w:w="15" w:type="dxa"/>
              <w:right w:w="15" w:type="dxa"/>
            </w:tcMar>
            <w:vAlign w:val="center"/>
          </w:tcPr>
          <w:p/>
        </w:tc>
        <w:tc>
          <w:tcPr>
            <w:tcW w:w="1148" w:type="dxa"/>
            <w:gridSpan w:val="2"/>
            <w:tcBorders>
              <w:top w:val="single" w:sz="4" w:space="0" w:color="000000"/>
              <w:left w:val="nil"/>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可持续影响指标</w:t>
            </w:r>
          </w:p>
        </w:tc>
        <w:tc>
          <w:tcPr>
            <w:tcW w:w="1552" w:type="dxa"/>
            <w:gridSpan w:val="4"/>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基本公共服务水平</w:t>
            </w:r>
          </w:p>
        </w:tc>
        <w:tc>
          <w:tcPr>
            <w:tcW w:w="99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明显提升</w:t>
            </w:r>
          </w:p>
        </w:tc>
        <w:tc>
          <w:tcPr>
            <w:tcW w:w="1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Calibri" w:eastAsia="宋体" w:cs="Calibri" w:hAnsi="Calibri"/>
                <w:i w:val="0"/>
                <w:color w:val="000000"/>
                <w:sz w:val="20"/>
                <w:szCs w:val="20"/>
                <w:u w:val="none"/>
              </w:rPr>
            </w:pPr>
            <w:r>
              <w:rPr>
                <w:rFonts w:ascii="Calibri" w:eastAsia="宋体" w:cs="Calibri" w:hAnsi="Calibri"/>
                <w:i w:val="0"/>
                <w:color w:val="000000"/>
                <w:kern w:val="0"/>
                <w:sz w:val="20"/>
                <w:szCs w:val="20"/>
                <w:u w:val="none"/>
                <w:bdr w:val="none" w:sz="0" w:space="0" w:color="auto"/>
                <w:lang w:val="en-US" w:eastAsia="zh-CN"/>
              </w:rPr>
              <w:t>100%</w:t>
            </w:r>
          </w:p>
        </w:tc>
        <w:tc>
          <w:tcPr>
            <w:tcW w:w="14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Calibri" w:eastAsia="宋体" w:cs="Calibri" w:hAnsi="Calibri"/>
                <w:i w:val="0"/>
                <w:color w:val="000000"/>
                <w:sz w:val="20"/>
                <w:szCs w:val="20"/>
                <w:u w:val="none"/>
              </w:rPr>
            </w:pPr>
            <w:r>
              <w:rPr>
                <w:rFonts w:ascii="Calibri" w:eastAsia="宋体" w:cs="Calibri" w:hAnsi="Calibri"/>
                <w:i w:val="0"/>
                <w:color w:val="000000"/>
                <w:kern w:val="0"/>
                <w:sz w:val="20"/>
                <w:szCs w:val="20"/>
                <w:u w:val="none"/>
                <w:bdr w:val="none" w:sz="0" w:space="0" w:color="auto"/>
                <w:lang w:val="en-US" w:eastAsia="zh-CN"/>
              </w:rPr>
              <w:t>10</w:t>
            </w:r>
          </w:p>
        </w:tc>
      </w:tr>
      <w:tr>
        <w:trPr>
          <w:trHeight w:val="780"/>
        </w:trPr>
        <w:tc>
          <w:tcPr>
            <w:tcW w:w="1536" w:type="dxa"/>
            <w:vMerge/>
            <w:tcBorders>
              <w:top w:val="single" w:sz="4" w:space="0" w:color="000000"/>
              <w:left w:val="single" w:sz="4" w:space="0" w:color="000000"/>
              <w:bottom w:val="single" w:sz="4" w:space="0" w:color="000000"/>
              <w:right w:val="nil"/>
            </w:tcBorders>
            <w:shd w:val="clear" w:color="auto" w:fill="auto"/>
            <w:noWrap/>
            <w:tcMar>
              <w:top w:w="15" w:type="dxa"/>
              <w:left w:w="15" w:type="dxa"/>
              <w:right w:w="15" w:type="dxa"/>
            </w:tcMar>
            <w:vAlign w:val="center"/>
          </w:tcP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满意度指标</w:t>
              <w:br/>
              <w:t>（10分）</w:t>
            </w:r>
          </w:p>
        </w:tc>
        <w:tc>
          <w:tcPr>
            <w:tcW w:w="1148" w:type="dxa"/>
            <w:gridSpan w:val="2"/>
            <w:tcBorders>
              <w:top w:val="single" w:sz="4" w:space="0" w:color="000000"/>
              <w:left w:val="nil"/>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满意度指标</w:t>
            </w:r>
          </w:p>
        </w:tc>
        <w:tc>
          <w:tcPr>
            <w:tcW w:w="1552" w:type="dxa"/>
            <w:gridSpan w:val="4"/>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群众满意度</w:t>
            </w:r>
          </w:p>
        </w:tc>
        <w:tc>
          <w:tcPr>
            <w:tcW w:w="99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群众满意数量占总数的比例</w:t>
            </w:r>
          </w:p>
        </w:tc>
        <w:tc>
          <w:tcPr>
            <w:tcW w:w="1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Calibri" w:eastAsia="宋体" w:cs="Calibri" w:hAnsi="Calibri"/>
                <w:i w:val="0"/>
                <w:color w:val="000000"/>
                <w:sz w:val="20"/>
                <w:szCs w:val="20"/>
                <w:u w:val="none"/>
              </w:rPr>
            </w:pPr>
            <w:r>
              <w:rPr>
                <w:rFonts w:ascii="Calibri" w:eastAsia="宋体" w:cs="Calibri" w:hAnsi="Calibri"/>
                <w:i w:val="0"/>
                <w:color w:val="000000"/>
                <w:kern w:val="0"/>
                <w:sz w:val="20"/>
                <w:szCs w:val="20"/>
                <w:u w:val="none"/>
                <w:bdr w:val="none" w:sz="0" w:space="0" w:color="auto"/>
                <w:lang w:val="en-US" w:eastAsia="zh-CN"/>
              </w:rPr>
              <w:t>≥98%</w:t>
            </w:r>
          </w:p>
        </w:tc>
        <w:tc>
          <w:tcPr>
            <w:tcW w:w="14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Calibri" w:eastAsia="宋体" w:cs="Calibri" w:hAnsi="Calibri"/>
                <w:i w:val="0"/>
                <w:color w:val="000000"/>
                <w:sz w:val="20"/>
                <w:szCs w:val="20"/>
                <w:u w:val="none"/>
              </w:rPr>
            </w:pPr>
            <w:r>
              <w:rPr>
                <w:rFonts w:ascii="Calibri" w:eastAsia="宋体" w:cs="Calibri" w:hAnsi="Calibri"/>
                <w:i w:val="0"/>
                <w:color w:val="000000"/>
                <w:kern w:val="0"/>
                <w:sz w:val="20"/>
                <w:szCs w:val="20"/>
                <w:u w:val="none"/>
                <w:bdr w:val="none" w:sz="0" w:space="0" w:color="auto"/>
                <w:lang w:val="en-US" w:eastAsia="zh-CN"/>
              </w:rPr>
              <w:t>10</w:t>
            </w:r>
          </w:p>
        </w:tc>
      </w:tr>
      <w:tr>
        <w:trPr>
          <w:trHeight w:val="240"/>
        </w:trPr>
        <w:tc>
          <w:tcPr>
            <w:tcW w:w="1536" w:type="dxa"/>
            <w:vMerge/>
            <w:tcBorders>
              <w:top w:val="single" w:sz="4" w:space="0" w:color="000000"/>
              <w:left w:val="single" w:sz="4" w:space="0" w:color="000000"/>
              <w:bottom w:val="single" w:sz="4" w:space="0" w:color="000000"/>
              <w:right w:val="nil"/>
            </w:tcBorders>
            <w:shd w:val="clear" w:color="auto" w:fill="auto"/>
            <w:noWrap/>
            <w:tcMar>
              <w:top w:w="15" w:type="dxa"/>
              <w:left w:w="15" w:type="dxa"/>
              <w:right w:w="15" w:type="dxa"/>
            </w:tcMar>
            <w:vAlign w:val="center"/>
          </w:tcPr>
          <w:p/>
        </w:tc>
        <w:tc>
          <w:tcPr>
            <w:tcW w:w="5524" w:type="dxa"/>
            <w:gridSpan w:val="9"/>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总分</w:t>
            </w:r>
          </w:p>
        </w:tc>
        <w:tc>
          <w:tcPr>
            <w:tcW w:w="14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Calibri" w:eastAsia="宋体" w:cs="Calibri" w:hAnsi="Calibri"/>
                <w:i w:val="0"/>
                <w:color w:val="000000"/>
                <w:sz w:val="20"/>
                <w:szCs w:val="20"/>
                <w:u w:val="none"/>
              </w:rPr>
            </w:pPr>
            <w:r>
              <w:rPr>
                <w:rFonts w:ascii="Calibri" w:eastAsia="宋体" w:cs="Calibri" w:hAnsi="Calibri"/>
                <w:i w:val="0"/>
                <w:color w:val="000000"/>
                <w:kern w:val="0"/>
                <w:sz w:val="20"/>
                <w:szCs w:val="20"/>
                <w:u w:val="none"/>
                <w:bdr w:val="none" w:sz="0" w:space="0" w:color="auto"/>
                <w:lang w:val="en-US" w:eastAsia="zh-CN"/>
              </w:rPr>
              <w:t>100</w:t>
            </w:r>
          </w:p>
        </w:tc>
      </w:tr>
      <w:tr>
        <w:trPr>
          <w:trHeight w:val="760"/>
        </w:trPr>
        <w:tc>
          <w:tcPr>
            <w:tcW w:w="1536" w:type="dxa"/>
            <w:tcBorders>
              <w:top w:val="nil"/>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五、</w:t>
            </w:r>
            <w:r>
              <w:rPr>
                <w:rFonts w:ascii="Calibri" w:eastAsia="宋体" w:cs="Calibri" w:hAnsi="Calibri"/>
                <w:i w:val="0"/>
                <w:color w:val="000000"/>
                <w:kern w:val="0"/>
                <w:sz w:val="20"/>
                <w:szCs w:val="20"/>
                <w:u w:val="none"/>
                <w:bdr w:val="none" w:sz="0" w:space="0" w:color="auto"/>
                <w:lang w:val="en-US" w:eastAsia="zh-CN"/>
              </w:rPr>
              <w:t xml:space="preserve"> </w:t>
            </w:r>
            <w:r>
              <w:rPr>
                <w:rFonts w:ascii="宋体" w:eastAsia="宋体" w:cs="宋体" w:hAnsi="宋体" w:hint="eastAsia"/>
                <w:i w:val="0"/>
                <w:color w:val="000000"/>
                <w:kern w:val="0"/>
                <w:sz w:val="20"/>
                <w:szCs w:val="20"/>
                <w:u w:val="none"/>
                <w:bdr w:val="none" w:sz="0" w:space="0" w:color="auto"/>
                <w:lang w:val="en-US" w:eastAsia="zh-CN"/>
              </w:rPr>
              <w:t>存在问题、原因及下一步整改措施</w:t>
            </w:r>
          </w:p>
        </w:tc>
        <w:tc>
          <w:tcPr>
            <w:tcW w:w="6954" w:type="dxa"/>
            <w:gridSpan w:val="10"/>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无</w:t>
            </w:r>
          </w:p>
        </w:tc>
      </w:tr>
      <w:tr>
        <w:trPr>
          <w:trHeight w:val="360"/>
        </w:trPr>
        <w:tc>
          <w:tcPr>
            <w:tcW w:w="1536"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填报人：</w:t>
            </w:r>
          </w:p>
        </w:tc>
        <w:tc>
          <w:tcPr>
            <w:tcW w:w="804"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周会芝</w:t>
            </w:r>
          </w:p>
        </w:tc>
        <w:tc>
          <w:tcPr>
            <w:tcW w:w="1148" w:type="dxa"/>
            <w:gridSpan w:val="2"/>
            <w:tcBorders>
              <w:top w:val="nil"/>
              <w:left w:val="nil"/>
              <w:bottom w:val="nil"/>
              <w:right w:val="nil"/>
            </w:tcBorders>
            <w:shd w:val="clear" w:color="auto" w:fill="auto"/>
            <w:noWrap/>
            <w:tcMar>
              <w:top w:w="15" w:type="dxa"/>
              <w:left w:w="15" w:type="dxa"/>
              <w:right w:w="15" w:type="dxa"/>
            </w:tcMar>
            <w:vAlign w:val="center"/>
          </w:tcPr>
          <w:p>
            <w:pPr>
              <w:jc w:val="center"/>
              <w:rPr>
                <w:rFonts w:ascii="宋体" w:eastAsia="宋体" w:cs="宋体" w:hAnsi="宋体" w:hint="eastAsia"/>
                <w:i w:val="0"/>
                <w:color w:val="000000"/>
                <w:sz w:val="20"/>
                <w:szCs w:val="20"/>
                <w:u w:val="none"/>
              </w:rPr>
            </w:pPr>
          </w:p>
        </w:tc>
        <w:tc>
          <w:tcPr>
            <w:tcW w:w="513" w:type="dxa"/>
            <w:gridSpan w:val="2"/>
            <w:tcBorders>
              <w:top w:val="nil"/>
              <w:left w:val="nil"/>
              <w:bottom w:val="nil"/>
              <w:right w:val="nil"/>
            </w:tcBorders>
            <w:shd w:val="clear" w:color="auto" w:fill="auto"/>
            <w:noWrap/>
            <w:tcMar>
              <w:top w:w="15" w:type="dxa"/>
              <w:left w:w="15" w:type="dxa"/>
              <w:right w:w="15" w:type="dxa"/>
            </w:tcMar>
            <w:vAlign w:val="center"/>
          </w:tcPr>
          <w:p>
            <w:pPr>
              <w:jc w:val="center"/>
              <w:rPr>
                <w:rFonts w:ascii="宋体" w:eastAsia="宋体" w:cs="宋体" w:hAnsi="宋体" w:hint="eastAsia"/>
                <w:i w:val="0"/>
                <w:color w:val="000000"/>
                <w:sz w:val="20"/>
                <w:szCs w:val="20"/>
                <w:u w:val="none"/>
              </w:rPr>
            </w:pPr>
          </w:p>
        </w:tc>
        <w:tc>
          <w:tcPr>
            <w:tcW w:w="1039" w:type="dxa"/>
            <w:gridSpan w:val="2"/>
            <w:tcBorders>
              <w:top w:val="nil"/>
              <w:left w:val="nil"/>
              <w:bottom w:val="nil"/>
              <w:right w:val="nil"/>
            </w:tcBorders>
            <w:shd w:val="clear" w:color="auto" w:fill="auto"/>
            <w:noWrap/>
            <w:tcMar>
              <w:top w:w="15" w:type="dxa"/>
              <w:left w:w="15" w:type="dxa"/>
              <w:right w:w="15" w:type="dxa"/>
            </w:tcMar>
            <w:vAlign w:val="center"/>
          </w:tcPr>
          <w:p>
            <w:pPr>
              <w:jc w:val="center"/>
              <w:rPr>
                <w:rFonts w:ascii="宋体" w:eastAsia="宋体" w:cs="宋体" w:hAnsi="宋体" w:hint="eastAsia"/>
                <w:i w:val="0"/>
                <w:color w:val="000000"/>
                <w:sz w:val="20"/>
                <w:szCs w:val="20"/>
                <w:u w:val="none"/>
              </w:rPr>
            </w:pPr>
          </w:p>
        </w:tc>
        <w:tc>
          <w:tcPr>
            <w:tcW w:w="990" w:type="dxa"/>
            <w:tcBorders>
              <w:top w:val="nil"/>
              <w:left w:val="nil"/>
              <w:bottom w:val="nil"/>
              <w:right w:val="nil"/>
            </w:tcBorders>
            <w:shd w:val="clear" w:color="auto" w:fill="auto"/>
            <w:noWrap/>
            <w:tcMar>
              <w:top w:w="15" w:type="dxa"/>
              <w:left w:w="15" w:type="dxa"/>
              <w:right w:w="15" w:type="dxa"/>
            </w:tcMar>
            <w:vAlign w:val="center"/>
          </w:tcPr>
          <w:p>
            <w:pPr>
              <w:jc w:val="center"/>
              <w:rPr>
                <w:rFonts w:ascii="宋体" w:eastAsia="宋体" w:cs="宋体" w:hAnsi="宋体" w:hint="eastAsia"/>
                <w:i w:val="0"/>
                <w:color w:val="000000"/>
                <w:sz w:val="20"/>
                <w:szCs w:val="20"/>
                <w:u w:val="none"/>
              </w:rPr>
            </w:pPr>
          </w:p>
        </w:tc>
        <w:tc>
          <w:tcPr>
            <w:tcW w:w="1030"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联系电话：</w:t>
            </w:r>
          </w:p>
        </w:tc>
        <w:tc>
          <w:tcPr>
            <w:tcW w:w="1430"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宋体" w:eastAsia="宋体" w:cs="宋体" w:hAnsi="宋体" w:hint="eastAsia"/>
                <w:i w:val="0"/>
                <w:color w:val="000000"/>
                <w:sz w:val="20"/>
                <w:szCs w:val="20"/>
                <w:u w:val="none"/>
              </w:rPr>
            </w:pPr>
            <w:r>
              <w:rPr>
                <w:rFonts w:ascii="宋体" w:eastAsia="宋体" w:cs="宋体" w:hAnsi="宋体" w:hint="eastAsia"/>
                <w:i w:val="0"/>
                <w:color w:val="000000"/>
                <w:kern w:val="0"/>
                <w:sz w:val="20"/>
                <w:szCs w:val="20"/>
                <w:u w:val="none"/>
                <w:bdr w:val="none" w:sz="0" w:space="0" w:color="auto"/>
                <w:lang w:val="en-US" w:eastAsia="zh-CN"/>
              </w:rPr>
              <w:t>15830187989</w:t>
            </w:r>
          </w:p>
        </w:tc>
      </w:tr>
    </w:tbl>
    <w:p>
      <w:pPr>
        <w:widowControl/>
        <w:spacing w:before="0" w:beforeAutospacing="0" w:after="0" w:afterAutospacing="0" w:line="360" w:lineRule="auto"/>
        <w:jc w:val="left"/>
        <w:rPr>
          <w:rFonts w:ascii="Times New Roman" w:eastAsia="仿宋_GB2312" w:hAnsi="Times New Roman"/>
          <w:b/>
          <w:color w:val="0000FF"/>
          <w:sz w:val="32"/>
          <w:szCs w:val="32"/>
          <w:lang w:val="en-US" w:eastAsia="zh-CN"/>
        </w:rPr>
      </w:pPr>
    </w:p>
    <w:p>
      <w:pPr>
        <w:widowControl/>
        <w:numPr>
          <w:ilvl w:val="0"/>
          <w:numId w:val="2"/>
        </w:numPr>
        <w:spacing w:before="0" w:beforeAutospacing="0" w:after="0" w:afterAutospacing="0" w:line="360" w:lineRule="auto"/>
        <w:ind w:left="0" w:firstLineChars="200" w:firstLine="640"/>
        <w:jc w:val="left"/>
        <w:rPr>
          <w:rFonts w:ascii="Times New Roman" w:eastAsia="仿宋_GB2312" w:hAnsi="Times New Roman"/>
          <w:sz w:val="32"/>
          <w:szCs w:val="32"/>
        </w:rPr>
      </w:pPr>
      <w:r>
        <w:rPr>
          <w:rFonts w:ascii="Times New Roman" w:eastAsia="仿宋_GB2312" w:hAnsi="Times New Roman"/>
          <w:b/>
          <w:color w:val="auto"/>
          <w:sz w:val="32"/>
          <w:szCs w:val="32"/>
        </w:rPr>
        <w:t>单位评价项目绩效评价结果</w:t>
      </w:r>
    </w:p>
    <w:p>
      <w:pPr>
        <w:widowControl/>
        <w:spacing w:before="0" w:beforeAutospacing="0" w:after="0" w:afterAutospacing="0" w:line="360" w:lineRule="auto"/>
        <w:ind w:firstLineChars="200" w:firstLine="640"/>
        <w:jc w:val="left"/>
        <w:rPr>
          <w:rFonts w:ascii="Times New Roman" w:eastAsia="黑体" w:hAnsi="Times New Roman"/>
          <w:sz w:val="32"/>
          <w:szCs w:val="32"/>
        </w:rPr>
      </w:pPr>
      <w:r>
        <w:rPr>
          <w:rFonts w:ascii="Times New Roman" w:eastAsia="黑体" w:hAnsi="Times New Roman"/>
          <w:b w:val="0"/>
          <w:sz w:val="32"/>
          <w:szCs w:val="32"/>
        </w:rPr>
        <w:t>十、其他需要说明的情况</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1.本单位2024年度政府性基金预算财政拨款收入支出决算表（公开07表）、国有资本经营预算财政拨款支出决算表（公开08表）无相应收支，故空表列示。</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2. 由于决算公开表格中金额数值应当保留两位小数，公开数据为四舍五入计算结果，个别数据合计项与分项之和存在小数点后差额，特此说明。</w:t>
      </w:r>
    </w:p>
    <w:p>
      <w:pPr>
        <w:rPr>
          <w:rFonts w:ascii="Times New Roman" w:eastAsia="仿宋_GB2312" w:cs="Times New Roman" w:hAnsi="Times New Roman"/>
          <w:sz w:val="32"/>
          <w:szCs w:val="32"/>
        </w:rPr>
      </w:pPr>
      <w:r>
        <w:rPr>
          <w:rFonts w:ascii="Times New Roman" w:eastAsia="仿宋_GB2312" w:cs="Times New Roman" w:hAnsi="Times New Roman"/>
          <w:sz w:val="32"/>
          <w:szCs w:val="32"/>
        </w:rPr>
        <w:br w:type="page"/>
      </w:r>
    </w:p>
    <w:p>
      <w:pPr>
        <w:widowControl/>
        <w:spacing w:before="0" w:beforeAutospacing="0" w:after="0" w:afterAutospacing="0" w:line="360" w:lineRule="auto"/>
        <w:jc w:val="center"/>
        <w:outlineLvl w:val="0"/>
        <w:rPr>
          <w:rFonts w:ascii="Times New Roman" w:eastAsia="黑体" w:hAnsi="Times New Roman"/>
          <w:sz w:val="44"/>
          <w:szCs w:val="44"/>
        </w:rPr>
      </w:pPr>
      <w:r>
        <w:rPr>
          <w:rFonts w:ascii="Times New Roman" w:eastAsia="黑体" w:hAnsi="Times New Roman"/>
          <w:b w:val="0"/>
          <w:sz w:val="44"/>
          <w:szCs w:val="44"/>
        </w:rPr>
        <w:t>第四部分   名词解释</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一、财政拨款收入：</w:t>
      </w:r>
      <w:r>
        <w:rPr>
          <w:rFonts w:ascii="Times New Roman" w:eastAsia="仿宋_GB2312" w:hAnsi="Times New Roman"/>
          <w:b w:val="0"/>
          <w:sz w:val="32"/>
          <w:szCs w:val="32"/>
        </w:rPr>
        <w:t>指单位从同级财政单位取得的财政预算资金。</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二、事业收入：</w:t>
      </w:r>
      <w:r>
        <w:rPr>
          <w:rFonts w:ascii="Times New Roman" w:eastAsia="仿宋_GB2312" w:hAnsi="Times New Roman"/>
          <w:b w:val="0"/>
          <w:sz w:val="32"/>
          <w:szCs w:val="32"/>
        </w:rPr>
        <w:t>指事业单位开展专业业务活动及辅助活动取得的收入。</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三、经营收入：</w:t>
      </w:r>
      <w:r>
        <w:rPr>
          <w:rFonts w:ascii="Times New Roman" w:eastAsia="仿宋_GB2312" w:hAnsi="Times New Roman"/>
          <w:b w:val="0"/>
          <w:sz w:val="32"/>
          <w:szCs w:val="32"/>
        </w:rPr>
        <w:t>指事业单位在专业业务活动及其辅助活动之外开展非独立核算经营活动取得的收入。</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四、其他收入：</w:t>
      </w:r>
      <w:r>
        <w:rPr>
          <w:rFonts w:ascii="Times New Roman" w:eastAsia="仿宋_GB2312" w:hAnsi="Times New Roman"/>
          <w:b w:val="0"/>
          <w:sz w:val="32"/>
          <w:szCs w:val="32"/>
        </w:rPr>
        <w:t>指单位取得的除上述收入以外的各项收入。主要是事业单位固定资产出租收入、存款利息收入等。</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五、使用非财政拨款结余（含专用结余）：</w:t>
      </w:r>
      <w:r>
        <w:rPr>
          <w:rFonts w:ascii="Times New Roman" w:eastAsia="仿宋_GB2312" w:hAnsi="Times New Roman"/>
          <w:b w:val="0"/>
          <w:sz w:val="32"/>
          <w:szCs w:val="32"/>
        </w:rPr>
        <w:t>指事业单位按照预算管理要求使用非财政拨款结余弥补收支差额的金额，以及使用专用结余安排支出的金额。</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六、年初结转和结余：</w:t>
      </w:r>
      <w:r>
        <w:rPr>
          <w:rFonts w:ascii="Times New Roman" w:eastAsia="仿宋_GB2312" w:hAnsi="Times New Roman"/>
          <w:b w:val="0"/>
          <w:sz w:val="32"/>
          <w:szCs w:val="32"/>
        </w:rPr>
        <w:t>指单位以前年度尚未完成、结转到本年仍按原规定用途继续使用的资金，或项目已完成等产生的结余资金。</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七、结余分配：</w:t>
      </w:r>
      <w:r>
        <w:rPr>
          <w:rFonts w:ascii="Times New Roman" w:eastAsia="仿宋_GB2312" w:hAnsi="Times New Roman"/>
          <w:b w:val="0"/>
          <w:sz w:val="32"/>
          <w:szCs w:val="32"/>
        </w:rPr>
        <w:t>指事业单位按照会计制度规定缴纳的所得税、提取的专用结余以及转入非财政拨款结余的金额等。</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八、年末结转和结余：</w:t>
      </w:r>
      <w:r>
        <w:rPr>
          <w:rFonts w:ascii="Times New Roman" w:eastAsia="仿宋_GB2312" w:hAnsi="Times New Roman"/>
          <w:b w:val="0"/>
          <w:sz w:val="32"/>
          <w:szCs w:val="32"/>
        </w:rPr>
        <w:t>指单位按有关规定结转到下年或以后年度继续使用的资金，或项目已完成等产生的结余资金。</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九、基本支出：</w:t>
      </w:r>
      <w:r>
        <w:rPr>
          <w:rFonts w:ascii="Times New Roman" w:eastAsia="仿宋_GB2312" w:hAnsi="Times New Roman"/>
          <w:b w:val="0"/>
          <w:sz w:val="32"/>
          <w:szCs w:val="32"/>
        </w:rPr>
        <w:t>指为保障机构正常运转、完成日常工作任务而发生的人员支出和公用支出。</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十、项目支出：</w:t>
      </w:r>
      <w:r>
        <w:rPr>
          <w:rFonts w:ascii="Times New Roman" w:eastAsia="仿宋_GB2312" w:hAnsi="Times New Roman"/>
          <w:b w:val="0"/>
          <w:sz w:val="32"/>
          <w:szCs w:val="32"/>
        </w:rPr>
        <w:t>指在基本支出之外为完成特定行政任务和事业发展目标所发生的支出。</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十一、经营支出 ：</w:t>
      </w:r>
      <w:r>
        <w:rPr>
          <w:rFonts w:ascii="Times New Roman" w:eastAsia="仿宋_GB2312" w:hAnsi="Times New Roman"/>
          <w:b w:val="0"/>
          <w:sz w:val="32"/>
          <w:szCs w:val="32"/>
        </w:rPr>
        <w:t>指事业单位在专业业务活动及其辅助活动之外开展非独立核算经营活动发生的支出。</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十二、基本建设支出：</w:t>
      </w:r>
      <w:r>
        <w:rPr>
          <w:rFonts w:ascii="Times New Roman" w:eastAsia="仿宋_GB2312" w:hAnsi="Times New Roman"/>
          <w:b w:val="0"/>
          <w:sz w:val="32"/>
          <w:szCs w:val="32"/>
        </w:rPr>
        <w:t>填列由本级发展与改革单位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十三、其他资本性支出：</w:t>
      </w:r>
      <w:r>
        <w:rPr>
          <w:rFonts w:ascii="Times New Roman" w:eastAsia="仿宋_GB2312" w:hAnsi="Times New Roman"/>
          <w:b w:val="0"/>
          <w:sz w:val="32"/>
          <w:szCs w:val="32"/>
        </w:rPr>
        <w:t>填列由各级非发展与改革单位集中安排的用于购置固定资产、战备性和应急性储备、土地和无形资产，以及购建基础设施、大型修缮和财政支持企业更新改造所发生的支出。</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十四、“三公”经费：</w:t>
      </w:r>
      <w:r>
        <w:rPr>
          <w:rFonts w:ascii="Times New Roman" w:eastAsia="仿宋_GB2312" w:hAnsi="Times New Roman"/>
          <w:b w:val="0"/>
          <w:sz w:val="32"/>
          <w:szCs w:val="32"/>
        </w:rPr>
        <w:t>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十五、其他交通费用：</w:t>
      </w:r>
      <w:r>
        <w:rPr>
          <w:rFonts w:ascii="Times New Roman" w:eastAsia="仿宋_GB2312" w:hAnsi="Times New Roman"/>
          <w:b w:val="0"/>
          <w:sz w:val="32"/>
          <w:szCs w:val="32"/>
        </w:rPr>
        <w:t>填列单位除公务用车运行维护费以外的其他交通费用。如公务交通补贴、租车费用、出租车费用，飞机、船舶等燃料费、维修费、保险费等。</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十六、公务用车购置：</w:t>
      </w:r>
      <w:r>
        <w:rPr>
          <w:rFonts w:ascii="Times New Roman" w:eastAsia="仿宋_GB2312" w:hAnsi="Times New Roman"/>
          <w:b w:val="0"/>
          <w:sz w:val="32"/>
          <w:szCs w:val="32"/>
        </w:rPr>
        <w:t>填列单位公务用车车辆购置支出（含车辆购置税、牌照费）。</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十七、其他交通工具购置：</w:t>
      </w:r>
      <w:r>
        <w:rPr>
          <w:rFonts w:ascii="Times New Roman" w:eastAsia="仿宋_GB2312" w:hAnsi="Times New Roman"/>
          <w:b w:val="0"/>
          <w:sz w:val="32"/>
          <w:szCs w:val="32"/>
        </w:rPr>
        <w:t>填列单位除公务用车外的其他各类交通工具（如船舶、飞机等）购置支出（含车辆购置税、牌照费）。</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十八、机关运行经费：</w:t>
      </w:r>
      <w:r>
        <w:rPr>
          <w:rFonts w:ascii="Times New Roman" w:eastAsia="仿宋_GB2312" w:hAnsi="Times New Roman"/>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rtlGutter/>
      <w:docGrid w:type="lines" w:linePitch="329" w:charSpace="0"/>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00" w:usb3="00000000" w:csb0="00040000" w:csb1="00000000"/>
  </w:font>
  <w:font w:name="楷体_GB2312">
    <w:panose1 w:val="02010609030101010101"/>
    <w:charset w:val="86"/>
    <w:family w:val="auto"/>
    <w:pitch w:val="variable"/>
    <w:sig w:usb0="00000001" w:usb1="080E0000" w:usb2="00000000" w:usb3="00000000" w:csb0="00040000" w:csb1="00000000"/>
  </w:font>
  <w:font w:name="黑体">
    <w:panose1 w:val="02010609060101010101"/>
    <w:charset w:val="86"/>
    <w:family w:val="auto"/>
    <w:pitch w:val="variable"/>
    <w:sig w:usb0="800002BF" w:usb1="38CF7CFA" w:usb2="00000016" w:usb3="00000000" w:csb0="00040001" w:csb1="00000000"/>
  </w:font>
  <w:font w:name="Times New Roman">
    <w:panose1 w:val="02020603050405020304"/>
    <w:charset w:val="86"/>
    <w:family w:val="auto"/>
    <w:pitch w:val="variable"/>
    <w:sig w:usb0="E0002AFF" w:usb1="C0007841" w:usb2="00000009" w:usb3="00000000" w:csb0="400001FF" w:csb1="FFFF0000"/>
  </w:font>
  <w:font w:name="仿宋_GB2312">
    <w:panose1 w:val="02010609030101010101"/>
    <w:charset w:val="86"/>
    <w:family w:val="auto"/>
    <w:pitch w:val="variable"/>
    <w:sig w:usb0="00000001" w:usb1="080E0000" w:usb2="00000000" w:usb3="00000000" w:csb0="00040000" w:csb1="00000000"/>
  </w:font>
  <w:font w:name="ArialUnicodeMS">
    <w:altName w:val="Malgun Gothic"/>
    <w:panose1 w:val="00000000000000000000"/>
    <w:charset w:val="81"/>
    <w:family w:val="auto"/>
    <w:pitch w:val="variable"/>
    <w:sig w:usb0="00000000" w:usb1="00000000" w:usb2="00000010" w:usb3="00000000" w:csb0="00080001" w:csb1="00000000"/>
  </w:font>
  <w:font w:name="Calibri">
    <w:panose1 w:val="020F0502020204030204"/>
    <w:charset w:val="00"/>
    <w:family w:val="swiss"/>
    <w:pitch w:val="variable"/>
    <w:sig w:usb0="E00002FF" w:usb1="4000ACFF" w:usb2="00000001" w:usb3="00000000" w:csb0="2000019F" w:csb1="00000000"/>
  </w:font>
  <w:font w:name="方正仿宋_GB2312">
    <w:altName w:val="Microsoft YaHei UI"/>
    <w:panose1 w:val="02000000000000000000"/>
    <w:charset w:val="86"/>
    <w:family w:val="auto"/>
    <w:pitch w:val="variable"/>
    <w:sig w:usb0="00000000" w:usb1="00000000" w:usb2="00000000" w:usb3="00000000" w:csb0="00000000" w:csb1="00000000"/>
  </w:font>
  <w:font w:name="宋体">
    <w:panose1 w:val="02010600030101010101"/>
    <w:charset w:val="50"/>
    <w:family w:val="auto"/>
    <w:pitch w:val="variable"/>
    <w:sig w:usb0="00000003" w:usb1="288F0000" w:usb2="00000006" w:usb3="00000000" w:csb0="00040001" w:csb1="00000000"/>
  </w:font>
  <w:font w:name="仿宋">
    <w:panose1 w:val="02010609060101010101"/>
    <w:charset w:val="86"/>
    <w:family w:val="modern"/>
    <w:pitch w:val="variable"/>
    <w:sig w:usb0="800002BF" w:usb1="38CF7CFA" w:usb2="00000016" w:usb3="00000000" w:csb0="00040001" w:csb1="00000000"/>
  </w:font>
  <w:font w:name="Arial">
    <w:panose1 w:val="020B0604020202020204"/>
    <w:charset w:val="01"/>
    <w:family w:val="swiss"/>
    <w:pitch w:val="variable"/>
    <w:sig w:usb0="E0002AFF" w:usb1="C0007843" w:usb2="00000009" w:usb3="00000000" w:csb0="400001FF" w:csb1="FFFF0000"/>
  </w:font>
  <w:font w:name="Calibri Light">
    <w:panose1 w:val="020F0302020204030204"/>
    <w:charset w:val="00"/>
    <w:family w:val="auto"/>
    <w:pitch w:val="variable"/>
    <w:sig w:usb0="A00002EF" w:usb1="4000207B" w:usb2="00000000" w:usb3="00000000" w:csb0="2000019F" w:csb1="00000000"/>
  </w:font>
  <w:font w:name="华文中宋">
    <w:altName w:val="宋体"/>
    <w:panose1 w:val="02010600040101010101"/>
    <w:charset w:val="86"/>
    <w:family w:val="auto"/>
    <w:pitch w:val="variable"/>
    <w:sig w:usb0="00000000" w:usb1="00000000" w:usb2="00000000" w:usb3="00000000" w:csb0="0004009F" w:csb1="DFD7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7"/>
      <w:tabs>
        <w:tab w:val="center" w:pos="4153"/>
        <w:tab w:val="right" w:pos="8306"/>
      </w:tabs>
      <w:jc w:val="center"/>
    </w:pPr>
  </w:p>
  <w:p>
    <w:pPr>
      <w:pStyle w:val="17"/>
      <w:tabs>
        <w:tab w:val="center" w:pos="4153"/>
        <w:tab w:val="right" w:pos="8306"/>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ftr>
</file>

<file path=word/footer4.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7"/>
      <w:tabs>
        <w:tab w:val="center" w:pos="4153"/>
        <w:tab w:val="right" w:pos="8306"/>
      </w:tabs>
    </w:pPr>
  </w:p>
</w:ftr>
</file>

<file path=word/footer5.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8"/>
      <w:tabs>
        <w:tab w:val="center" w:pos="4153"/>
        <w:tab w:val="right" w:pos="8306"/>
      </w:tabs>
    </w:pPr>
  </w:p>
</w:hdr>
</file>

<file path=word/header2.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8"/>
      <w:tabs>
        <w:tab w:val="center" w:pos="4153"/>
        <w:tab w:val="right" w:pos="8306"/>
      </w:tabs>
    </w:pPr>
  </w:p>
</w:hdr>
</file>

<file path=word/header3.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8"/>
      <w:tabs>
        <w:tab w:val="center" w:pos="4153"/>
        <w:tab w:val="right" w:pos="8306"/>
      </w:tabs>
    </w:pPr>
  </w:p>
</w:hd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A9AD5D27"/>
    <w:multiLevelType w:val="singleLevel"/>
    <w:tmpl w:val="A9AD5D27"/>
    <w:lvl w:ilvl="0">
      <w:start w:val="1"/>
      <w:numFmt w:val="decimal"/>
      <w:lvlRestart w:val="0"/>
      <w:suff w:val="nothing"/>
      <w:lvlText w:val="%1、"/>
      <w:lvlJc w:val="left"/>
      <w:pPr>
        <w:ind w:left="0" w:hanging="0"/>
      </w:pPr>
    </w:lvl>
  </w:abstractNum>
  <w:abstractNum w:abstractNumId="1">
    <w:nsid w:val="04FB5AE3"/>
    <w:multiLevelType w:val="singleLevel"/>
    <w:tmpl w:val="04FB5AE3"/>
    <w:lvl w:ilvl="0">
      <w:start w:val="3"/>
      <w:numFmt w:val="chineseCounting"/>
      <w:lvlRestart w:val="0"/>
      <w:suff w:val="nothing"/>
      <w:lvlText w:val="（%1）"/>
      <w:lvlJc w:val="left"/>
      <w:pPr>
        <w:ind w:left="0" w:hanging="0"/>
      </w:pPr>
      <w:rPr>
        <w:rFonts w:hint="eastAsia"/>
      </w:rPr>
    </w:lvl>
  </w:abstractNum>
  <w:abstractNum w:abstractNumId="2">
    <w:nsid w:val="C61FB684"/>
    <w:multiLevelType w:val="multilevel"/>
    <w:tmpl w:val="5F16A424"/>
    <w:lvl w:ilvl="0">
      <w:start w:val="1"/>
      <w:numFmt w:val="decimal"/>
      <w:lvlRestart w:val="0"/>
      <w:pStyle w:val="1"/>
      <w:lvlText w:val="%1."/>
      <w:lvlJc w:val="left"/>
      <w:pPr>
        <w:ind w:left="425" w:hanging="425"/>
      </w:pPr>
      <w:rPr>
        <w:rFonts w:hint="default"/>
      </w:rPr>
    </w:lvl>
    <w:lvl w:ilvl="1">
      <w:start w:val="1"/>
      <w:numFmt w:val="decimal"/>
      <w:pStyle w:val="2"/>
      <w:lvlText w:val="%1.%2."/>
      <w:lvlJc w:val="left"/>
      <w:pPr>
        <w:ind w:left="567" w:hanging="567"/>
      </w:pPr>
      <w:rPr>
        <w:rFonts w:hint="default"/>
      </w:rPr>
    </w:lvl>
    <w:lvl w:ilvl="2">
      <w:start w:val="1"/>
      <w:numFmt w:val="decimal"/>
      <w:pStyle w:val="3"/>
      <w:lvlText w:val="%1.%2.%3."/>
      <w:lvlJc w:val="left"/>
      <w:pPr>
        <w:ind w:left="709" w:hanging="709"/>
      </w:pPr>
      <w:rPr>
        <w:rFonts w:hint="default"/>
      </w:rPr>
    </w:lvl>
    <w:lvl w:ilvl="3">
      <w:start w:val="1"/>
      <w:numFmt w:val="decimal"/>
      <w:pStyle w:val="4"/>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num w:numId="1">
    <w:abstractNumId w:val="0"/>
  </w:num>
  <w:num w:numId="2">
    <w:abstractNumId w:val="1"/>
  </w:num>
  <w:num w:numId="3">
    <w:abstractNumId w:val="2"/>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displayBackgroundShape/>
  <w:bordersDoNotSurroundHeader w:val="0"/>
  <w:bordersDoNotSurroundFooter w:val="0"/>
  <w:documentProtection w:edit="readOnly" w:enforcement="0"/>
  <w:defaultTabStop w:val="420"/>
  <w:drawingGridHorizontalSpacing w:val="120"/>
  <w:drawingGridVerticalSpacing w:val="165"/>
  <w:displayHorizontalDrawingGridEvery w:val="1"/>
  <w:displayVerticalDrawingGridEvery w:val="1"/>
  <w:noPunctuationKerning/>
  <w:characterSpacingControl w:val="compressPunctuation"/>
  <w:compat>
    <w:spaceForUL/>
    <w:balanceSingleByteDoubleByteWidth/>
    <w:ulTrailSpace/>
    <w:doNotExpandShiftReturn/>
    <w:adjustLineHeightInTable/>
    <w:doNotUseIndentAsNumberingTabStop/>
    <w:useAltKinsokuLineBreakRules/>
    <w:compatSetting w:name="compatibilityMode" w:uri="http://schemas.microsoft.com/office/word" w:val="14"/>
  </w:compat>
  <w:docVars>
    <w:docVar w:name="commondata" w:val="eyJjb3VudCI6NjksImhkaWQiOiJiMzk2N2EzZjUyYWViODRjZjJhMDZjM2YyYjk4MTExMiIsInVzZXJDb3VudCI6MX0="/>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Arial"/>
        <w:lang w:val="en-US" w:eastAsia="zh-CN" w:bidi="ar-SA"/>
      </w:rPr>
    </w:rPrDefault>
    <w:pPrDefault/>
  </w:docDefaults>
  <w:style w:type="paragraph" w:default="1" w:styleId="0">
    <w:name w:val="Normal"/>
    <w:pPr>
      <w:widowControl w:val="0"/>
      <w:jc w:val="both"/>
    </w:pPr>
    <w:rPr>
      <w:rFonts w:ascii="Calibri" w:eastAsia="宋体" w:cs="宋体" w:hAnsi="Times New Roman"/>
      <w:color w:val="auto"/>
      <w:kern w:val="0"/>
      <w:sz w:val="24"/>
      <w:szCs w:val="24"/>
      <w:lang w:val="en-US" w:eastAsia="zh-CN" w:bidi="ar-SA"/>
    </w:rPr>
  </w:style>
  <w:style w:type="paragraph" w:styleId="1">
    <w:name w:val="heading 1"/>
    <w:basedOn w:val="0"/>
    <w:next w:val="0"/>
    <w:pPr>
      <w:keepNext/>
      <w:keepLines/>
      <w:widowControl w:val="0"/>
      <w:numPr>
        <w:ilvl w:val="0"/>
        <w:numId w:val="3"/>
      </w:numPr>
      <w:adjustRightInd w:val="0"/>
      <w:snapToGrid w:val="0"/>
      <w:spacing w:before="340" w:afterLines="50" w:after="50" w:line="578" w:lineRule="auto"/>
      <w:ind w:left="425" w:hanging="425"/>
      <w:jc w:val="left"/>
      <w:outlineLvl w:val="0"/>
    </w:pPr>
    <w:rPr>
      <w:rFonts w:ascii="Times New Roman" w:eastAsia="仿宋" w:cs="Times New Roman" w:hAnsi="Times New Roman"/>
      <w:b/>
      <w:bCs/>
      <w:kern w:val="44"/>
      <w:sz w:val="36"/>
      <w:szCs w:val="44"/>
    </w:rPr>
  </w:style>
  <w:style w:type="paragraph" w:styleId="2">
    <w:name w:val="heading 2"/>
    <w:basedOn w:val="0"/>
    <w:next w:val="0"/>
    <w:pPr>
      <w:widowControl w:val="0"/>
      <w:numPr>
        <w:ilvl w:val="1"/>
        <w:numId w:val="3"/>
      </w:numPr>
      <w:spacing w:line="415" w:lineRule="auto"/>
      <w:ind w:left="567" w:hanging="567"/>
      <w:outlineLvl w:val="1"/>
    </w:pPr>
    <w:rPr>
      <w:rFonts w:ascii="Calibri Light" w:eastAsia="宋体" w:cs="Times New Roman" w:hAnsi="Calibri Light"/>
      <w:b/>
      <w:bCs/>
      <w:sz w:val="28"/>
      <w:szCs w:val="32"/>
    </w:rPr>
  </w:style>
  <w:style w:type="paragraph" w:styleId="3">
    <w:name w:val="heading 3"/>
    <w:basedOn w:val="0"/>
    <w:next w:val="0"/>
    <w:pPr>
      <w:keepNext/>
      <w:keepLines/>
      <w:widowControl w:val="0"/>
      <w:numPr>
        <w:ilvl w:val="2"/>
        <w:numId w:val="3"/>
      </w:numPr>
      <w:spacing w:beforeLines="50" w:before="50" w:afterLines="50" w:after="50" w:line="415" w:lineRule="auto"/>
      <w:outlineLvl w:val="2"/>
    </w:pPr>
    <w:rPr>
      <w:rFonts w:ascii="宋体" w:eastAsia="宋体" w:cs="宋体" w:hAnsi="宋体"/>
      <w:b/>
      <w:bCs/>
      <w:sz w:val="32"/>
    </w:rPr>
  </w:style>
  <w:style w:type="paragraph" w:styleId="4">
    <w:name w:val="heading 4"/>
    <w:basedOn w:val="0"/>
    <w:next w:val="0"/>
    <w:pPr>
      <w:keepNext/>
      <w:keepLines/>
      <w:widowControl w:val="0"/>
      <w:numPr>
        <w:ilvl w:val="3"/>
        <w:numId w:val="3"/>
      </w:numPr>
      <w:spacing w:before="120" w:after="120"/>
      <w:outlineLvl w:val="3"/>
    </w:pPr>
    <w:rPr>
      <w:rFonts w:ascii="Calibri Light" w:eastAsia="宋体" w:cs="Times New Roman" w:hAnsi="Calibri Light"/>
      <w:b/>
      <w:bCs/>
      <w:sz w:val="28"/>
      <w:szCs w:val="28"/>
    </w:rPr>
  </w:style>
  <w:style w:type="character" w:default="1" w:styleId="10">
    <w:name w:val="Default Paragraph Font"/>
  </w:style>
  <w:style w:type="paragraph" w:styleId="15">
    <w:name w:val="annotation text"/>
    <w:basedOn w:val="0"/>
    <w:pPr>
      <w:jc w:val="left"/>
    </w:pPr>
  </w:style>
  <w:style w:type="paragraph" w:styleId="16">
    <w:name w:val="Balloon Text"/>
    <w:basedOn w:val="0"/>
    <w:rPr>
      <w:rFonts w:cs="Arial"/>
      <w:kern w:val="2"/>
      <w:sz w:val="18"/>
      <w:szCs w:val="18"/>
    </w:rPr>
  </w:style>
  <w:style w:type="paragraph" w:styleId="17">
    <w:name w:val="footer"/>
    <w:basedOn w:val="0"/>
    <w:pPr>
      <w:tabs>
        <w:tab w:val="center" w:pos="4153"/>
        <w:tab w:val="right" w:pos="8306"/>
      </w:tabs>
      <w:snapToGrid w:val="0"/>
      <w:jc w:val="left"/>
    </w:pPr>
    <w:rPr>
      <w:rFonts w:cs="Arial"/>
      <w:kern w:val="2"/>
      <w:sz w:val="18"/>
      <w:szCs w:val="18"/>
    </w:rPr>
  </w:style>
  <w:style w:type="paragraph" w:styleId="18">
    <w:name w:val="header"/>
    <w:basedOn w:val="0"/>
    <w:pPr>
      <w:pBdr>
        <w:top w:val="none" w:sz="0" w:space="0" w:color="auto"/>
        <w:left w:val="none" w:sz="0" w:space="0" w:color="auto"/>
        <w:bottom w:val="none" w:sz="0" w:space="0" w:color="auto"/>
        <w:right w:val="none" w:sz="0" w:space="0" w:color="auto"/>
      </w:pBdr>
      <w:tabs>
        <w:tab w:val="center" w:pos="4153"/>
        <w:tab w:val="right" w:pos="8306"/>
      </w:tabs>
      <w:snapToGrid w:val="0"/>
      <w:jc w:val="center"/>
    </w:pPr>
    <w:rPr>
      <w:rFonts w:cs="Arial"/>
      <w:kern w:val="2"/>
      <w:sz w:val="18"/>
      <w:szCs w:val="18"/>
    </w:rPr>
  </w:style>
  <w:style w:type="paragraph" w:styleId="19">
    <w:name w:val="Normal (Web)"/>
    <w:basedOn w:val="0"/>
    <w:pPr>
      <w:spacing w:before="0" w:beforeAutospacing="1" w:after="0" w:afterAutospacing="1"/>
      <w:ind w:left="0" w:right="0"/>
      <w:jc w:val="left"/>
    </w:pPr>
    <w:rPr>
      <w:kern w:val="0"/>
      <w:sz w:val="24"/>
      <w:lang w:val="en-US" w:eastAsia="zh-CN"/>
    </w:rPr>
  </w:style>
  <w:style w:type="character" w:styleId="20">
    <w:name w:val="Strong"/>
    <w:basedOn w:val="10"/>
    <w:rPr>
      <w:b/>
    </w:rPr>
  </w:style>
  <w:style w:type="character" w:customStyle="1" w:styleId="21">
    <w:name w:val="font11"/>
    <w:basedOn w:val="10"/>
    <w:rPr>
      <w:rFonts w:ascii="宋体" w:eastAsia="宋体" w:cs="宋体" w:hAnsi="宋体"/>
      <w:color w:val="000000"/>
      <w:sz w:val="20"/>
      <w:szCs w:val="20"/>
      <w:u w:val="none"/>
      <w:lang w:val="en-US" w:eastAsia="zh-CN" w:bidi="ar-SA"/>
    </w:rPr>
  </w:style>
  <w:style w:type="character" w:customStyle="1" w:styleId="22">
    <w:name w:val="font01"/>
    <w:basedOn w:val="10"/>
    <w:rPr>
      <w:rFonts w:ascii="宋体" w:eastAsia="宋体" w:cs="宋体" w:hAnsi="宋体"/>
      <w:color w:val="000000"/>
      <w:sz w:val="22"/>
      <w:szCs w:val="22"/>
      <w:u w:val="none"/>
      <w:lang w:val="en-US" w:eastAsia="zh-CN" w:bidi="ar-SA"/>
    </w:rPr>
  </w:style>
  <w:style w:type="character" w:customStyle="1" w:styleId="23">
    <w:name w:val="font41"/>
    <w:basedOn w:val="10"/>
    <w:rPr>
      <w:rFonts w:ascii="宋体" w:eastAsia="宋体" w:cs="宋体" w:hAnsi="宋体"/>
      <w:color w:val="000000"/>
      <w:sz w:val="24"/>
      <w:szCs w:val="24"/>
      <w:u w:val="none"/>
      <w:lang w:val="en-US" w:eastAsia="zh-CN" w:bidi="ar-SA"/>
    </w:rPr>
  </w:style>
  <w:style w:type="character" w:customStyle="1" w:styleId="24">
    <w:name w:val="font31"/>
    <w:basedOn w:val="10"/>
    <w:rPr>
      <w:rFonts w:ascii="华文中宋" w:eastAsia="华文中宋" w:cs="华文中宋" w:hAnsi="华文中宋"/>
      <w:color w:val="000000"/>
      <w:sz w:val="32"/>
      <w:szCs w:val="32"/>
      <w:u w:val="none"/>
      <w:lang w:val="en-US" w:eastAsia="zh-CN" w:bidi="ar-SA"/>
    </w:rPr>
  </w:style>
  <w:style w:type="character" w:customStyle="1" w:styleId="25">
    <w:name w:val="font91"/>
    <w:basedOn w:val="10"/>
    <w:rPr>
      <w:rFonts w:ascii="华文中宋" w:eastAsia="华文中宋" w:cs="华文中宋" w:hAnsi="华文中宋"/>
      <w:color w:val="000000"/>
      <w:sz w:val="32"/>
      <w:szCs w:val="32"/>
      <w:u w:val="none"/>
      <w:lang w:val="en-US" w:eastAsia="zh-CN" w:bidi="ar-SA"/>
    </w:rPr>
  </w:style>
  <w:style w:type="character" w:customStyle="1" w:styleId="26">
    <w:name w:val="font51"/>
    <w:basedOn w:val="10"/>
    <w:rPr>
      <w:rFonts w:ascii="宋体" w:eastAsia="宋体" w:cs="宋体" w:hAnsi="宋体"/>
      <w:color w:val="000000"/>
      <w:sz w:val="24"/>
      <w:szCs w:val="24"/>
      <w:u w:val="none"/>
      <w:lang w:val="en-US" w:eastAsia="zh-CN" w:bidi="ar-SA"/>
    </w:rPr>
  </w:style>
  <w:style w:type="character" w:customStyle="1" w:styleId="27">
    <w:name w:val="font21"/>
    <w:basedOn w:val="10"/>
    <w:rPr>
      <w:rFonts w:ascii="Calibri" w:cs="Calibri" w:hAnsi="Calibri"/>
      <w:color w:val="000000"/>
      <w:sz w:val="20"/>
      <w:szCs w:val="20"/>
      <w:u w:val="non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image" Target="media/2.jpeg"/><Relationship Id="rId4" Type="http://schemas.openxmlformats.org/officeDocument/2006/relationships/footer" Target="footer2.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3.xml"/><Relationship Id="rId8" Type="http://schemas.openxmlformats.org/officeDocument/2006/relationships/footer" Target="footer4.xml"/><Relationship Id="rId9" Type="http://schemas.openxmlformats.org/officeDocument/2006/relationships/header" Target="header3.xml"/><Relationship Id="rId10" Type="http://schemas.openxmlformats.org/officeDocument/2006/relationships/footer" Target="footer5.xml"/><Relationship Id="rId11" Type="http://schemas.openxmlformats.org/officeDocument/2006/relationships/chart" Target="charts/chart1.xml"/><Relationship Id="rId12" Type="http://schemas.openxmlformats.org/officeDocument/2006/relationships/chart" Target="charts/chart2.xml"/><Relationship Id="rId13" Type="http://schemas.openxmlformats.org/officeDocument/2006/relationships/chart" Target="charts/chart3.xml"/><Relationship Id="rId14" Type="http://schemas.openxmlformats.org/officeDocument/2006/relationships/chart" Target="charts/chart4.xml"/><Relationship Id="rId15" Type="http://schemas.openxmlformats.org/officeDocument/2006/relationships/chart" Target="charts/chart5.xml"/><Relationship Id="rId16" Type="http://schemas.openxmlformats.org/officeDocument/2006/relationships/chart" Target="charts/chart6.xml"/><Relationship Id="rId17" Type="http://schemas.openxmlformats.org/officeDocument/2006/relationships/styles" Target="styles.xml"/><Relationship Id="rId18" Type="http://schemas.openxmlformats.org/officeDocument/2006/relationships/numbering" Target="numbering.xml"/><Relationship Id="rId19" Type="http://schemas.openxmlformats.org/officeDocument/2006/relationships/fontTable" Target="fontTable.xml"/><Relationship Id="rId20" Type="http://schemas.openxmlformats.org/officeDocument/2006/relationships/customXml" Target="../customXml/item1.xml"/></Relationships>
</file>

<file path=word/charts/_rels/chart1.xml.rels><?xml version="1.0" encoding="UTF-8" standalone="yes"?>
<Relationships xmlns="http://schemas.openxmlformats.org/package/2006/relationships"><Relationship Id="rId1" Type="http://schemas.openxmlformats.org/officeDocument/2006/relationships/package" Target="../embeddings/char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char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char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char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char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chart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宋体"/>
                <a:cs typeface="Arial"/>
              </a:defRPr>
            </a:pPr>
            <a:r>
              <a:rPr lang="zh-CN" sz="1400" b="1" i="0" u="none" strike="noStrike" baseline="0">
                <a:solidFill>
                  <a:srgbClr val="404040"/>
                </a:solidFill>
                <a:latin typeface="Times New Roman"/>
                <a:ea typeface="宋体"/>
                <a:cs typeface="Arial"/>
              </a:rPr>
              <a:t>图 </a:t>
            </a:r>
            <a:r>
              <a:rPr lang="zh-CN" sz="1400" b="1" i="0" u="none" strike="noStrike" baseline="0">
                <a:solidFill>
                  <a:srgbClr val="404040"/>
                </a:solidFill>
                <a:latin typeface="Times New Roman"/>
                <a:ea typeface="宋体"/>
                <a:cs typeface="Arial"/>
              </a:rPr>
              <a:t>1 </a:t>
            </a:r>
            <a:r>
              <a:rPr lang="zh-CN" sz="1400" b="1" i="0" u="none" strike="noStrike" baseline="0">
                <a:solidFill>
                  <a:srgbClr val="404040"/>
                </a:solidFill>
                <a:latin typeface="Times New Roman"/>
                <a:ea typeface="宋体"/>
                <a:cs typeface="Arial"/>
              </a:rPr>
              <a:t>： </a:t>
            </a:r>
            <a:r>
              <a:rPr lang="zh-CN" sz="1400" b="1" i="0" u="none" strike="noStrike" baseline="0">
                <a:solidFill>
                  <a:srgbClr val="404040"/>
                </a:solidFill>
                <a:latin typeface="Times New Roman"/>
                <a:ea typeface="宋体"/>
                <a:cs typeface="Arial"/>
              </a:rPr>
              <a:t>2023-2024</a:t>
            </a:r>
            <a:r>
              <a:rPr lang="zh-CN" sz="1400" b="1" i="0" u="none" strike="noStrike" baseline="0">
                <a:solidFill>
                  <a:srgbClr val="404040"/>
                </a:solidFill>
                <a:latin typeface="Times New Roman"/>
                <a:ea typeface="宋体"/>
                <a:cs typeface="Arial"/>
              </a:rPr>
              <a:t>年收支总计对比图（万元）</a:t>
            </a:r>
          </a:p>
        </c:rich>
      </c:tx>
      <c:layout/>
      <c:overlay val="0"/>
      <c:spPr>
        <a:noFill/>
        <a:ln>
          <a:noFill/>
        </a:ln>
      </c:spPr>
    </c:title>
    <c:autoTitleDeleted val="1"/>
    <c:plotArea>
      <c:layout/>
      <c:barChart>
        <c:barDir val="col"/>
        <c:grouping val="clustered"/>
        <c:varyColors val="0"/>
        <c:ser>
          <c:idx val="0"/>
          <c:order val="0"/>
          <c:tx>
            <c:strRef>
              <c:f>'Sheet1'!$B$1</c:f>
              <c:strCache>
                <c:ptCount val="1"/>
                <c:pt idx="0">
                  <c:v>收支总计</c:v>
                </c:pt>
              </c:strCache>
            </c:strRef>
          </c:tx>
          <c:spPr>
            <a:solidFill>
              <a:srgbClr val="4874CB"/>
            </a:solidFill>
            <a:ln>
              <a:noFill/>
            </a:ln>
          </c:spPr>
          <c:invertIfNegative val="0"/>
          <c:dLbls>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numFmt formatCode="General" sourceLinked="1"/>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Ref>
              <c:f>'Sheet1'!$A$2:$A$3</c:f>
              <c:strCache>
                <c:ptCount val="2"/>
                <c:pt idx="0">
                  <c:v>2023年</c:v>
                </c:pt>
                <c:pt idx="1">
                  <c:v>2024年</c:v>
                </c:pt>
              </c:strCache>
            </c:strRef>
          </c:cat>
          <c:val>
            <c:numRef>
              <c:f>'Sheet1'!$B$2:$B$3</c:f>
              <c:numCache>
                <c:formatCode>General</c:formatCode>
                <c:ptCount val="2"/>
                <c:pt idx="0">
                  <c:v>11116.47</c:v>
                </c:pt>
                <c:pt idx="1">
                  <c:v>7853.23</c:v>
                </c:pt>
              </c:numCache>
            </c:numRef>
          </c:val>
        </c:ser>
        <c:overlap val="-28"/>
        <c:gapWidth val="246"/>
        <c:axId val="0"/>
        <c:axId val="1"/>
      </c:barChart>
      <c:catAx>
        <c:axId val="0"/>
        <c:scaling>
          <c:orientation val="minMax"/>
        </c:scaling>
        <c:delete val="0"/>
        <c:axPos val="b"/>
        <c:numFmt formatCode="General" sourceLinked="0"/>
        <c:majorTickMark val="none"/>
        <c:minorTickMark val="none"/>
        <c:tickLblPos val="nextTo"/>
        <c:spPr>
          <a:ln w="6350">
            <a:solidFill>
              <a:srgbClr val="D9D9D9"/>
            </a:solidFill>
            <a:prstDash val="solid"/>
          </a:ln>
        </c:spPr>
        <c:txPr>
          <a:bodyPr/>
          <a:lstStyle/>
          <a:p>
            <a:pPr>
              <a:defRPr sz="900" b="0" i="0" u="none" strike="noStrike" baseline="0">
                <a:solidFill>
                  <a:srgbClr val="595959"/>
                </a:solidFill>
                <a:latin typeface="Times New Roman"/>
                <a:ea typeface="宋体"/>
                <a:cs typeface="Arial"/>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E6E6E6"/>
              </a:solidFill>
              <a:prstDash val="solid"/>
            </a:ln>
          </c:spPr>
        </c:majorGridlines>
        <c:numFmt formatCode="General" sourceLinked="1"/>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Arial"/>
              </a:defRPr>
            </a:pPr>
            <a:endParaRPr lang="zh-CN"/>
          </a:p>
        </c:txPr>
        <c:crossesAt val="1.0"/>
        <c:crossBetween val="between"/>
        <c:crossAx val="0"/>
      </c:valAx>
      <c:spPr>
        <a:noFill/>
        <a:ln>
          <a:noFill/>
        </a:ln>
      </c:spPr>
    </c:plotArea>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宋体"/>
                <a:cs typeface="Arial"/>
              </a:defRPr>
            </a:pPr>
            <a:r>
              <a:rPr lang="zh-CN" sz="1400" b="1" i="0" u="none" strike="noStrike" baseline="0">
                <a:solidFill>
                  <a:srgbClr val="404040"/>
                </a:solidFill>
                <a:latin typeface="Times New Roman"/>
                <a:ea typeface="宋体"/>
                <a:cs typeface="Arial"/>
              </a:rPr>
              <a:t>图 </a:t>
            </a:r>
            <a:r>
              <a:rPr lang="zh-CN" sz="1400" b="1" i="0" u="none" strike="noStrike" baseline="0">
                <a:solidFill>
                  <a:srgbClr val="404040"/>
                </a:solidFill>
                <a:latin typeface="Times New Roman"/>
                <a:ea typeface="宋体"/>
                <a:cs typeface="Arial"/>
              </a:rPr>
              <a:t>2 </a:t>
            </a:r>
            <a:r>
              <a:rPr lang="zh-CN" sz="1400" b="1" i="0" u="none" strike="noStrike" baseline="0">
                <a:solidFill>
                  <a:srgbClr val="404040"/>
                </a:solidFill>
                <a:latin typeface="Times New Roman"/>
                <a:ea typeface="宋体"/>
                <a:cs typeface="Arial"/>
              </a:rPr>
              <a:t>：收入决算构成情况图</a:t>
            </a:r>
          </a:p>
        </c:rich>
      </c:tx>
      <c:layout/>
      <c:overlay val="0"/>
      <c:spPr>
        <a:noFill/>
        <a:ln>
          <a:noFill/>
        </a:ln>
      </c:spPr>
    </c:title>
    <c:autoTitleDeleted val="1"/>
    <c:plotArea>
      <c:layout/>
      <c:pieChart>
        <c:varyColors val="1"/>
        <c:ser>
          <c:idx val="0"/>
          <c:order val="0"/>
          <c:tx>
            <c:strRef>
              <c:f>'Sheet1 (2)'!$B$1</c:f>
              <c:strCache>
                <c:ptCount val="1"/>
                <c:pt idx="0">
                  <c:v>金额</c:v>
                </c:pt>
              </c:strCache>
            </c:strRef>
          </c:tx>
          <c:spPr>
            <a:solidFill>
              <a:srgbClr val="4F81BD"/>
            </a:solidFill>
            <a:ln>
              <a:noFill/>
            </a:ln>
          </c:spPr>
          <c:dPt>
            <c:idx val="0"/>
            <c:bubble3D val="0"/>
            <c:spPr>
              <a:solidFill>
                <a:srgbClr val="4874CB"/>
              </a:solidFill>
              <a:ln w="6350">
                <a:solidFill>
                  <a:srgbClr val="FFFFFF"/>
                </a:solidFill>
                <a:prstDash val="solid"/>
              </a:ln>
            </c:spPr>
          </c:dPt>
          <c:dPt>
            <c:idx val="1"/>
            <c:bubble3D val="0"/>
            <c:spPr>
              <a:solidFill>
                <a:srgbClr val="EE822F"/>
              </a:solidFill>
              <a:ln w="6350">
                <a:solidFill>
                  <a:srgbClr val="FFFFFF"/>
                </a:solidFill>
                <a:prstDash val="solid"/>
              </a:ln>
            </c:spPr>
          </c:dPt>
          <c:dPt>
            <c:idx val="2"/>
            <c:bubble3D val="0"/>
            <c:spPr>
              <a:solidFill>
                <a:srgbClr val="F2BA02"/>
              </a:solidFill>
              <a:ln w="6350">
                <a:solidFill>
                  <a:srgbClr val="FFFFFF"/>
                </a:solidFill>
                <a:prstDash val="solid"/>
              </a:ln>
            </c:spPr>
          </c:dPt>
          <c:dPt>
            <c:idx val="3"/>
            <c:bubble3D val="0"/>
            <c:spPr>
              <a:solidFill>
                <a:srgbClr val="75BD42"/>
              </a:solidFill>
              <a:ln w="6350">
                <a:solidFill>
                  <a:srgbClr val="FFFFFF"/>
                </a:solidFill>
                <a:prstDash val="solid"/>
              </a:ln>
            </c:spPr>
          </c:dPt>
          <c:dPt>
            <c:idx val="4"/>
            <c:bubble3D val="0"/>
            <c:spPr>
              <a:solidFill>
                <a:srgbClr val="30C0B4"/>
              </a:solidFill>
              <a:ln w="6350">
                <a:solidFill>
                  <a:srgbClr val="FFFFFF"/>
                </a:solidFill>
                <a:prstDash val="solid"/>
              </a:ln>
            </c:spPr>
          </c:dPt>
          <c:dPt>
            <c:idx val="5"/>
            <c:bubble3D val="0"/>
            <c:spPr>
              <a:solidFill>
                <a:srgbClr val="E54C5E"/>
              </a:solidFill>
              <a:ln w="6350">
                <a:solidFill>
                  <a:srgbClr val="FFFFFF"/>
                </a:solidFill>
                <a:prstDash val="solid"/>
              </a:ln>
            </c:spPr>
          </c:dPt>
          <c:dLbls>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numFmt formatCode="0.0%" sourceLinked="0"/>
            <c:dLbl>
              <c:idx val="0"/>
              <c:layout>
                <c:manualLayout>
                  <c:x val="0.32012555"/>
                  <c:y val="0.72690713"/>
                </c:manualLayout>
              </c:layout>
              <c:numFmt formatCode="0.0%" sourceLinked="0"/>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dLblPos val="bestFit"/>
              <c:showLegendKey val="1"/>
              <c:showVal val="0"/>
              <c:showCatName val="1"/>
              <c:showSerName val="0"/>
              <c:showPercent val="1"/>
              <c:showBubbleSize val="0"/>
              <c:separator> </c:separator>
            </c:dLbl>
            <c:dLbl>
              <c:idx val="1"/>
              <c:layout>
                <c:manualLayout>
                  <c:x val="-0.3080455"/>
                  <c:y val="0.6391468"/>
                </c:manualLayout>
              </c:layout>
              <c:numFmt formatCode="0.0%" sourceLinked="0"/>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dLblPos val="bestFit"/>
              <c:showLegendKey val="1"/>
              <c:showVal val="0"/>
              <c:showCatName val="1"/>
              <c:showSerName val="0"/>
              <c:showPercent val="1"/>
              <c:showBubbleSize val="0"/>
              <c:separator> </c:separator>
            </c:dLbl>
            <c:dLbl>
              <c:idx val="2"/>
              <c:layout>
                <c:manualLayout>
                  <c:x val="0.40541184"/>
                  <c:y val="0.17185508"/>
                </c:manualLayout>
              </c:layout>
              <c:numFmt formatCode="0.0%" sourceLinked="0"/>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dLblPos val="bestFit"/>
              <c:showLegendKey val="1"/>
              <c:showVal val="0"/>
              <c:showCatName val="1"/>
              <c:showSerName val="0"/>
              <c:showPercent val="1"/>
              <c:showBubbleSize val="0"/>
              <c:separator> </c:separator>
            </c:dLbl>
            <c:dLbl>
              <c:idx val="3"/>
              <c:layout>
                <c:manualLayout>
                  <c:x val="-0.28690514"/>
                  <c:y val="0.27025074"/>
                </c:manualLayout>
              </c:layout>
              <c:numFmt formatCode="0.0%" sourceLinked="0"/>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dLblPos val="bestFit"/>
              <c:showLegendKey val="1"/>
              <c:showVal val="0"/>
              <c:showCatName val="1"/>
              <c:showSerName val="0"/>
              <c:showPercent val="1"/>
              <c:showBubbleSize val="0"/>
              <c:separator> </c:separator>
            </c:dLbl>
            <c:dLbl>
              <c:idx val="4"/>
              <c:layout>
                <c:manualLayout>
                  <c:x val="-0.29898536"/>
                  <c:y val="0.44916064"/>
                </c:manualLayout>
              </c:layout>
              <c:numFmt formatCode="0.0%" sourceLinked="0"/>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dLblPos val="bestFit"/>
              <c:showLegendKey val="1"/>
              <c:showVal val="0"/>
              <c:showCatName val="1"/>
              <c:showSerName val="0"/>
              <c:showPercent val="1"/>
              <c:showBubbleSize val="0"/>
              <c:separator> </c:separator>
            </c:dLbl>
            <c:dLbl>
              <c:idx val="5"/>
              <c:layout>
                <c:manualLayout>
                  <c:x val="-0.28847557"/>
                  <c:y val="0.12416596"/>
                </c:manualLayout>
              </c:layout>
              <c:numFmt formatCode="0.0%" sourceLinked="0"/>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dLblPos val="bestFit"/>
              <c:showLegendKey val="1"/>
              <c:showVal val="0"/>
              <c:showCatName val="1"/>
              <c:showSerName val="0"/>
              <c:showPercent val="1"/>
              <c:showBubbleSize val="0"/>
              <c:separator> </c:separator>
            </c:dLbl>
            <c:dLblPos val="ctr"/>
            <c:showLegendKey val="1"/>
            <c:showVal val="0"/>
            <c:showCatName val="1"/>
            <c:showSerName val="0"/>
            <c:showPercent val="1"/>
            <c:showBubbleSize val="0"/>
            <c:separator> </c:separator>
            <c:showLeaderLines val="1"/>
          </c:dLbls>
          <c:cat>
            <c:strRef>
              <c:f>'Sheet1 (2)'!$A$2:$A$7</c:f>
              <c:strCache>
                <c:ptCount val="6"/>
                <c:pt idx="0">
                  <c:v>财政拨款收入</c:v>
                </c:pt>
                <c:pt idx="1">
                  <c:v>上级补助收入</c:v>
                </c:pt>
                <c:pt idx="2">
                  <c:v>事业收入</c:v>
                </c:pt>
                <c:pt idx="3">
                  <c:v>经营收入</c:v>
                </c:pt>
                <c:pt idx="4">
                  <c:v>附属单位上缴收入</c:v>
                </c:pt>
                <c:pt idx="5">
                  <c:v>其他收入</c:v>
                </c:pt>
              </c:strCache>
            </c:strRef>
          </c:cat>
          <c:val>
            <c:numRef>
              <c:f>'Sheet1 (2)'!$B$2:$B$7</c:f>
              <c:numCache>
                <c:formatCode>0.00_);[Red](0.00)</c:formatCode>
                <c:ptCount val="6"/>
                <c:pt idx="0">
                  <c:v>7.853231461E7</c:v>
                </c:pt>
                <c:pt idx="1">
                  <c:v>0.0</c:v>
                </c:pt>
                <c:pt idx="2">
                  <c:v>0.0</c:v>
                </c:pt>
                <c:pt idx="3">
                  <c:v>0.0</c:v>
                </c:pt>
                <c:pt idx="4">
                  <c:v>0.0</c:v>
                </c:pt>
                <c:pt idx="5">
                  <c:v>0.0</c:v>
                </c:pt>
              </c:numCache>
            </c:numRef>
          </c:val>
        </c:ser>
        <c:firstSliceAng val="0"/>
      </c:pieChart>
      <c:spPr>
        <a:noFill/>
        <a:ln>
          <a:noFill/>
        </a:ln>
      </c:spPr>
    </c:plotArea>
    <c:legend>
      <c:legendPos val="r"/>
      <c:layout/>
      <c:overlay val="0"/>
      <c:spPr>
        <a:noFill/>
        <a:ln>
          <a:noFill/>
        </a:ln>
      </c:spPr>
      <c:txPr>
        <a:bodyPr/>
        <a:lstStyle/>
        <a:p>
          <a:pPr>
            <a:defRPr sz="900" b="0" i="0" u="none" strike="noStrike" baseline="0">
              <a:solidFill>
                <a:srgbClr val="595959"/>
              </a:solidFill>
              <a:latin typeface="Times New Roman"/>
              <a:ea typeface="宋体"/>
              <a:cs typeface="Arial"/>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宋体"/>
                <a:cs typeface="Arial"/>
              </a:defRPr>
            </a:pPr>
            <a:r>
              <a:rPr lang="zh-CN" sz="1400" b="1" i="0" u="none" strike="noStrike" baseline="0">
                <a:solidFill>
                  <a:srgbClr val="404040"/>
                </a:solidFill>
                <a:latin typeface="Times New Roman"/>
                <a:ea typeface="宋体"/>
                <a:cs typeface="Arial"/>
              </a:rPr>
              <a:t>图 </a:t>
            </a:r>
            <a:r>
              <a:rPr lang="zh-CN" sz="1400" b="1" i="0" u="none" strike="noStrike" baseline="0">
                <a:solidFill>
                  <a:srgbClr val="404040"/>
                </a:solidFill>
                <a:latin typeface="Times New Roman"/>
                <a:ea typeface="宋体"/>
                <a:cs typeface="Arial"/>
              </a:rPr>
              <a:t>3 </a:t>
            </a:r>
            <a:r>
              <a:rPr lang="zh-CN" sz="1400" b="1" i="0" u="none" strike="noStrike" baseline="0">
                <a:solidFill>
                  <a:srgbClr val="404040"/>
                </a:solidFill>
                <a:latin typeface="Times New Roman"/>
                <a:ea typeface="宋体"/>
                <a:cs typeface="Arial"/>
              </a:rPr>
              <a:t>：支出决算构成情况图</a:t>
            </a:r>
          </a:p>
        </c:rich>
      </c:tx>
      <c:layout/>
      <c:overlay val="0"/>
      <c:spPr>
        <a:noFill/>
        <a:ln>
          <a:noFill/>
        </a:ln>
      </c:spPr>
    </c:title>
    <c:autoTitleDeleted val="1"/>
    <c:plotArea>
      <c:layout/>
      <c:pieChart>
        <c:varyColors val="1"/>
        <c:ser>
          <c:idx val="0"/>
          <c:order val="0"/>
          <c:tx>
            <c:strRef>
              <c:f>'Sheet1 (3)'!$B$1</c:f>
              <c:strCache>
                <c:ptCount val="1"/>
                <c:pt idx="0">
                  <c:v>金额</c:v>
                </c:pt>
              </c:strCache>
            </c:strRef>
          </c:tx>
          <c:spPr>
            <a:solidFill>
              <a:srgbClr val="4F81BD"/>
            </a:solidFill>
            <a:ln>
              <a:noFill/>
            </a:ln>
          </c:spPr>
          <c:dPt>
            <c:idx val="0"/>
            <c:bubble3D val="0"/>
            <c:spPr>
              <a:solidFill>
                <a:srgbClr val="4874CB"/>
              </a:solidFill>
              <a:ln w="6350">
                <a:solidFill>
                  <a:srgbClr val="FFFFFF"/>
                </a:solidFill>
                <a:prstDash val="solid"/>
              </a:ln>
            </c:spPr>
          </c:dPt>
          <c:dPt>
            <c:idx val="1"/>
            <c:bubble3D val="0"/>
            <c:spPr>
              <a:solidFill>
                <a:srgbClr val="EE822F"/>
              </a:solidFill>
              <a:ln w="6350">
                <a:solidFill>
                  <a:srgbClr val="FFFFFF"/>
                </a:solidFill>
                <a:prstDash val="solid"/>
              </a:ln>
            </c:spPr>
          </c:dPt>
          <c:dPt>
            <c:idx val="2"/>
            <c:bubble3D val="0"/>
            <c:spPr>
              <a:solidFill>
                <a:srgbClr val="F2BA02"/>
              </a:solidFill>
              <a:ln w="6350">
                <a:solidFill>
                  <a:srgbClr val="FFFFFF"/>
                </a:solidFill>
                <a:prstDash val="solid"/>
              </a:ln>
            </c:spPr>
          </c:dPt>
          <c:dPt>
            <c:idx val="3"/>
            <c:bubble3D val="0"/>
            <c:spPr>
              <a:solidFill>
                <a:srgbClr val="75BD42"/>
              </a:solidFill>
              <a:ln w="6350">
                <a:solidFill>
                  <a:srgbClr val="FFFFFF"/>
                </a:solidFill>
                <a:prstDash val="solid"/>
              </a:ln>
            </c:spPr>
          </c:dPt>
          <c:dPt>
            <c:idx val="4"/>
            <c:bubble3D val="0"/>
            <c:spPr>
              <a:solidFill>
                <a:srgbClr val="30C0B4"/>
              </a:solidFill>
              <a:ln w="6350">
                <a:solidFill>
                  <a:srgbClr val="FFFFFF"/>
                </a:solidFill>
                <a:prstDash val="solid"/>
              </a:ln>
            </c:spPr>
          </c:dPt>
          <c:dLbls>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numFmt formatCode="0.0%" sourceLinked="0"/>
            <c:dLbl>
              <c:idx val="0"/>
              <c:layout>
                <c:manualLayout>
                  <c:x val="0.34621888"/>
                  <c:y val="0.7154696"/>
                </c:manualLayout>
              </c:layout>
              <c:numFmt formatCode="0.0%" sourceLinked="0"/>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showLegendKey val="1"/>
              <c:showVal val="0"/>
              <c:showCatName val="1"/>
              <c:showSerName val="0"/>
              <c:showPercent val="1"/>
              <c:showBubbleSize val="0"/>
              <c:separator>
</c:separator>
            </c:dLbl>
            <c:dLbl>
              <c:idx val="1"/>
              <c:layout>
                <c:manualLayout>
                  <c:x val="0.35709593"/>
                  <c:y val="0.09793837"/>
                </c:manualLayout>
              </c:layout>
              <c:numFmt formatCode="0.0%" sourceLinked="0"/>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showLegendKey val="1"/>
              <c:showVal val="0"/>
              <c:showCatName val="1"/>
              <c:showSerName val="0"/>
              <c:showPercent val="1"/>
              <c:showBubbleSize val="0"/>
              <c:separator>
</c:separator>
            </c:dLbl>
            <c:dLbl>
              <c:idx val="2"/>
              <c:layout>
                <c:manualLayout>
                  <c:x val="-0.29270354"/>
                  <c:y val="0.26689333"/>
                </c:manualLayout>
              </c:layout>
              <c:numFmt formatCode="0.0%" sourceLinked="0"/>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showLegendKey val="1"/>
              <c:showVal val="0"/>
              <c:showCatName val="1"/>
              <c:showSerName val="0"/>
              <c:showPercent val="1"/>
              <c:showBubbleSize val="0"/>
              <c:separator>
</c:separator>
            </c:dLbl>
            <c:dLbl>
              <c:idx val="3"/>
              <c:layout>
                <c:manualLayout>
                  <c:x val="-0.31523567"/>
                  <c:y val="0.4683166"/>
                </c:manualLayout>
              </c:layout>
              <c:numFmt formatCode="0.0%" sourceLinked="0"/>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showLegendKey val="1"/>
              <c:showVal val="0"/>
              <c:showCatName val="1"/>
              <c:showSerName val="0"/>
              <c:showPercent val="1"/>
              <c:showBubbleSize val="0"/>
              <c:separator>
</c:separator>
            </c:dLbl>
            <c:dLbl>
              <c:idx val="4"/>
              <c:layout>
                <c:manualLayout>
                  <c:x val="-0.27355897"/>
                  <c:y val="0.7182104"/>
                </c:manualLayout>
              </c:layout>
              <c:numFmt formatCode="0.0%" sourceLinked="0"/>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showLegendKey val="1"/>
              <c:showVal val="0"/>
              <c:showCatName val="1"/>
              <c:showSerName val="0"/>
              <c:showPercent val="1"/>
              <c:showBubbleSize val="0"/>
              <c:separator>
</c:separator>
            </c:dLbl>
            <c:showLegendKey val="1"/>
            <c:showVal val="0"/>
            <c:showCatName val="1"/>
            <c:showSerName val="0"/>
            <c:showPercent val="1"/>
            <c:showBubbleSize val="0"/>
            <c:showLeaderLines val="1"/>
          </c:dLbls>
          <c:cat>
            <c:strRef>
              <c:f>'Sheet1 (3)'!$A$2:$A$6</c:f>
              <c:strCache>
                <c:ptCount val="5"/>
                <c:pt idx="0">
                  <c:v>基本支出</c:v>
                </c:pt>
                <c:pt idx="1">
                  <c:v>项目支出</c:v>
                </c:pt>
                <c:pt idx="2">
                  <c:v>上缴上级支出</c:v>
                </c:pt>
                <c:pt idx="3">
                  <c:v>经营支出</c:v>
                </c:pt>
                <c:pt idx="4">
                  <c:v>对附属单位补助支出</c:v>
                </c:pt>
              </c:strCache>
            </c:strRef>
          </c:cat>
          <c:val>
            <c:numRef>
              <c:f>'Sheet1 (3)'!$B$2:$B$6</c:f>
              <c:numCache>
                <c:formatCode>General</c:formatCode>
                <c:ptCount val="5"/>
                <c:pt idx="0">
                  <c:v>2.092568962E7</c:v>
                </c:pt>
                <c:pt idx="1">
                  <c:v>5.760662499E7</c:v>
                </c:pt>
                <c:pt idx="2">
                  <c:v>0.0</c:v>
                </c:pt>
                <c:pt idx="3">
                  <c:v>0.0</c:v>
                </c:pt>
                <c:pt idx="4">
                  <c:v>0.0</c:v>
                </c:pt>
              </c:numCache>
            </c:numRef>
          </c:val>
        </c:ser>
        <c:firstSliceAng val="0"/>
      </c:pieChart>
      <c:spPr>
        <a:noFill/>
        <a:ln>
          <a:noFill/>
        </a:ln>
      </c:spPr>
    </c:plotArea>
    <c:legend>
      <c:legendPos val="r"/>
      <c:layout/>
      <c:overlay val="0"/>
      <c:spPr>
        <a:noFill/>
        <a:ln>
          <a:noFill/>
        </a:ln>
      </c:spPr>
      <c:txPr>
        <a:bodyPr/>
        <a:lstStyle/>
        <a:p>
          <a:pPr>
            <a:defRPr sz="900" b="0" i="0" u="none" strike="noStrike" baseline="0">
              <a:solidFill>
                <a:srgbClr val="595959"/>
              </a:solidFill>
              <a:latin typeface="Times New Roman"/>
              <a:ea typeface="宋体"/>
              <a:cs typeface="Arial"/>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宋体"/>
                <a:cs typeface="Arial"/>
              </a:defRPr>
            </a:pPr>
            <a:r>
              <a:rPr lang="zh-CN" sz="1400" b="1" i="0" u="none" strike="noStrike" baseline="0">
                <a:solidFill>
                  <a:srgbClr val="404040"/>
                </a:solidFill>
                <a:latin typeface="Times New Roman"/>
                <a:ea typeface="宋体"/>
                <a:cs typeface="Arial"/>
              </a:rPr>
              <a:t>图 </a:t>
            </a:r>
            <a:r>
              <a:rPr lang="zh-CN" sz="1400" b="1" i="0" u="none" strike="noStrike" baseline="0">
                <a:solidFill>
                  <a:srgbClr val="404040"/>
                </a:solidFill>
                <a:latin typeface="Times New Roman"/>
                <a:ea typeface="宋体"/>
                <a:cs typeface="Arial"/>
              </a:rPr>
              <a:t>4 </a:t>
            </a:r>
            <a:r>
              <a:rPr lang="zh-CN" sz="1400" b="1" i="0" u="none" strike="noStrike" baseline="0">
                <a:solidFill>
                  <a:srgbClr val="404040"/>
                </a:solidFill>
                <a:latin typeface="Times New Roman"/>
                <a:ea typeface="宋体"/>
                <a:cs typeface="Arial"/>
              </a:rPr>
              <a:t>：</a:t>
            </a:r>
            <a:r>
              <a:rPr lang="zh-CN" sz="1400" b="1" i="0" u="none" strike="noStrike" baseline="0">
                <a:solidFill>
                  <a:srgbClr val="404040"/>
                </a:solidFill>
                <a:latin typeface="Times New Roman"/>
                <a:ea typeface="宋体"/>
                <a:cs typeface="Arial"/>
              </a:rPr>
              <a:t>2023-2024</a:t>
            </a:r>
            <a:r>
              <a:rPr lang="zh-CN" sz="1400" b="1" i="0" u="none" strike="noStrike" baseline="0">
                <a:solidFill>
                  <a:srgbClr val="404040"/>
                </a:solidFill>
                <a:latin typeface="Times New Roman"/>
                <a:ea typeface="宋体"/>
                <a:cs typeface="Arial"/>
              </a:rPr>
              <a:t>年财政拨款收支对比图（万元）</a:t>
            </a:r>
          </a:p>
        </c:rich>
      </c:tx>
      <c:layout/>
      <c:overlay val="0"/>
      <c:spPr>
        <a:noFill/>
        <a:ln>
          <a:noFill/>
        </a:ln>
      </c:spPr>
    </c:title>
    <c:autoTitleDeleted val="1"/>
    <c:plotArea>
      <c:layout/>
      <c:barChart>
        <c:barDir val="col"/>
        <c:grouping val="clustered"/>
        <c:varyColors val="0"/>
        <c:ser>
          <c:idx val="0"/>
          <c:order val="0"/>
          <c:tx>
            <c:strRef>
              <c:f>'Sheet1 (4)'!$B$1</c:f>
              <c:strCache>
                <c:ptCount val="1"/>
                <c:pt idx="0">
                  <c:v>2023年</c:v>
                </c:pt>
              </c:strCache>
            </c:strRef>
          </c:tx>
          <c:spPr>
            <a:solidFill>
              <a:srgbClr val="4874CB"/>
            </a:solidFill>
            <a:ln>
              <a:noFill/>
            </a:ln>
          </c:spPr>
          <c:invertIfNegative val="0"/>
          <c:dLbls>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numFmt formatCode="General" sourceLinked="1"/>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Ref>
              <c:f>'Sheet1 (4)'!$A$2:$A$9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 (4)'!$B$2:$B$9</c:f>
              <c:numCache>
                <c:formatCode>General</c:formatCode>
                <c:ptCount val="8"/>
                <c:pt idx="0">
                  <c:v>11116.47</c:v>
                </c:pt>
                <c:pt idx="1">
                  <c:v>11116.47</c:v>
                </c:pt>
                <c:pt idx="2">
                  <c:v>11083.7</c:v>
                </c:pt>
                <c:pt idx="3">
                  <c:v>11083.7</c:v>
                </c:pt>
                <c:pt idx="4">
                  <c:v>32.77</c:v>
                </c:pt>
                <c:pt idx="5">
                  <c:v>32.77</c:v>
                </c:pt>
                <c:pt idx="6">
                  <c:v>0.0</c:v>
                </c:pt>
                <c:pt idx="7">
                  <c:v>0.0</c:v>
                </c:pt>
              </c:numCache>
            </c:numRef>
          </c:val>
        </c:ser>
        <c:ser>
          <c:idx val="1"/>
          <c:order val="1"/>
          <c:tx>
            <c:strRef>
              <c:f>'Sheet1 (4)'!$C$1</c:f>
              <c:strCache>
                <c:ptCount val="1"/>
                <c:pt idx="0">
                  <c:v>2024年</c:v>
                </c:pt>
              </c:strCache>
            </c:strRef>
          </c:tx>
          <c:spPr>
            <a:solidFill>
              <a:srgbClr val="EE822F"/>
            </a:solidFill>
            <a:ln>
              <a:noFill/>
            </a:ln>
          </c:spPr>
          <c:invertIfNegative val="0"/>
          <c:dLbls>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numFmt formatCode="General" sourceLinked="1"/>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Ref>
              <c:f>'Sheet1 (4)'!$A$2:$A$9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 (4)'!$C$2:$C$9</c:f>
              <c:numCache>
                <c:formatCode>General</c:formatCode>
                <c:ptCount val="8"/>
                <c:pt idx="0">
                  <c:v>7853.23</c:v>
                </c:pt>
                <c:pt idx="1">
                  <c:v>7853.23</c:v>
                </c:pt>
                <c:pt idx="2">
                  <c:v>7853.23</c:v>
                </c:pt>
                <c:pt idx="3">
                  <c:v>7853.23</c:v>
                </c:pt>
                <c:pt idx="4">
                  <c:v>0.0</c:v>
                </c:pt>
                <c:pt idx="5">
                  <c:v>0.0</c:v>
                </c:pt>
                <c:pt idx="6">
                  <c:v>0.0</c:v>
                </c:pt>
                <c:pt idx="7">
                  <c:v>0.0</c:v>
                </c:pt>
              </c:numCache>
            </c:numRef>
          </c:val>
        </c:ser>
        <c:overlap val="-28"/>
        <c:gapWidth val="246"/>
        <c:axId val="0"/>
        <c:axId val="1"/>
      </c:barChart>
      <c:catAx>
        <c:axId val="0"/>
        <c:scaling>
          <c:orientation val="minMax"/>
        </c:scaling>
        <c:delete val="0"/>
        <c:axPos val="b"/>
        <c:numFmt formatCode="General" sourceLinked="0"/>
        <c:majorTickMark val="out"/>
        <c:minorTickMark val="none"/>
        <c:tickLblPos val="nextTo"/>
        <c:spPr>
          <a:ln w="6350">
            <a:solidFill>
              <a:srgbClr val="D9D9D9"/>
            </a:solidFill>
            <a:prstDash val="solid"/>
          </a:ln>
        </c:spPr>
        <c:txPr>
          <a:bodyPr/>
          <a:lstStyle/>
          <a:p>
            <a:pPr>
              <a:defRPr sz="900" b="0" i="0" u="none" strike="noStrike" baseline="0">
                <a:solidFill>
                  <a:srgbClr val="595959"/>
                </a:solidFill>
                <a:latin typeface="Times New Roman"/>
                <a:ea typeface="宋体"/>
                <a:cs typeface="Arial"/>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E6E6E6"/>
              </a:solidFill>
              <a:prstDash val="solid"/>
            </a:ln>
          </c:spPr>
        </c:majorGridlines>
        <c:numFmt formatCode="General" sourceLinked="1"/>
        <c:majorTickMark val="out"/>
        <c:minorTickMark val="none"/>
        <c:tickLblPos val="nextTo"/>
        <c:spPr>
          <a:ln>
            <a:noFill/>
          </a:ln>
        </c:spPr>
        <c:txPr>
          <a:bodyPr/>
          <a:lstStyle/>
          <a:p>
            <a:pPr>
              <a:defRPr sz="900" b="0" i="0" u="none" strike="noStrike" baseline="0">
                <a:solidFill>
                  <a:srgbClr val="595959"/>
                </a:solidFill>
                <a:latin typeface="Times New Roman"/>
                <a:ea typeface="宋体"/>
                <a:cs typeface="Arial"/>
              </a:defRPr>
            </a:pPr>
            <a:endParaRPr lang="zh-CN"/>
          </a:p>
        </c:txPr>
        <c:crossesAt val="1.0"/>
        <c:crossBetween val="between"/>
        <c:crossAx val="0"/>
      </c:valAx>
      <c:dTable>
        <c:showHorzBorder val="1"/>
        <c:showVertBorder val="1"/>
        <c:showOutline val="1"/>
        <c:showKeys val="1"/>
        <c:spPr>
          <a:ln w="6350">
            <a:solidFill>
              <a:srgbClr val="D9D9D9"/>
            </a:solidFill>
            <a:prstDash val="solid"/>
          </a:ln>
        </c:spPr>
        <c:txPr>
          <a:bodyPr/>
          <a:lstStyle/>
          <a:p>
            <a:pPr rtl="0">
              <a:defRPr sz="900" b="0" i="0" u="none" strike="noStrike" baseline="0">
                <a:solidFill>
                  <a:srgbClr val="595959"/>
                </a:solidFill>
                <a:latin typeface="Times New Roman"/>
                <a:ea typeface="宋体"/>
                <a:cs typeface="Arial"/>
              </a:defRPr>
            </a:pPr>
            <a:endParaRPr lang="zh-CN"/>
          </a:p>
        </c:txPr>
      </c:dTable>
      <c:spPr>
        <a:noFill/>
        <a:ln>
          <a:noFill/>
        </a:ln>
      </c:spPr>
    </c:plotArea>
    <c:legend>
      <c:legendPos val="b"/>
      <c:layout/>
      <c:overlay val="0"/>
      <c:spPr>
        <a:noFill/>
        <a:ln>
          <a:noFill/>
        </a:ln>
      </c:spPr>
      <c:txPr>
        <a:bodyPr/>
        <a:lstStyle/>
        <a:p>
          <a:pPr>
            <a:defRPr sz="900" b="0" i="0" u="none" strike="noStrike" baseline="0">
              <a:solidFill>
                <a:srgbClr val="595959"/>
              </a:solidFill>
              <a:latin typeface="Times New Roman"/>
              <a:ea typeface="宋体"/>
              <a:cs typeface="Arial"/>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宋体"/>
                <a:cs typeface="Arial"/>
              </a:defRPr>
            </a:pPr>
            <a:r>
              <a:rPr lang="zh-CN" sz="1400" b="1" i="0" u="none" strike="noStrike" baseline="0">
                <a:solidFill>
                  <a:srgbClr val="404040"/>
                </a:solidFill>
                <a:latin typeface="Times New Roman"/>
                <a:ea typeface="宋体"/>
                <a:cs typeface="Arial"/>
              </a:rPr>
              <a:t>图 </a:t>
            </a:r>
            <a:r>
              <a:rPr lang="zh-CN" sz="1400" b="1" i="0" u="none" strike="noStrike" baseline="0">
                <a:solidFill>
                  <a:srgbClr val="404040"/>
                </a:solidFill>
                <a:latin typeface="Times New Roman"/>
                <a:ea typeface="宋体"/>
                <a:cs typeface="Arial"/>
              </a:rPr>
              <a:t>5 :</a:t>
            </a:r>
            <a:r>
              <a:rPr lang="zh-CN" sz="1400" b="1" i="0" u="none" strike="noStrike" baseline="0">
                <a:solidFill>
                  <a:srgbClr val="404040"/>
                </a:solidFill>
                <a:latin typeface="Times New Roman"/>
                <a:ea typeface="宋体"/>
                <a:cs typeface="Arial"/>
              </a:rPr>
              <a:t>财政拨款收支预算对比图（万元）</a:t>
            </a:r>
          </a:p>
        </c:rich>
      </c:tx>
      <c:layout/>
      <c:overlay val="0"/>
      <c:spPr>
        <a:noFill/>
        <a:ln>
          <a:noFill/>
        </a:ln>
      </c:spPr>
    </c:title>
    <c:autoTitleDeleted val="1"/>
    <c:plotArea>
      <c:layout>
        <c:manualLayout>
          <c:layoutTarget val="inner"/>
          <c:xMode val="edge"/>
          <c:yMode val="edge"/>
          <c:x val="0.17641942"/>
          <c:y val="0.16043349"/>
          <c:w val="0.7957961"/>
          <c:h val="0.47433063"/>
        </c:manualLayout>
      </c:layout>
      <c:barChart>
        <c:barDir val="col"/>
        <c:grouping val="clustered"/>
        <c:varyColors val="0"/>
        <c:ser>
          <c:idx val="0"/>
          <c:order val="0"/>
          <c:tx>
            <c:strRef>
              <c:f>'Sheet1 (5)'!$B$1</c:f>
              <c:strCache>
                <c:ptCount val="1"/>
                <c:pt idx="0">
                  <c:v>年初预算数</c:v>
                </c:pt>
              </c:strCache>
            </c:strRef>
          </c:tx>
          <c:spPr>
            <a:solidFill>
              <a:srgbClr val="4874CB"/>
            </a:solidFill>
            <a:ln>
              <a:noFill/>
            </a:ln>
          </c:spPr>
          <c:invertIfNegative val="0"/>
          <c:dLbls>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numFmt formatCode="General" sourceLinked="1"/>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Ref>
              <c:f>'Sheet1 (5)'!$A$2:$A$9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 (5)'!$B$2:$B$9</c:f>
              <c:numCache>
                <c:formatCode>General</c:formatCode>
                <c:ptCount val="8"/>
                <c:pt idx="0">
                  <c:v>6914.58</c:v>
                </c:pt>
                <c:pt idx="1">
                  <c:v>6914.58</c:v>
                </c:pt>
                <c:pt idx="2">
                  <c:v>6914.58</c:v>
                </c:pt>
                <c:pt idx="3">
                  <c:v>6914.58</c:v>
                </c:pt>
                <c:pt idx="4">
                  <c:v>0.0</c:v>
                </c:pt>
                <c:pt idx="5">
                  <c:v>0.0</c:v>
                </c:pt>
                <c:pt idx="6">
                  <c:v>0.0</c:v>
                </c:pt>
                <c:pt idx="7">
                  <c:v>0.0</c:v>
                </c:pt>
              </c:numCache>
            </c:numRef>
          </c:val>
        </c:ser>
        <c:ser>
          <c:idx val="1"/>
          <c:order val="1"/>
          <c:tx>
            <c:strRef>
              <c:f>'Sheet1 (5)'!$C$1</c:f>
              <c:strCache>
                <c:ptCount val="1"/>
                <c:pt idx="0">
                  <c:v>决算数</c:v>
                </c:pt>
              </c:strCache>
            </c:strRef>
          </c:tx>
          <c:spPr>
            <a:solidFill>
              <a:srgbClr val="EE822F"/>
            </a:solidFill>
            <a:ln>
              <a:noFill/>
            </a:ln>
          </c:spPr>
          <c:invertIfNegative val="0"/>
          <c:dLbls>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numFmt formatCode="General" sourceLinked="1"/>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Ref>
              <c:f>'Sheet1 (5)'!$A$2:$A$9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 (5)'!$C$2:$C$9</c:f>
              <c:numCache>
                <c:formatCode>General</c:formatCode>
                <c:ptCount val="8"/>
                <c:pt idx="0">
                  <c:v>7853.23</c:v>
                </c:pt>
                <c:pt idx="1">
                  <c:v>7853.23</c:v>
                </c:pt>
                <c:pt idx="2">
                  <c:v>7853.23</c:v>
                </c:pt>
                <c:pt idx="3">
                  <c:v>7853.23</c:v>
                </c:pt>
                <c:pt idx="4">
                  <c:v>0.0</c:v>
                </c:pt>
                <c:pt idx="5">
                  <c:v>0.0</c:v>
                </c:pt>
                <c:pt idx="6">
                  <c:v>0.0</c:v>
                </c:pt>
                <c:pt idx="7">
                  <c:v>0.0</c:v>
                </c:pt>
              </c:numCache>
            </c:numRef>
          </c:val>
        </c:ser>
        <c:gapWidth val="150"/>
        <c:axId val="0"/>
        <c:axId val="1"/>
      </c:barChart>
      <c:catAx>
        <c:axId val="0"/>
        <c:scaling>
          <c:orientation val="minMax"/>
        </c:scaling>
        <c:delete val="0"/>
        <c:axPos val="b"/>
        <c:numFmt formatCode="General" sourceLinked="0"/>
        <c:majorTickMark val="none"/>
        <c:minorTickMark val="none"/>
        <c:tickLblPos val="nextTo"/>
        <c:spPr>
          <a:ln w="6350">
            <a:solidFill>
              <a:srgbClr val="D9D9D9"/>
            </a:solidFill>
            <a:prstDash val="solid"/>
          </a:ln>
        </c:spPr>
        <c:txPr>
          <a:bodyPr/>
          <a:lstStyle/>
          <a:p>
            <a:pPr>
              <a:defRPr sz="900" b="0" i="0" u="none" strike="noStrike" baseline="0">
                <a:solidFill>
                  <a:srgbClr val="595959"/>
                </a:solidFill>
                <a:latin typeface="Times New Roman"/>
                <a:ea typeface="宋体"/>
                <a:cs typeface="Arial"/>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E6E6E6"/>
              </a:solidFill>
              <a:prstDash val="solid"/>
            </a:ln>
          </c:spPr>
        </c:majorGridlines>
        <c:numFmt formatCode="General" sourceLinked="1"/>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Arial"/>
              </a:defRPr>
            </a:pPr>
            <a:endParaRPr lang="zh-CN"/>
          </a:p>
        </c:txPr>
        <c:crossesAt val="1.0"/>
        <c:crossBetween val="between"/>
        <c:crossAx val="0"/>
      </c:valAx>
      <c:dTable>
        <c:showHorzBorder val="1"/>
        <c:showVertBorder val="1"/>
        <c:showOutline val="1"/>
        <c:showKeys val="1"/>
        <c:spPr>
          <a:ln w="6350">
            <a:solidFill>
              <a:srgbClr val="D9D9D9"/>
            </a:solidFill>
            <a:prstDash val="solid"/>
          </a:ln>
        </c:spPr>
        <c:txPr>
          <a:bodyPr/>
          <a:lstStyle/>
          <a:p>
            <a:pPr rtl="0">
              <a:defRPr sz="900" b="0" i="0" u="none" strike="noStrike" baseline="0">
                <a:solidFill>
                  <a:srgbClr val="595959"/>
                </a:solidFill>
                <a:latin typeface="Times New Roman"/>
                <a:ea typeface="宋体"/>
                <a:cs typeface="Arial"/>
              </a:defRPr>
            </a:pPr>
            <a:endParaRPr lang="zh-CN"/>
          </a:p>
        </c:txPr>
      </c:dTable>
      <c:spPr>
        <a:noFill/>
        <a:ln>
          <a:noFill/>
        </a:ln>
      </c:spPr>
    </c:plotArea>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宋体"/>
                <a:cs typeface="Arial"/>
              </a:defRPr>
            </a:pPr>
            <a:r>
              <a:rPr lang="zh-CN" sz="1400" b="1" i="0" u="none" strike="noStrike" baseline="0">
                <a:solidFill>
                  <a:srgbClr val="404040"/>
                </a:solidFill>
                <a:latin typeface="Times New Roman"/>
                <a:ea typeface="宋体"/>
                <a:cs typeface="Arial"/>
              </a:rPr>
              <a:t>图</a:t>
            </a:r>
            <a:r>
              <a:rPr lang="zh-CN" sz="1400" b="1" i="0" u="none" strike="noStrike" baseline="0">
                <a:solidFill>
                  <a:srgbClr val="404040"/>
                </a:solidFill>
                <a:latin typeface="Times New Roman"/>
                <a:ea typeface="宋体"/>
                <a:cs typeface="Arial"/>
              </a:rPr>
              <a:t>6  : </a:t>
            </a:r>
            <a:r>
              <a:rPr lang="zh-CN" sz="1400" b="1" i="0" u="none" strike="noStrike" baseline="0">
                <a:solidFill>
                  <a:srgbClr val="404040"/>
                </a:solidFill>
                <a:latin typeface="Times New Roman"/>
                <a:ea typeface="宋体"/>
                <a:cs typeface="Arial"/>
              </a:rPr>
              <a:t>财政拨款支出决算构成情况图</a:t>
            </a:r>
          </a:p>
        </c:rich>
      </c:tx>
      <c:layout/>
      <c:overlay val="0"/>
      <c:spPr>
        <a:noFill/>
        <a:ln>
          <a:noFill/>
        </a:ln>
      </c:spPr>
    </c:title>
    <c:autoTitleDeleted val="1"/>
    <c:plotArea>
      <c:layout/>
      <c:pieChart>
        <c:varyColors val="1"/>
        <c:ser>
          <c:idx val="0"/>
          <c:order val="0"/>
          <c:tx>
            <c:strRef>
              <c:f>'Sheet1 (6)'!$B$1</c:f>
              <c:strCache>
                <c:ptCount val="1"/>
                <c:pt idx="0">
                  <c:v>金额</c:v>
                </c:pt>
              </c:strCache>
            </c:strRef>
          </c:tx>
          <c:spPr>
            <a:solidFill>
              <a:srgbClr val="4F81BD"/>
            </a:solidFill>
            <a:ln>
              <a:noFill/>
            </a:ln>
          </c:spPr>
          <c:dPt>
            <c:idx val="0"/>
            <c:bubble3D val="0"/>
            <c:spPr>
              <a:solidFill>
                <a:srgbClr val="4874CB"/>
              </a:solidFill>
              <a:ln w="6350">
                <a:solidFill>
                  <a:srgbClr val="FFFFFF"/>
                </a:solidFill>
                <a:prstDash val="solid"/>
              </a:ln>
            </c:spPr>
          </c:dPt>
          <c:dPt>
            <c:idx val="1"/>
            <c:bubble3D val="0"/>
            <c:spPr>
              <a:solidFill>
                <a:srgbClr val="EE822F"/>
              </a:solidFill>
              <a:ln w="6350">
                <a:solidFill>
                  <a:srgbClr val="FFFFFF"/>
                </a:solidFill>
                <a:prstDash val="solid"/>
              </a:ln>
            </c:spPr>
          </c:dPt>
          <c:dPt>
            <c:idx val="2"/>
            <c:bubble3D val="0"/>
            <c:spPr>
              <a:solidFill>
                <a:srgbClr val="F2BA02"/>
              </a:solidFill>
              <a:ln w="6350">
                <a:solidFill>
                  <a:srgbClr val="FFFFFF"/>
                </a:solidFill>
                <a:prstDash val="solid"/>
              </a:ln>
            </c:spPr>
          </c:dPt>
          <c:dPt>
            <c:idx val="3"/>
            <c:bubble3D val="0"/>
            <c:spPr>
              <a:solidFill>
                <a:srgbClr val="75BD42"/>
              </a:solidFill>
              <a:ln w="6350">
                <a:solidFill>
                  <a:srgbClr val="FFFFFF"/>
                </a:solidFill>
                <a:prstDash val="solid"/>
              </a:ln>
            </c:spPr>
          </c:dPt>
          <c:dPt>
            <c:idx val="4"/>
            <c:bubble3D val="0"/>
            <c:spPr>
              <a:solidFill>
                <a:srgbClr val="30C0B4"/>
              </a:solidFill>
              <a:ln w="6350">
                <a:solidFill>
                  <a:srgbClr val="FFFFFF"/>
                </a:solidFill>
                <a:prstDash val="solid"/>
              </a:ln>
            </c:spPr>
          </c:dPt>
          <c:dPt>
            <c:idx val="5"/>
            <c:bubble3D val="0"/>
            <c:spPr>
              <a:solidFill>
                <a:srgbClr val="E54C5E"/>
              </a:solidFill>
              <a:ln w="6350">
                <a:solidFill>
                  <a:srgbClr val="FFFFFF"/>
                </a:solidFill>
                <a:prstDash val="solid"/>
              </a:ln>
            </c:spPr>
          </c:dPt>
          <c:dPt>
            <c:idx val="6"/>
            <c:bubble3D val="0"/>
            <c:spPr>
              <a:solidFill>
                <a:srgbClr val="254380"/>
              </a:solidFill>
              <a:ln w="6350">
                <a:solidFill>
                  <a:srgbClr val="FFFFFF"/>
                </a:solidFill>
                <a:prstDash val="solid"/>
              </a:ln>
            </c:spPr>
          </c:dPt>
          <c:dPt>
            <c:idx val="7"/>
            <c:bubble3D val="0"/>
            <c:spPr>
              <a:solidFill>
                <a:srgbClr val="9E4C0D"/>
              </a:solidFill>
              <a:ln w="6350">
                <a:solidFill>
                  <a:srgbClr val="FFFFFF"/>
                </a:solidFill>
                <a:prstDash val="solid"/>
              </a:ln>
            </c:spPr>
          </c:dPt>
          <c:dPt>
            <c:idx val="8"/>
            <c:bubble3D val="0"/>
            <c:spPr>
              <a:solidFill>
                <a:srgbClr val="917001"/>
              </a:solidFill>
              <a:ln w="6350">
                <a:solidFill>
                  <a:srgbClr val="FFFFFF"/>
                </a:solidFill>
                <a:prstDash val="solid"/>
              </a:ln>
            </c:spPr>
          </c:dPt>
          <c:dPt>
            <c:idx val="9"/>
            <c:bubble3D val="0"/>
            <c:spPr>
              <a:solidFill>
                <a:srgbClr val="467128"/>
              </a:solidFill>
              <a:ln w="6350">
                <a:solidFill>
                  <a:srgbClr val="FFFFFF"/>
                </a:solidFill>
                <a:prstDash val="solid"/>
              </a:ln>
            </c:spPr>
          </c:dPt>
          <c:dPt>
            <c:idx val="10"/>
            <c:bubble3D val="0"/>
            <c:spPr>
              <a:solidFill>
                <a:srgbClr val="1D736C"/>
              </a:solidFill>
              <a:ln w="6350">
                <a:solidFill>
                  <a:srgbClr val="FFFFFF"/>
                </a:solidFill>
                <a:prstDash val="solid"/>
              </a:ln>
            </c:spPr>
          </c:dPt>
          <c:dPt>
            <c:idx val="11"/>
            <c:bubble3D val="0"/>
            <c:spPr>
              <a:solidFill>
                <a:srgbClr val="A01727"/>
              </a:solidFill>
              <a:ln w="6350">
                <a:solidFill>
                  <a:srgbClr val="FFFFFF"/>
                </a:solidFill>
                <a:prstDash val="solid"/>
              </a:ln>
            </c:spPr>
          </c:dPt>
          <c:dPt>
            <c:idx val="12"/>
            <c:bubble3D val="0"/>
            <c:spPr>
              <a:solidFill>
                <a:srgbClr val="6D90D5"/>
              </a:solidFill>
              <a:ln w="6350">
                <a:solidFill>
                  <a:srgbClr val="FFFFFF"/>
                </a:solidFill>
                <a:prstDash val="solid"/>
              </a:ln>
            </c:spPr>
          </c:dPt>
          <c:dPt>
            <c:idx val="13"/>
            <c:bubble3D val="0"/>
            <c:spPr>
              <a:solidFill>
                <a:srgbClr val="F19B59"/>
              </a:solidFill>
              <a:ln w="6350">
                <a:solidFill>
                  <a:srgbClr val="FFFFFF"/>
                </a:solidFill>
                <a:prstDash val="solid"/>
              </a:ln>
            </c:spPr>
          </c:dPt>
          <c:dPt>
            <c:idx val="14"/>
            <c:bubble3D val="0"/>
            <c:spPr>
              <a:solidFill>
                <a:srgbClr val="FDCC2C"/>
              </a:solidFill>
              <a:ln w="6350">
                <a:solidFill>
                  <a:srgbClr val="FFFFFF"/>
                </a:solidFill>
                <a:prstDash val="solid"/>
              </a:ln>
            </c:spPr>
          </c:dPt>
          <c:dPt>
            <c:idx val="15"/>
            <c:bubble3D val="0"/>
            <c:spPr>
              <a:solidFill>
                <a:srgbClr val="91CA68"/>
              </a:solidFill>
              <a:ln w="6350">
                <a:solidFill>
                  <a:srgbClr val="FFFFFF"/>
                </a:solidFill>
                <a:prstDash val="solid"/>
              </a:ln>
            </c:spPr>
          </c:dPt>
          <c:dPt>
            <c:idx val="16"/>
            <c:bubble3D val="0"/>
            <c:spPr>
              <a:solidFill>
                <a:srgbClr val="52D4C9"/>
              </a:solidFill>
              <a:ln w="6350">
                <a:solidFill>
                  <a:srgbClr val="FFFFFF"/>
                </a:solidFill>
                <a:prstDash val="solid"/>
              </a:ln>
            </c:spPr>
          </c:dPt>
          <c:dPt>
            <c:idx val="17"/>
            <c:bubble3D val="0"/>
            <c:spPr>
              <a:solidFill>
                <a:srgbClr val="EA707E"/>
              </a:solidFill>
              <a:ln w="6350">
                <a:solidFill>
                  <a:srgbClr val="FFFFFF"/>
                </a:solidFill>
                <a:prstDash val="solid"/>
              </a:ln>
            </c:spPr>
          </c:dPt>
          <c:dPt>
            <c:idx val="18"/>
            <c:bubble3D val="0"/>
            <c:spPr>
              <a:solidFill>
                <a:srgbClr val="315AAB"/>
              </a:solidFill>
              <a:ln w="6350">
                <a:solidFill>
                  <a:srgbClr val="FFFFFF"/>
                </a:solidFill>
                <a:prstDash val="solid"/>
              </a:ln>
            </c:spPr>
          </c:dPt>
          <c:dPt>
            <c:idx val="19"/>
            <c:bubble3D val="0"/>
            <c:spPr>
              <a:solidFill>
                <a:srgbClr val="D36511"/>
              </a:solidFill>
              <a:ln w="6350">
                <a:solidFill>
                  <a:srgbClr val="FFFFFF"/>
                </a:solidFill>
                <a:prstDash val="solid"/>
              </a:ln>
            </c:spPr>
          </c:dPt>
          <c:dPt>
            <c:idx val="20"/>
            <c:bubble3D val="0"/>
            <c:spPr>
              <a:solidFill>
                <a:srgbClr val="C29502"/>
              </a:solidFill>
              <a:ln w="6350">
                <a:solidFill>
                  <a:srgbClr val="FFFFFF"/>
                </a:solidFill>
                <a:prstDash val="solid"/>
              </a:ln>
            </c:spPr>
          </c:dPt>
          <c:dPt>
            <c:idx val="21"/>
            <c:bubble3D val="0"/>
            <c:spPr>
              <a:solidFill>
                <a:srgbClr val="5E9735"/>
              </a:solidFill>
              <a:ln w="6350">
                <a:solidFill>
                  <a:srgbClr val="FFFFFF"/>
                </a:solidFill>
                <a:prstDash val="solid"/>
              </a:ln>
            </c:spPr>
          </c:dPt>
          <c:dPt>
            <c:idx val="22"/>
            <c:bubble3D val="0"/>
            <c:spPr>
              <a:solidFill>
                <a:srgbClr val="269A90"/>
              </a:solidFill>
              <a:ln w="6350">
                <a:solidFill>
                  <a:srgbClr val="FFFFFF"/>
                </a:solidFill>
                <a:prstDash val="solid"/>
              </a:ln>
            </c:spPr>
          </c:dPt>
          <c:dPt>
            <c:idx val="23"/>
            <c:bubble3D val="0"/>
            <c:spPr>
              <a:solidFill>
                <a:srgbClr val="D51F34"/>
              </a:solidFill>
              <a:ln w="6350">
                <a:solidFill>
                  <a:srgbClr val="FFFFFF"/>
                </a:solidFill>
                <a:prstDash val="solid"/>
              </a:ln>
            </c:spPr>
          </c:dPt>
          <c:dPt>
            <c:idx val="24"/>
            <c:bubble3D val="0"/>
            <c:spPr>
              <a:solidFill>
                <a:srgbClr val="91ACE0"/>
              </a:solidFill>
              <a:ln w="6350">
                <a:solidFill>
                  <a:srgbClr val="FFFFFF"/>
                </a:solidFill>
                <a:prstDash val="solid"/>
              </a:ln>
            </c:spPr>
          </c:dPt>
          <c:dPt>
            <c:idx val="25"/>
            <c:bubble3D val="0"/>
            <c:spPr>
              <a:solidFill>
                <a:srgbClr val="F5B482"/>
              </a:solidFill>
              <a:ln w="6350">
                <a:solidFill>
                  <a:srgbClr val="FFFFFF"/>
                </a:solidFill>
                <a:prstDash val="solid"/>
              </a:ln>
            </c:spPr>
          </c:dPt>
          <c:dLbls>
            <c:showLegendKey val="0"/>
            <c:showVal val="0"/>
            <c:showCatName val="0"/>
            <c:showSerName val="0"/>
            <c:showPercent val="0"/>
            <c:showBubbleSize val="0"/>
            <c:showLeaderLines val="0"/>
          </c:dLbls>
          <c:cat>
            <c:strRef>
              <c:f>'Sheet1 (6)'!$A$2:$A$27</c:f>
              <c:strCache>
                <c:ptCount val="26"/>
                <c:pt idx="0">
                  <c:v>一般公共服务支出</c:v>
                </c:pt>
                <c:pt idx="1">
                  <c:v>外交支出</c:v>
                </c:pt>
                <c:pt idx="2">
                  <c:v>国防支出</c:v>
                </c:pt>
                <c:pt idx="3">
                  <c:v>公共安全支出</c:v>
                </c:pt>
                <c:pt idx="4">
                  <c:v>教育支出</c:v>
                </c:pt>
                <c:pt idx="5">
                  <c:v>科学技术支出</c:v>
                </c:pt>
                <c:pt idx="6">
                  <c:v>文化旅游体育与传媒支出</c:v>
                </c:pt>
                <c:pt idx="7">
                  <c:v>社会保障和就业支出</c:v>
                </c:pt>
                <c:pt idx="8">
                  <c:v>卫生健康支出</c:v>
                </c:pt>
                <c:pt idx="9">
                  <c:v>节能环保支出</c:v>
                </c:pt>
                <c:pt idx="10">
                  <c:v>城乡社区支出</c:v>
                </c:pt>
                <c:pt idx="11">
                  <c:v>农林水支出</c:v>
                </c:pt>
                <c:pt idx="12">
                  <c:v>交通运输支出</c:v>
                </c:pt>
                <c:pt idx="13">
                  <c:v>资源勘探工业信息等支出</c:v>
                </c:pt>
                <c:pt idx="14">
                  <c:v>商业服务业等支出</c:v>
                </c:pt>
                <c:pt idx="15">
                  <c:v>金融支出</c:v>
                </c:pt>
                <c:pt idx="16">
                  <c:v>援助其他地区支出</c:v>
                </c:pt>
                <c:pt idx="17">
                  <c:v>自然资源海洋气象等支出</c:v>
                </c:pt>
                <c:pt idx="18">
                  <c:v>住房保障支出</c:v>
                </c:pt>
                <c:pt idx="19">
                  <c:v>粮油物资储备支出</c:v>
                </c:pt>
                <c:pt idx="20">
                  <c:v>国有资本经营预算支出</c:v>
                </c:pt>
                <c:pt idx="21">
                  <c:v>灾害防治及应急管理支出</c:v>
                </c:pt>
                <c:pt idx="22">
                  <c:v>其他支出</c:v>
                </c:pt>
                <c:pt idx="23">
                  <c:v>债务还本支出</c:v>
                </c:pt>
                <c:pt idx="24">
                  <c:v>债务付息支出</c:v>
                </c:pt>
                <c:pt idx="25">
                  <c:v>抗疫特别国债安排的支出</c:v>
                </c:pt>
              </c:strCache>
            </c:strRef>
          </c:cat>
          <c:val>
            <c:numRef>
              <c:f>'Sheet1 (6)'!$B$2:$B$27</c:f>
              <c:numCache>
                <c:formatCode>General</c:formatCode>
                <c:ptCount val="26"/>
                <c:pt idx="0">
                  <c:v>0.0</c:v>
                </c:pt>
                <c:pt idx="1">
                  <c:v>0.0</c:v>
                </c:pt>
                <c:pt idx="2">
                  <c:v>0.0</c:v>
                </c:pt>
                <c:pt idx="3">
                  <c:v>0.0</c:v>
                </c:pt>
                <c:pt idx="4">
                  <c:v>0.0</c:v>
                </c:pt>
                <c:pt idx="5">
                  <c:v>0.0</c:v>
                </c:pt>
                <c:pt idx="6">
                  <c:v>0.0</c:v>
                </c:pt>
                <c:pt idx="7">
                  <c:v>0.0</c:v>
                </c:pt>
                <c:pt idx="8">
                  <c:v>0.0</c:v>
                </c:pt>
                <c:pt idx="9">
                  <c:v>0.0</c:v>
                </c:pt>
                <c:pt idx="10">
                  <c:v>130.0</c:v>
                </c:pt>
                <c:pt idx="11">
                  <c:v>1849.49</c:v>
                </c:pt>
                <c:pt idx="12">
                  <c:v>5366.74</c:v>
                </c:pt>
                <c:pt idx="13">
                  <c:v>0.0</c:v>
                </c:pt>
                <c:pt idx="14">
                  <c:v>0.0</c:v>
                </c:pt>
                <c:pt idx="15">
                  <c:v>0.0</c:v>
                </c:pt>
                <c:pt idx="16">
                  <c:v>0.0</c:v>
                </c:pt>
                <c:pt idx="17">
                  <c:v>0.0</c:v>
                </c:pt>
                <c:pt idx="18">
                  <c:v>0.0</c:v>
                </c:pt>
                <c:pt idx="19">
                  <c:v>0.0</c:v>
                </c:pt>
                <c:pt idx="20">
                  <c:v>0.0</c:v>
                </c:pt>
                <c:pt idx="21">
                  <c:v>507.0</c:v>
                </c:pt>
                <c:pt idx="22">
                  <c:v>0.0</c:v>
                </c:pt>
                <c:pt idx="23">
                  <c:v>0.0</c:v>
                </c:pt>
                <c:pt idx="24">
                  <c:v>0.0</c:v>
                </c:pt>
                <c:pt idx="25">
                  <c:v>0.0</c:v>
                </c:pt>
              </c:numCache>
            </c:numRef>
          </c:val>
        </c:ser>
        <c:firstSliceAng val="0"/>
      </c:pieChart>
      <c:spPr>
        <a:noFill/>
        <a:ln>
          <a:noFill/>
        </a:ln>
      </c:spPr>
    </c:plotArea>
    <c:legend>
      <c:legendPos val="r"/>
      <c:layout/>
      <c:overlay val="0"/>
      <c:spPr>
        <a:noFill/>
        <a:ln>
          <a:noFill/>
        </a:ln>
      </c:spPr>
      <c:txPr>
        <a:bodyPr/>
        <a:lstStyle/>
        <a:p>
          <a:pPr>
            <a:defRPr sz="900" b="0" i="0" u="none" strike="noStrike" baseline="0">
              <a:solidFill>
                <a:srgbClr val="595959"/>
              </a:solidFill>
              <a:latin typeface="Times New Roman"/>
              <a:ea typeface="宋体"/>
              <a:cs typeface="Arial"/>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sectPr/>
    <sectPr/>
    <sectPr/>
    <sectPr/>
  </customProps>
</customData>
</file>

<file path=customXml/itemProps1.xml><?xml version="1.0" encoding="utf-8"?>
<ds:datastoreItem xmlns:ds="http://schemas.openxmlformats.org/officeDocument/2006/customXml" ds:itemID="{5E71D2E0-9017-472E-A4EA-12D3A4F15B69}">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35</TotalTime>
  <Application>Yozo_Office27021597764231179</Application>
  <Pages>47</Pages>
  <Words>0</Words>
  <Characters>13083</Characters>
  <Lines>0</Lines>
  <Paragraphs>193</Paragraphs>
  <CharactersWithSpaces>17444</CharactersWithSpaces>
  <Company>神州网信技术有限公司</Company>
</Properties>
</file>

<file path=docProps/core.xml><?xml version="1.0" encoding="utf-8"?>
<cp:coreProperties xmlns:cp="http://schemas.openxmlformats.org/package/2006/metadata/core-properties" xmlns:dc="http://purl.org/dc/elements/1.1/" xmlns:dcterms="http://purl.org/dc/terms/" xmlns:xsi="http://www.w3.org/2001/XMLSchema-instance">
  <dc:creator>王明新TIAD</dc:creator>
  <cp:lastModifiedBy>Administrator</cp:lastModifiedBy>
  <cp:revision>15</cp:revision>
  <cp:lastPrinted>2023-08-04T01:00:00Z</cp:lastPrinted>
  <dcterms:created xsi:type="dcterms:W3CDTF">2023-08-04T07:55:00Z</dcterms:created>
  <dcterms:modified xsi:type="dcterms:W3CDTF">2025-09-26T01:19:29Z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2052-11.1.0.9021</vt:lpwstr>
  </property>
  <property fmtid="{D5CDD505-2E9C-101B-9397-08002B2CF9AE}" pid="3" name="ICV">
    <vt:lpwstr>B9D4097774744A28A58B1072CF95DB35_13</vt:lpwstr>
  </property>
  <property fmtid="{D5CDD505-2E9C-101B-9397-08002B2CF9AE}" pid="4" name="KSOTemplateUUID">
    <vt:lpwstr>v1.0_mb_S7ajbG3IpAnL1wSthNCxfw==</vt:lpwstr>
  </property>
  <property fmtid="{D5CDD505-2E9C-101B-9397-08002B2CF9AE}" pid="5" name="KSOTemplateDocerSaveRecord">
    <vt:lpwstr>eyJoZGlkIjoiYjA3YzVjY2RhYzM1OWI4MmYzZjdlYWUzZWM2YTQyNTYiLCJ1c2VySWQiOiIxNTIwMzY1OTkzIn0=</vt:lpwstr>
  </property>
</Properties>
</file>