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E9278">
      <w:pPr>
        <w:adjustRightInd w:val="0"/>
        <w:snapToGrid w:val="0"/>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4</w:t>
      </w:r>
    </w:p>
    <w:p w14:paraId="14590DFE">
      <w:pPr>
        <w:spacing w:line="560" w:lineRule="exact"/>
        <w:jc w:val="center"/>
        <w:rPr>
          <w:rFonts w:ascii="宋体" w:hAnsi="宋体" w:cs="宋体"/>
          <w:b/>
          <w:bCs/>
          <w:sz w:val="44"/>
          <w:szCs w:val="44"/>
        </w:rPr>
      </w:pPr>
    </w:p>
    <w:p w14:paraId="61078273">
      <w:pPr>
        <w:spacing w:line="560" w:lineRule="exact"/>
        <w:jc w:val="center"/>
        <w:rPr>
          <w:rFonts w:ascii="宋体" w:hAnsi="宋体" w:cs="宋体"/>
          <w:b/>
          <w:bCs/>
          <w:sz w:val="44"/>
          <w:szCs w:val="44"/>
        </w:rPr>
      </w:pPr>
      <w:r>
        <w:rPr>
          <w:rFonts w:hint="eastAsia" w:ascii="宋体" w:hAnsi="宋体" w:cs="宋体"/>
          <w:b/>
          <w:bCs/>
          <w:sz w:val="44"/>
          <w:szCs w:val="44"/>
          <w:lang w:val="en-US" w:eastAsia="zh-CN"/>
        </w:rPr>
        <w:t>行唐县医疗保障局</w:t>
      </w:r>
    </w:p>
    <w:p w14:paraId="293B8EA4">
      <w:pPr>
        <w:spacing w:line="560" w:lineRule="exact"/>
        <w:jc w:val="center"/>
        <w:rPr>
          <w:rFonts w:ascii="宋体" w:hAnsi="宋体" w:cs="宋体"/>
          <w:sz w:val="32"/>
          <w:szCs w:val="32"/>
        </w:rPr>
      </w:pPr>
      <w:r>
        <w:rPr>
          <w:rFonts w:hint="eastAsia" w:ascii="宋体" w:hAnsi="宋体" w:cs="宋体"/>
          <w:b/>
          <w:bCs/>
          <w:sz w:val="44"/>
          <w:szCs w:val="44"/>
        </w:rPr>
        <w:t>2025年度整体支出绩效自评报告</w:t>
      </w:r>
    </w:p>
    <w:p w14:paraId="0C3B8A4C">
      <w:pPr>
        <w:spacing w:line="560" w:lineRule="exact"/>
        <w:jc w:val="center"/>
        <w:rPr>
          <w:rFonts w:ascii="华文楷体" w:eastAsia="华文楷体"/>
          <w:sz w:val="32"/>
          <w:szCs w:val="32"/>
        </w:rPr>
      </w:pPr>
    </w:p>
    <w:p w14:paraId="5B2BEA9C">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w:t>
      </w:r>
      <w:r>
        <w:rPr>
          <w:rFonts w:ascii="仿宋" w:hAnsi="仿宋" w:eastAsia="仿宋"/>
          <w:sz w:val="32"/>
          <w:szCs w:val="32"/>
        </w:rPr>
        <w:t>县</w:t>
      </w:r>
      <w:r>
        <w:rPr>
          <w:rFonts w:hint="eastAsia" w:ascii="仿宋" w:hAnsi="仿宋" w:eastAsia="仿宋"/>
          <w:sz w:val="32"/>
          <w:szCs w:val="32"/>
        </w:rPr>
        <w:t>委</w:t>
      </w:r>
      <w:r>
        <w:rPr>
          <w:rFonts w:ascii="仿宋" w:hAnsi="仿宋" w:eastAsia="仿宋"/>
          <w:sz w:val="32"/>
          <w:szCs w:val="32"/>
        </w:rPr>
        <w:t>县</w:t>
      </w:r>
      <w:r>
        <w:rPr>
          <w:rFonts w:hint="eastAsia" w:ascii="仿宋" w:hAnsi="仿宋" w:eastAsia="仿宋"/>
          <w:sz w:val="32"/>
          <w:szCs w:val="32"/>
        </w:rPr>
        <w:t>政府《关于全面落实预算绩效管理的实施意见》（</w:t>
      </w:r>
      <w:r>
        <w:rPr>
          <w:rFonts w:ascii="仿宋" w:hAnsi="仿宋" w:eastAsia="仿宋"/>
          <w:sz w:val="32"/>
          <w:szCs w:val="32"/>
        </w:rPr>
        <w:t>行</w:t>
      </w:r>
      <w:r>
        <w:rPr>
          <w:rFonts w:hint="eastAsia" w:ascii="仿宋" w:hAnsi="仿宋" w:eastAsia="仿宋"/>
          <w:sz w:val="32"/>
          <w:szCs w:val="32"/>
        </w:rPr>
        <w:t>发﹝2019﹞8号）文件精神，遵循“科学性、规范性、客观性和公正性”的原则，对</w:t>
      </w:r>
      <w:r>
        <w:rPr>
          <w:rFonts w:hint="eastAsia" w:ascii="仿宋" w:hAnsi="仿宋" w:eastAsia="仿宋"/>
          <w:sz w:val="32"/>
          <w:szCs w:val="32"/>
          <w:lang w:eastAsia="zh-CN"/>
        </w:rPr>
        <w:t>行唐县医疗保障局</w:t>
      </w:r>
      <w:r>
        <w:rPr>
          <w:rFonts w:hint="eastAsia" w:ascii="仿宋" w:hAnsi="仿宋" w:eastAsia="仿宋"/>
          <w:sz w:val="32"/>
          <w:szCs w:val="32"/>
        </w:rPr>
        <w:t>202</w:t>
      </w:r>
      <w:r>
        <w:rPr>
          <w:rFonts w:ascii="仿宋" w:hAnsi="仿宋" w:eastAsia="仿宋"/>
          <w:sz w:val="32"/>
          <w:szCs w:val="32"/>
        </w:rPr>
        <w:t>5</w:t>
      </w:r>
      <w:r>
        <w:rPr>
          <w:rFonts w:hint="eastAsia" w:ascii="仿宋" w:hAnsi="仿宋" w:eastAsia="仿宋"/>
          <w:sz w:val="32"/>
          <w:szCs w:val="32"/>
        </w:rPr>
        <w:t>年整体支出情况实施了财政支出绩效自评价，形成本评价报告。</w:t>
      </w:r>
    </w:p>
    <w:p w14:paraId="494C26AE">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511DA721">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42DCCC3D">
      <w:pPr>
        <w:spacing w:line="360" w:lineRule="auto"/>
        <w:ind w:firstLine="640" w:firstLineChars="200"/>
        <w:rPr>
          <w:rFonts w:hint="eastAsia" w:ascii="仿宋" w:hAnsi="仿宋" w:eastAsia="仿宋"/>
          <w:sz w:val="32"/>
          <w:szCs w:val="32"/>
        </w:rPr>
      </w:pPr>
      <w:r>
        <w:rPr>
          <w:rFonts w:hint="eastAsia" w:ascii="仿宋" w:hAnsi="仿宋" w:eastAsia="仿宋"/>
          <w:sz w:val="32"/>
          <w:szCs w:val="32"/>
          <w:lang w:val="en-US" w:eastAsia="zh-CN"/>
        </w:rPr>
        <w:t>一、部门职责</w:t>
      </w:r>
      <w:r>
        <w:rPr>
          <w:rFonts w:hint="eastAsia" w:ascii="仿宋" w:hAnsi="仿宋" w:eastAsia="仿宋"/>
          <w:sz w:val="32"/>
          <w:szCs w:val="32"/>
        </w:rPr>
        <w:t>：</w:t>
      </w:r>
    </w:p>
    <w:p w14:paraId="2027B555">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1、贯彻落实国家、省、市关于城镇职工和城乡居民</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医疗保险、生育保险、长期护理保险、医疗救助等医疗保障法规、政府规章以及政策、制度、规划和标准。按照上级制定的医疗保障政策规定，抓好组织实施。</w:t>
      </w:r>
    </w:p>
    <w:p w14:paraId="50AD142D">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2、贯彻落实国家、省、市关于医疗保障基金监督管理规定，建立健全医疗保障基金安全防控机制，建设维护网络信息系统和智能监控平台，推进医疗保障基金支付方式改革，并组织实施。</w:t>
      </w:r>
    </w:p>
    <w:p w14:paraId="59E0DDD6">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3、贯彻落实城镇职工和城乡居民参保筹资和保障待遇政策。</w:t>
      </w:r>
    </w:p>
    <w:p w14:paraId="55F6A314">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4、贯彻落实城乡统一的药品、医用耗材、医疗服务项目、医疗服务设施等医保支付标准。</w:t>
      </w:r>
    </w:p>
    <w:p w14:paraId="57669213">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政策规定制定和调整县级公立基层医疗机构医疗服务价格。贯彻落实上级医保支付医药服务价格政策。依法管理药品、医用耗材、医疗服务价格政策执行情况。组织实施药品、医用耗材和医疗服务价格监测信息发布工作。</w:t>
      </w:r>
    </w:p>
    <w:p w14:paraId="4ECDE4BA">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6、落实药品、医用耗材招标采购政策并监督实施，指导药品、医用耗材指标采购平台建设。</w:t>
      </w:r>
    </w:p>
    <w:p w14:paraId="5AF836F4">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7、落实市定点医药机构协议和支付管理办法并组织实施。建立健全医疗保障信用评价体系和信息披露制度，监督管理定点医疗机构的医疗服务行为、医疗费用和医药价格，依法查处医疗保障领域违法违规行为。</w:t>
      </w:r>
    </w:p>
    <w:p w14:paraId="5FE2DC06">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8、负责医疗保障经办管理、公共服务体系和信息化建设。贯彻落实异地就医管理和费用结算政策、医疗保障关系转移接续制度。</w:t>
      </w:r>
    </w:p>
    <w:p w14:paraId="39D230BA">
      <w:pPr>
        <w:widowControl/>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9、完成县委、县政府和上级交办的其他任务。</w:t>
      </w:r>
    </w:p>
    <w:p w14:paraId="3E87F37B">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二.组织机构及人员情况：行唐县医疗保障</w:t>
      </w:r>
      <w:r>
        <w:rPr>
          <w:rFonts w:hint="eastAsia" w:ascii="仿宋" w:hAnsi="仿宋" w:eastAsia="仿宋"/>
          <w:sz w:val="32"/>
          <w:szCs w:val="32"/>
        </w:rPr>
        <w:t>局</w:t>
      </w:r>
      <w:r>
        <w:rPr>
          <w:rFonts w:hint="eastAsia" w:ascii="仿宋" w:hAnsi="仿宋" w:eastAsia="仿宋"/>
          <w:sz w:val="32"/>
          <w:szCs w:val="32"/>
          <w:lang w:eastAsia="zh-CN"/>
        </w:rPr>
        <w:t>为</w:t>
      </w:r>
      <w:r>
        <w:rPr>
          <w:rFonts w:hint="eastAsia" w:ascii="仿宋" w:hAnsi="仿宋" w:eastAsia="仿宋"/>
          <w:sz w:val="32"/>
          <w:szCs w:val="32"/>
        </w:rPr>
        <w:t>独立核算</w:t>
      </w:r>
      <w:r>
        <w:rPr>
          <w:rFonts w:hint="eastAsia" w:ascii="仿宋" w:hAnsi="仿宋" w:eastAsia="仿宋"/>
          <w:sz w:val="32"/>
          <w:szCs w:val="32"/>
          <w:lang w:eastAsia="zh-CN"/>
        </w:rPr>
        <w:t>行政单位，属一级预算单位</w:t>
      </w:r>
      <w:r>
        <w:rPr>
          <w:rFonts w:hint="eastAsia" w:ascii="仿宋" w:hAnsi="仿宋" w:eastAsia="仿宋"/>
          <w:sz w:val="32"/>
          <w:szCs w:val="32"/>
        </w:rPr>
        <w:t>。</w:t>
      </w:r>
      <w:r>
        <w:rPr>
          <w:rFonts w:hint="eastAsia" w:ascii="仿宋" w:hAnsi="仿宋" w:eastAsia="仿宋"/>
          <w:sz w:val="32"/>
          <w:szCs w:val="32"/>
          <w:lang w:eastAsia="zh-CN"/>
        </w:rPr>
        <w:t>我局</w:t>
      </w:r>
      <w:r>
        <w:rPr>
          <w:rFonts w:hint="eastAsia" w:ascii="仿宋" w:hAnsi="仿宋" w:eastAsia="仿宋"/>
          <w:sz w:val="32"/>
          <w:szCs w:val="32"/>
        </w:rPr>
        <w:t>行政编制</w:t>
      </w:r>
      <w:r>
        <w:rPr>
          <w:rFonts w:hint="eastAsia" w:ascii="仿宋" w:hAnsi="仿宋" w:eastAsia="仿宋"/>
          <w:sz w:val="32"/>
          <w:szCs w:val="32"/>
          <w:lang w:val="en-US" w:eastAsia="zh-CN"/>
        </w:rPr>
        <w:t>9</w:t>
      </w:r>
      <w:r>
        <w:rPr>
          <w:rFonts w:hint="eastAsia" w:ascii="仿宋" w:hAnsi="仿宋" w:eastAsia="仿宋"/>
          <w:sz w:val="32"/>
          <w:szCs w:val="32"/>
        </w:rPr>
        <w:t>人</w:t>
      </w:r>
      <w:r>
        <w:rPr>
          <w:rFonts w:hint="eastAsia" w:ascii="仿宋" w:hAnsi="仿宋" w:eastAsia="仿宋"/>
          <w:sz w:val="32"/>
          <w:szCs w:val="32"/>
          <w:lang w:eastAsia="zh-CN"/>
        </w:rPr>
        <w:t>、财政拨款开支事业编制</w:t>
      </w:r>
      <w:r>
        <w:rPr>
          <w:rFonts w:hint="eastAsia" w:ascii="仿宋" w:hAnsi="仿宋" w:eastAsia="仿宋"/>
          <w:sz w:val="32"/>
          <w:szCs w:val="32"/>
          <w:lang w:val="en-US" w:eastAsia="zh-CN"/>
        </w:rPr>
        <w:t>22人。年终</w:t>
      </w:r>
      <w:r>
        <w:rPr>
          <w:rFonts w:hint="eastAsia" w:ascii="仿宋" w:hAnsi="仿宋" w:eastAsia="仿宋"/>
          <w:sz w:val="32"/>
          <w:szCs w:val="32"/>
        </w:rPr>
        <w:t>在职行政编制人员</w:t>
      </w:r>
      <w:r>
        <w:rPr>
          <w:rFonts w:hint="eastAsia" w:ascii="仿宋" w:hAnsi="仿宋" w:eastAsia="仿宋"/>
          <w:sz w:val="32"/>
          <w:szCs w:val="32"/>
          <w:lang w:val="en-US" w:eastAsia="zh-CN"/>
        </w:rPr>
        <w:t>7</w:t>
      </w:r>
      <w:r>
        <w:rPr>
          <w:rFonts w:hint="eastAsia" w:ascii="仿宋" w:hAnsi="仿宋" w:eastAsia="仿宋"/>
          <w:sz w:val="32"/>
          <w:szCs w:val="32"/>
        </w:rPr>
        <w:t>人</w:t>
      </w:r>
      <w:r>
        <w:rPr>
          <w:rFonts w:hint="eastAsia" w:ascii="仿宋" w:hAnsi="仿宋" w:eastAsia="仿宋"/>
          <w:sz w:val="32"/>
          <w:szCs w:val="32"/>
          <w:lang w:eastAsia="zh-CN"/>
        </w:rPr>
        <w:t>、</w:t>
      </w:r>
      <w:r>
        <w:rPr>
          <w:rFonts w:hint="eastAsia" w:ascii="仿宋" w:hAnsi="仿宋" w:eastAsia="仿宋"/>
          <w:sz w:val="32"/>
          <w:szCs w:val="32"/>
        </w:rPr>
        <w:t>在职事业编制人员</w:t>
      </w:r>
      <w:r>
        <w:rPr>
          <w:rFonts w:hint="eastAsia" w:ascii="仿宋" w:hAnsi="仿宋" w:eastAsia="仿宋"/>
          <w:sz w:val="32"/>
          <w:szCs w:val="32"/>
          <w:lang w:val="en-US" w:eastAsia="zh-CN"/>
        </w:rPr>
        <w:t>22</w:t>
      </w:r>
      <w:r>
        <w:rPr>
          <w:rFonts w:hint="eastAsia" w:ascii="仿宋" w:hAnsi="仿宋" w:eastAsia="仿宋"/>
          <w:sz w:val="32"/>
          <w:szCs w:val="32"/>
        </w:rPr>
        <w:t>人，</w:t>
      </w:r>
      <w:r>
        <w:rPr>
          <w:rFonts w:hint="eastAsia" w:ascii="仿宋" w:hAnsi="仿宋" w:eastAsia="仿宋"/>
          <w:sz w:val="32"/>
          <w:szCs w:val="32"/>
          <w:lang w:eastAsia="zh-CN"/>
        </w:rPr>
        <w:t>事业退休</w:t>
      </w:r>
      <w:r>
        <w:rPr>
          <w:rFonts w:hint="eastAsia" w:ascii="仿宋" w:hAnsi="仿宋" w:eastAsia="仿宋"/>
          <w:sz w:val="32"/>
          <w:szCs w:val="32"/>
          <w:lang w:val="en-US" w:eastAsia="zh-CN"/>
        </w:rPr>
        <w:t>1</w:t>
      </w:r>
      <w:r>
        <w:rPr>
          <w:rFonts w:hint="eastAsia" w:ascii="仿宋" w:hAnsi="仿宋" w:eastAsia="仿宋"/>
          <w:sz w:val="32"/>
          <w:szCs w:val="32"/>
        </w:rPr>
        <w:t>人</w:t>
      </w:r>
      <w:r>
        <w:rPr>
          <w:rFonts w:hint="eastAsia" w:ascii="仿宋" w:hAnsi="仿宋" w:eastAsia="仿宋"/>
          <w:sz w:val="32"/>
          <w:szCs w:val="32"/>
          <w:lang w:eastAsia="zh-CN"/>
        </w:rPr>
        <w:t>，</w:t>
      </w:r>
      <w:r>
        <w:rPr>
          <w:rFonts w:hint="eastAsia" w:ascii="仿宋_GB2312" w:hAnsi="宋体" w:eastAsia="仿宋_GB2312"/>
          <w:sz w:val="32"/>
          <w:szCs w:val="32"/>
        </w:rPr>
        <w:t>外单位借用人员</w:t>
      </w:r>
      <w:r>
        <w:rPr>
          <w:rFonts w:hint="eastAsia" w:ascii="仿宋_GB2312" w:hAnsi="宋体" w:eastAsia="仿宋_GB2312"/>
          <w:sz w:val="32"/>
          <w:szCs w:val="32"/>
          <w:lang w:val="en-US" w:eastAsia="zh-CN"/>
        </w:rPr>
        <w:t>5</w:t>
      </w:r>
      <w:r>
        <w:rPr>
          <w:rFonts w:hint="eastAsia" w:ascii="仿宋_GB2312" w:hAnsi="宋体" w:eastAsia="仿宋_GB2312"/>
          <w:sz w:val="32"/>
          <w:szCs w:val="32"/>
        </w:rPr>
        <w:t>名、县招考自收自支事业编人员</w:t>
      </w:r>
      <w:r>
        <w:rPr>
          <w:rFonts w:hint="eastAsia" w:ascii="仿宋_GB2312" w:hAnsi="宋体" w:eastAsia="仿宋_GB2312"/>
          <w:sz w:val="32"/>
          <w:szCs w:val="32"/>
          <w:lang w:val="en-US" w:eastAsia="zh-CN"/>
        </w:rPr>
        <w:t>5</w:t>
      </w:r>
      <w:r>
        <w:rPr>
          <w:rFonts w:hint="eastAsia" w:ascii="仿宋_GB2312" w:hAnsi="宋体" w:eastAsia="仿宋_GB2312"/>
          <w:sz w:val="32"/>
          <w:szCs w:val="32"/>
        </w:rPr>
        <w:t>人</w:t>
      </w:r>
      <w:r>
        <w:rPr>
          <w:rFonts w:hint="eastAsia" w:ascii="仿宋" w:hAnsi="仿宋" w:eastAsia="仿宋"/>
          <w:sz w:val="32"/>
          <w:szCs w:val="32"/>
        </w:rPr>
        <w:t>。</w:t>
      </w:r>
      <w:bookmarkStart w:id="0" w:name="_GoBack"/>
      <w:bookmarkEnd w:id="0"/>
    </w:p>
    <w:p w14:paraId="388362A9">
      <w:pPr>
        <w:adjustRightInd w:val="0"/>
        <w:snapToGrid w:val="0"/>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三.资产情况：截至2025年12月31日，</w:t>
      </w:r>
      <w:r>
        <w:rPr>
          <w:rFonts w:hint="eastAsia" w:ascii="仿宋" w:hAnsi="仿宋" w:eastAsia="仿宋"/>
          <w:sz w:val="32"/>
          <w:szCs w:val="32"/>
        </w:rPr>
        <w:t>我单位</w:t>
      </w:r>
      <w:r>
        <w:rPr>
          <w:rFonts w:hint="eastAsia" w:ascii="仿宋" w:hAnsi="仿宋" w:eastAsia="仿宋"/>
          <w:sz w:val="32"/>
          <w:szCs w:val="32"/>
          <w:lang w:val="en-US" w:eastAsia="zh-CN"/>
        </w:rPr>
        <w:t>2025年年末固定资产原值122.84万元，固定资产净值77.75万元。</w:t>
      </w:r>
    </w:p>
    <w:p w14:paraId="6CF958B6">
      <w:pPr>
        <w:widowControl/>
        <w:spacing w:line="580" w:lineRule="exact"/>
        <w:ind w:firstLine="640" w:firstLineChars="200"/>
        <w:rPr>
          <w:rFonts w:hint="eastAsia" w:ascii="仿宋_GB2312" w:hAnsi="仿宋_GB2312" w:eastAsia="仿宋_GB2312" w:cs="仿宋_GB2312"/>
          <w:sz w:val="32"/>
          <w:szCs w:val="32"/>
        </w:rPr>
      </w:pPr>
    </w:p>
    <w:p w14:paraId="566455FB">
      <w:pPr>
        <w:adjustRightInd w:val="0"/>
        <w:snapToGrid w:val="0"/>
        <w:spacing w:line="560" w:lineRule="exact"/>
        <w:ind w:firstLine="640" w:firstLineChars="200"/>
        <w:rPr>
          <w:rFonts w:hint="eastAsia" w:ascii="仿宋" w:hAnsi="仿宋" w:eastAsia="仿宋"/>
          <w:sz w:val="32"/>
          <w:szCs w:val="32"/>
        </w:rPr>
      </w:pPr>
    </w:p>
    <w:p w14:paraId="7FBC7131">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0B5AEFDD">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行唐县医疗保障局2025年财政拨款收入</w:t>
      </w:r>
      <w:r>
        <w:rPr>
          <w:rFonts w:hint="eastAsia" w:ascii="仿宋_GB2312" w:hAnsi="仿宋" w:eastAsia="仿宋_GB2312"/>
          <w:sz w:val="32"/>
          <w:szCs w:val="32"/>
          <w:lang w:val="en-US" w:eastAsia="zh-CN"/>
        </w:rPr>
        <w:t>5626.53</w:t>
      </w:r>
      <w:r>
        <w:rPr>
          <w:rFonts w:hint="eastAsia" w:ascii="仿宋" w:hAnsi="仿宋" w:eastAsia="仿宋"/>
          <w:sz w:val="32"/>
          <w:szCs w:val="32"/>
          <w:lang w:val="en-US" w:eastAsia="zh-CN"/>
        </w:rPr>
        <w:t>万元，一般预算财政拨款收入</w:t>
      </w:r>
      <w:r>
        <w:rPr>
          <w:rFonts w:hint="eastAsia" w:ascii="仿宋_GB2312" w:hAnsi="仿宋" w:eastAsia="仿宋_GB2312"/>
          <w:sz w:val="32"/>
          <w:szCs w:val="32"/>
          <w:lang w:val="en-US" w:eastAsia="zh-CN"/>
        </w:rPr>
        <w:t>5626.53</w:t>
      </w:r>
      <w:r>
        <w:rPr>
          <w:rFonts w:hint="eastAsia" w:ascii="仿宋" w:hAnsi="仿宋" w:eastAsia="仿宋"/>
          <w:sz w:val="32"/>
          <w:szCs w:val="32"/>
          <w:lang w:val="en-US" w:eastAsia="zh-CN"/>
        </w:rPr>
        <w:t>万元。本年决算支出</w:t>
      </w:r>
      <w:r>
        <w:rPr>
          <w:rFonts w:hint="eastAsia" w:ascii="仿宋_GB2312" w:hAnsi="仿宋" w:eastAsia="仿宋_GB2312"/>
          <w:sz w:val="32"/>
          <w:szCs w:val="32"/>
          <w:lang w:val="en-US" w:eastAsia="zh-CN"/>
        </w:rPr>
        <w:t>5626.53</w:t>
      </w:r>
      <w:r>
        <w:rPr>
          <w:rFonts w:hint="eastAsia" w:ascii="仿宋" w:hAnsi="仿宋" w:eastAsia="仿宋"/>
          <w:sz w:val="32"/>
          <w:szCs w:val="32"/>
          <w:lang w:val="en-US" w:eastAsia="zh-CN"/>
        </w:rPr>
        <w:t>万元，其中：基本支出369.24元，项目支出5257.29万元。我部门在财政支出预算执行中，严格按相关财经法规，强化资金使用约束力，加强专项资金跟管理，确保了专款专用。坚持按照预算进度及各项资金用途安排拨付资金，严格控制一般性支出，切实做到“保人员工资发放、保机构正常运转、保重点难、点项目”，使有限资金发挥最佳使用效益，确保部门资金平稳运行。</w:t>
      </w:r>
    </w:p>
    <w:p w14:paraId="2070AF50">
      <w:pPr>
        <w:numPr>
          <w:ilvl w:val="0"/>
          <w:numId w:val="0"/>
        </w:numPr>
        <w:adjustRightInd w:val="0"/>
        <w:snapToGrid w:val="0"/>
        <w:spacing w:line="560" w:lineRule="exact"/>
        <w:rPr>
          <w:rFonts w:hint="eastAsia" w:ascii="楷体" w:hAnsi="楷体" w:eastAsia="楷体" w:cs="楷体_GB2312"/>
          <w:bCs/>
          <w:sz w:val="32"/>
          <w:szCs w:val="32"/>
        </w:rPr>
      </w:pPr>
    </w:p>
    <w:p w14:paraId="5D79FD41">
      <w:pPr>
        <w:numPr>
          <w:ilvl w:val="0"/>
          <w:numId w:val="1"/>
        </w:numPr>
        <w:adjustRightInd w:val="0"/>
        <w:snapToGrid w:val="0"/>
        <w:spacing w:line="560" w:lineRule="exact"/>
        <w:ind w:left="0" w:leftChars="0"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部门整体支出绩效目标、指标</w:t>
      </w:r>
    </w:p>
    <w:p w14:paraId="3767E1E8">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default" w:ascii="仿宋" w:hAnsi="仿宋" w:eastAsia="仿宋" w:cs="黑体"/>
          <w:kern w:val="2"/>
          <w:sz w:val="32"/>
          <w:szCs w:val="32"/>
          <w:lang w:val="en-US" w:eastAsia="zh-CN" w:bidi="ar-SA"/>
        </w:rPr>
        <w:t>1、</w:t>
      </w:r>
      <w:r>
        <w:rPr>
          <w:rFonts w:hint="eastAsia" w:ascii="仿宋" w:hAnsi="仿宋" w:eastAsia="仿宋"/>
          <w:sz w:val="32"/>
          <w:szCs w:val="32"/>
          <w:lang w:val="en-US" w:eastAsia="zh-CN"/>
        </w:rPr>
        <w:t>2025年</w:t>
      </w:r>
      <w:r>
        <w:rPr>
          <w:rFonts w:hint="eastAsia" w:ascii="仿宋_GB2312" w:hAnsi="仿宋_GB2312" w:eastAsia="仿宋_GB2312" w:cs="仿宋_GB2312"/>
          <w:color w:val="000000"/>
          <w:sz w:val="32"/>
          <w:szCs w:val="32"/>
          <w:lang w:val="en-US" w:eastAsia="zh-CN"/>
        </w:rPr>
        <w:t>，在县委、县政府坚强领导下，我局以习近平新时代中国特色社会主义思想为引领，深入学习宣传贯彻党的二十大精神和习近平总书记的重要讲话和重要指示精神，全面落实县委、县政府工作部署，坚持医疗保障基金“以收定支、收支平衡、略有结余”的原则，围绕各类考核目标，心无旁骛、苦干实干，坚持将实绩体现在数据，成绩对比在同期，有力推动了全县医疗保障事业高质量发展，各项指标稳中向好，</w:t>
      </w:r>
      <w:r>
        <w:rPr>
          <w:rFonts w:hint="eastAsia" w:ascii="仿宋" w:hAnsi="仿宋" w:eastAsia="仿宋"/>
          <w:sz w:val="32"/>
          <w:szCs w:val="32"/>
          <w:lang w:val="en-US" w:eastAsia="zh-CN"/>
        </w:rPr>
        <w:t>较好地完成了部门年度工作目标。根据部门整体支出绩效评价指标体系，我单位2025年度评价得分</w:t>
      </w:r>
      <w:r>
        <w:rPr>
          <w:rFonts w:hint="eastAsia" w:ascii="仿宋" w:hAnsi="仿宋" w:eastAsia="仿宋"/>
          <w:sz w:val="32"/>
          <w:szCs w:val="32"/>
          <w:highlight w:val="none"/>
          <w:lang w:val="en-US" w:eastAsia="zh-CN"/>
        </w:rPr>
        <w:t>为95分</w:t>
      </w:r>
      <w:r>
        <w:rPr>
          <w:rFonts w:hint="eastAsia" w:ascii="仿宋" w:hAnsi="仿宋" w:eastAsia="仿宋"/>
          <w:sz w:val="32"/>
          <w:szCs w:val="32"/>
          <w:lang w:val="en-US" w:eastAsia="zh-CN"/>
        </w:rPr>
        <w:t>，评价结果为“优”。部门整体支出绩效情况如下：</w:t>
      </w:r>
    </w:p>
    <w:p w14:paraId="7879E73B">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1、投入30分</w:t>
      </w:r>
    </w:p>
    <w:p w14:paraId="6A3572AC">
      <w:pPr>
        <w:numPr>
          <w:ilvl w:val="0"/>
          <w:numId w:val="0"/>
        </w:numPr>
        <w:adjustRightInd w:val="0"/>
        <w:snapToGrid w:val="0"/>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（1）绩效目标指标管理得15分。其中：绩效目标科学性得3分，绩效指标科学性得3分，预算编制完整性得3分，项目预算功能分类等编制合规性得3分，预算上报及时性得3分。</w:t>
      </w:r>
    </w:p>
    <w:p w14:paraId="69430AA6">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2、过程（执行）39分</w:t>
      </w:r>
    </w:p>
    <w:p w14:paraId="7B0F4E23">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（1）预算执行得21分。其中：收入预算完成率得2分，预算调整率得1分，</w:t>
      </w:r>
      <w:r>
        <w:rPr>
          <w:rFonts w:hint="eastAsia" w:ascii="仿宋" w:hAnsi="仿宋" w:eastAsia="仿宋"/>
          <w:sz w:val="32"/>
          <w:szCs w:val="32"/>
          <w:highlight w:val="none"/>
          <w:lang w:val="en-US" w:eastAsia="zh-CN"/>
        </w:rPr>
        <w:t>支出进度得2分，资金结余结转率得2分，“三公”经费控制率得2分，政府采购执行率得1分，决策真实性得</w:t>
      </w:r>
      <w:r>
        <w:rPr>
          <w:rFonts w:hint="eastAsia" w:ascii="仿宋" w:hAnsi="仿宋" w:eastAsia="仿宋"/>
          <w:sz w:val="32"/>
          <w:szCs w:val="32"/>
          <w:lang w:val="en-US" w:eastAsia="zh-CN"/>
        </w:rPr>
        <w:t>2分，资金使用合规性得4分，财务管理规范性得4分。</w:t>
      </w:r>
    </w:p>
    <w:p w14:paraId="3D3AC51C">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（2）预算管理得7分。其中：管理制度健全性得 2分，预决算信息公开性得2分，基础信息完善性得1分；资产管理规范性得2 分。</w:t>
      </w:r>
    </w:p>
    <w:p w14:paraId="38041C33">
      <w:pPr>
        <w:numPr>
          <w:ilvl w:val="0"/>
          <w:numId w:val="0"/>
        </w:numPr>
        <w:adjustRightInd w:val="0"/>
        <w:snapToGrid w:val="0"/>
        <w:spacing w:line="560" w:lineRule="exact"/>
        <w:ind w:firstLine="640" w:firstLineChars="200"/>
        <w:rPr>
          <w:rFonts w:hint="default"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（3）绩效评价得8分。其中：绩效自评覆盖率得 4分，评价结果应用率得4分。</w:t>
      </w:r>
    </w:p>
    <w:p w14:paraId="4C40C983">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3、产出14分。</w:t>
      </w:r>
    </w:p>
    <w:p w14:paraId="2C0B94BD">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（1）实际完成率得6分。预算批复的部门年度发展规划目标和部门职责分类绩效目标进行细化和量化得6分。</w:t>
      </w:r>
    </w:p>
    <w:p w14:paraId="39CB684B">
      <w:pPr>
        <w:numPr>
          <w:ilvl w:val="0"/>
          <w:numId w:val="0"/>
        </w:numPr>
        <w:adjustRightInd w:val="0"/>
        <w:snapToGrid w:val="0"/>
        <w:spacing w:line="560" w:lineRule="exact"/>
        <w:ind w:firstLine="640" w:firstLineChars="200"/>
        <w:rPr>
          <w:rFonts w:hint="default"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（2）完成及时率得6分。预算批复的部门年度发展规划目标和部门职责分类绩效目标进行细化和量化得6分。</w:t>
      </w:r>
    </w:p>
    <w:p w14:paraId="27EB95B4">
      <w:pPr>
        <w:numPr>
          <w:ilvl w:val="0"/>
          <w:numId w:val="0"/>
        </w:num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4、效果12分。</w:t>
      </w:r>
    </w:p>
    <w:p w14:paraId="7954F2D3">
      <w:pPr>
        <w:numPr>
          <w:ilvl w:val="0"/>
          <w:numId w:val="0"/>
        </w:numPr>
        <w:adjustRightInd w:val="0"/>
        <w:snapToGrid w:val="0"/>
        <w:spacing w:line="560" w:lineRule="exact"/>
        <w:ind w:firstLine="640" w:firstLineChars="200"/>
        <w:rPr>
          <w:rFonts w:hint="default"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（1）职责效益得12分。其中：部门整体效益得6分，社会公众满意度得6分。</w:t>
      </w:r>
    </w:p>
    <w:p w14:paraId="67A04EE1">
      <w:pPr>
        <w:adjustRightInd w:val="0"/>
        <w:snapToGrid w:val="0"/>
        <w:spacing w:line="560" w:lineRule="exact"/>
        <w:ind w:firstLine="640" w:firstLineChars="200"/>
        <w:rPr>
          <w:rFonts w:hint="eastAsia" w:ascii="仿宋" w:hAnsi="仿宋" w:eastAsia="仿宋"/>
          <w:sz w:val="32"/>
          <w:szCs w:val="32"/>
        </w:rPr>
      </w:pPr>
    </w:p>
    <w:p w14:paraId="62B08D93">
      <w:pPr>
        <w:numPr>
          <w:ilvl w:val="0"/>
          <w:numId w:val="0"/>
        </w:numPr>
        <w:adjustRightInd w:val="0"/>
        <w:snapToGrid w:val="0"/>
        <w:spacing w:line="560" w:lineRule="exact"/>
        <w:ind w:firstLine="640" w:firstLineChars="200"/>
        <w:rPr>
          <w:rFonts w:hint="eastAsia" w:ascii="仿宋" w:hAnsi="仿宋" w:eastAsia="仿宋"/>
          <w:sz w:val="32"/>
          <w:szCs w:val="32"/>
          <w:lang w:val="en-US" w:eastAsia="zh-CN"/>
        </w:rPr>
      </w:pPr>
    </w:p>
    <w:p w14:paraId="22C14860">
      <w:pPr>
        <w:numPr>
          <w:ilvl w:val="0"/>
          <w:numId w:val="0"/>
        </w:numPr>
        <w:adjustRightInd w:val="0"/>
        <w:snapToGrid w:val="0"/>
        <w:spacing w:line="560" w:lineRule="exact"/>
        <w:ind w:leftChars="200"/>
        <w:rPr>
          <w:rFonts w:hint="eastAsia" w:ascii="楷体" w:hAnsi="楷体" w:eastAsia="楷体" w:cs="楷体_GB2312"/>
          <w:bCs/>
          <w:sz w:val="32"/>
          <w:szCs w:val="32"/>
        </w:rPr>
      </w:pPr>
    </w:p>
    <w:p w14:paraId="321A508F">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参照部门预算绩效文本中绩效目标、指标。</w:t>
      </w:r>
    </w:p>
    <w:p w14:paraId="1A4C2A2B">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2C957C89">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02D2910E">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sz w:val="32"/>
          <w:szCs w:val="32"/>
        </w:rPr>
        <w:t xml:space="preserve"> </w:t>
      </w:r>
      <w:r>
        <w:rPr>
          <w:rFonts w:hint="eastAsia" w:ascii="仿宋" w:hAnsi="仿宋" w:eastAsia="仿宋"/>
          <w:sz w:val="32"/>
          <w:szCs w:val="32"/>
          <w:lang w:eastAsia="zh-CN"/>
        </w:rPr>
        <w:t>我</w:t>
      </w:r>
      <w:r>
        <w:rPr>
          <w:rFonts w:hint="eastAsia" w:ascii="仿宋" w:hAnsi="仿宋" w:eastAsia="仿宋"/>
          <w:sz w:val="32"/>
          <w:szCs w:val="32"/>
          <w:lang w:val="en-US" w:eastAsia="zh-CN"/>
        </w:rPr>
        <w:t>局成立绩效自评小组，单位负责人及班子成员参与，相关科室提供=数据，通过核实数据、查阅资料、归纳汇总等环节对绩效执行情况、资金来源情况和资金使用情况以及绩效目标实现程度进行了分析评价。</w:t>
      </w:r>
    </w:p>
    <w:p w14:paraId="1195E52E">
      <w:pPr>
        <w:numPr>
          <w:ilvl w:val="0"/>
          <w:numId w:val="2"/>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27F8FEB0">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绩效自评工作小组，按照《行唐县部门预算项目绩效自评管理办法》要求，结合 工作实际，对照预算批复时确定的绩效目标及指标，根据 2025年度预算执行情况、决算报告等相关材料，遵循客观公正、公开 透明、全面覆盖的原则，组织实施本部门的绩效自评工作。</w:t>
      </w:r>
    </w:p>
    <w:p w14:paraId="66CDE678">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1.制定绩效自评工作方案。工作方案包括年度绩效评价实施方案、评价指标体系及评价标准、基础数据、绩效评价资料。自评小组对绩效评价相关事项进行讨论与研究，确定评价证据。</w:t>
      </w:r>
    </w:p>
    <w:p w14:paraId="57CBDC46">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2.根据制定的绩效自评工作方案，收集相关实施材料， 审核基础资料，核实年度绩效目标是否实施及实施情况是否良好， 并进行拍照留痕，对收集的证据运用科学的方法进行综合分析。</w:t>
      </w:r>
    </w:p>
    <w:p w14:paraId="1E85AEC7">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3.根据分析后的情况评分，形成综合评价结果，将评价 结果与各项指标进行比较，确定绩效评价等级(优、良、中、差)</w:t>
      </w:r>
    </w:p>
    <w:p w14:paraId="7E25D2BB">
      <w:pPr>
        <w:numPr>
          <w:ilvl w:val="0"/>
          <w:numId w:val="0"/>
        </w:numPr>
        <w:spacing w:line="560" w:lineRule="exact"/>
        <w:ind w:left="642" w:leftChars="0"/>
        <w:rPr>
          <w:rFonts w:ascii="楷体" w:hAnsi="楷体" w:eastAsia="楷体" w:cs="楷体_GB2312"/>
          <w:bCs/>
          <w:sz w:val="32"/>
          <w:szCs w:val="32"/>
        </w:rPr>
      </w:pPr>
    </w:p>
    <w:p w14:paraId="6C0B4D8F">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5AD31F78">
      <w:pPr>
        <w:numPr>
          <w:ilvl w:val="0"/>
          <w:numId w:val="3"/>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4B3B2401">
      <w:pPr>
        <w:pStyle w:val="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根据预算绩效管理要求，本部门组织对2025年度一般公共预算项目支出全面开展绩效自评。2025年重点绩效评价本着 “兼顾整体政策评价和重点项目评价”的原则，确定了对重大支出政策或重大项目开展财政重点绩效评价，总体绩效目标完成较好。专项资金安排符合上级政府决策部署，认真分析研究指标任务，细化、分解落实目标责任，并开展常态化，有效推进了各项指标任务的落实。全力做好排查、化解、稳控、打击等各环节工作，有效提升了医疗机构对医保基金的规范使用，严厉打击欺诈骗保行为，大力宣传医保政策，有效提升了城乡居民的参保率。截止本年末，我部门项目绩效指标任务已完成。 </w:t>
      </w:r>
    </w:p>
    <w:p w14:paraId="7815A497">
      <w:pPr>
        <w:spacing w:line="560" w:lineRule="exact"/>
        <w:ind w:firstLine="800" w:firstLineChars="250"/>
        <w:rPr>
          <w:rFonts w:hint="eastAsia" w:ascii="仿宋" w:hAnsi="仿宋" w:eastAsia="仿宋"/>
          <w:sz w:val="32"/>
          <w:szCs w:val="32"/>
        </w:rPr>
      </w:pPr>
    </w:p>
    <w:p w14:paraId="117CD13D">
      <w:pPr>
        <w:spacing w:line="560" w:lineRule="exact"/>
        <w:ind w:firstLine="800" w:firstLineChars="250"/>
        <w:rPr>
          <w:rFonts w:hint="eastAsia" w:ascii="仿宋" w:hAnsi="仿宋" w:eastAsia="仿宋"/>
          <w:sz w:val="32"/>
          <w:szCs w:val="32"/>
        </w:rPr>
      </w:pPr>
    </w:p>
    <w:p w14:paraId="21C87296">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54C197EA">
      <w:pPr>
        <w:keepNext w:val="0"/>
        <w:keepLines w:val="0"/>
        <w:pageBreakBefore w:val="0"/>
        <w:widowControl w:val="0"/>
        <w:wordWrap/>
        <w:topLinePunct w:val="0"/>
        <w:bidi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一、2025年重点工作总结</w:t>
      </w:r>
    </w:p>
    <w:p w14:paraId="4CCADA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党建引领强根基，理论学习筑忠诚</w:t>
      </w:r>
    </w:p>
    <w:p w14:paraId="35F85744">
      <w:pPr>
        <w:keepNext w:val="0"/>
        <w:keepLines w:val="0"/>
        <w:pageBreakBefore w:val="0"/>
        <w:widowControl w:val="0"/>
        <w:wordWrap/>
        <w:topLinePunct w:val="0"/>
        <w:bidi w:val="0"/>
        <w:spacing w:line="560" w:lineRule="exact"/>
        <w:ind w:firstLine="643" w:firstLineChars="200"/>
        <w:textAlignment w:val="auto"/>
        <w:rPr>
          <w:rFonts w:hint="eastAsia" w:ascii="楷体_GB2312" w:hAnsi="楷体_GB2312" w:eastAsia="楷体_GB2312" w:cs="楷体_GB2312"/>
          <w:sz w:val="32"/>
          <w:szCs w:val="32"/>
          <w:lang w:val="en-US" w:eastAsia="zh-CN"/>
        </w:rPr>
      </w:pPr>
      <w:r>
        <w:rPr>
          <w:rFonts w:hint="eastAsia" w:ascii="仿宋_GB2312" w:hAnsi="微软雅黑" w:eastAsia="仿宋_GB2312" w:cs="仿宋_GB2312"/>
          <w:b/>
          <w:bCs/>
          <w:i w:val="0"/>
          <w:caps w:val="0"/>
          <w:color w:val="000000" w:themeColor="text1"/>
          <w:spacing w:val="0"/>
          <w:kern w:val="0"/>
          <w:sz w:val="32"/>
          <w:szCs w:val="32"/>
          <w:shd w:val="clear" w:fill="FFFFFF"/>
          <w:lang w:val="en-US" w:eastAsia="zh-CN" w:bidi="ar"/>
        </w:rPr>
        <w:t>一是</w:t>
      </w:r>
      <w:r>
        <w:rPr>
          <w:rFonts w:hint="eastAsia" w:ascii="仿宋_GB2312" w:hAnsi="仿宋_GB2312" w:eastAsia="仿宋_GB2312" w:cs="仿宋_GB2312"/>
          <w:kern w:val="2"/>
          <w:sz w:val="32"/>
          <w:szCs w:val="32"/>
          <w:lang w:val="en-US" w:eastAsia="zh-CN" w:bidi="ar-SA"/>
        </w:rPr>
        <w:t>我局紧扣医保工作实际，压实意识形态工作责任制，通过专题学习、政策宣讲筑牢思想防线。紧盯医保舆情动态，及时回应群众关切，规范信息发布流程。强化阵地管理，将意识形态融入参保服务、基金监管等工作，为医保事业平稳发展保驾护航。</w:t>
      </w: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sz w:val="32"/>
          <w:szCs w:val="32"/>
          <w:lang w:val="en-US" w:eastAsia="zh-CN"/>
        </w:rPr>
        <w:t>切实担负起管党治党政治责任，强化一把手“第一责任人”，主管领导“一岗双责”责任，严明六个纪律，不断强化党组核心建设。经常性开展谈心谈话提醒，集中学习督导教育，通过抓早抓小，促进党员干部作风转变。</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我单位高度重视中央八项规定精神学习教育，将其作为加强作风建设的重要举措，组织全体干部职工深入学习习近平总书记关于加强党的作风建设的重要论述，通过专题学习、集中研讨、个人自学等方式，深刻领悟中央八项规定的精神实质和内涵要求。</w:t>
      </w:r>
    </w:p>
    <w:p w14:paraId="4DBBB754">
      <w:pPr>
        <w:keepNext w:val="0"/>
        <w:keepLines w:val="0"/>
        <w:pageBreakBefore w:val="0"/>
        <w:widowControl w:val="0"/>
        <w:wordWrap/>
        <w:topLinePunct w:val="0"/>
        <w:bidi w:val="0"/>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精准扩面参保，夯实全民医保基础</w:t>
      </w:r>
    </w:p>
    <w:p w14:paraId="63161C20">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通过“行唐发布”发布参保缴费公告，累计6次进学校、乡村开展现场宣传；发放政策明白纸10万份、宣传海报6000份，制作“政策宣传音频”通过卫生院、卫生室、村委会高频次播放，多渠道提升群众参保积极性。</w:t>
      </w:r>
    </w:p>
    <w:p w14:paraId="727A07B8">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firstLine="640" w:firstLineChars="200"/>
        <w:textAlignment w:val="auto"/>
        <w:outlineLvl w:val="9"/>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2025年度我县参保任务数372779人，我县全民参保共计364421人（城乡居民参保334834人，城镇职工参保29587人），参保率97.76%。</w:t>
      </w:r>
    </w:p>
    <w:p w14:paraId="440267B0">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firstLine="640" w:firstLineChars="200"/>
        <w:textAlignment w:val="auto"/>
        <w:outlineLvl w:val="9"/>
        <w:rPr>
          <w:rFonts w:hint="eastAsia" w:ascii="仿宋_GB2312" w:hAnsi="仿宋_GB2312" w:eastAsia="仿宋_GB2312" w:cs="仿宋_GB2312"/>
          <w:snapToGrid w:val="0"/>
          <w:spacing w:val="-20"/>
          <w:kern w:val="0"/>
          <w:sz w:val="32"/>
          <w:szCs w:val="32"/>
          <w:lang w:val="en-US" w:eastAsia="zh-CN"/>
        </w:rPr>
      </w:pPr>
      <w:r>
        <w:rPr>
          <w:rFonts w:hint="eastAsia" w:ascii="仿宋_GB2312" w:hAnsi="仿宋_GB2312" w:eastAsia="仿宋_GB2312" w:cs="仿宋_GB2312"/>
          <w:snapToGrid w:val="0"/>
          <w:kern w:val="0"/>
          <w:sz w:val="32"/>
          <w:szCs w:val="32"/>
          <w:lang w:val="en-US" w:eastAsia="zh-CN"/>
        </w:rPr>
        <w:t>2026年我县参保任务数为373570人，截至目前共计完成参保355085人（其中居民参保325498人，职工参保29587人），</w:t>
      </w:r>
      <w:r>
        <w:rPr>
          <w:rFonts w:hint="eastAsia" w:ascii="仿宋_GB2312" w:hAnsi="仿宋_GB2312" w:eastAsia="仿宋_GB2312" w:cs="仿宋_GB2312"/>
          <w:snapToGrid w:val="0"/>
          <w:spacing w:val="-20"/>
          <w:kern w:val="0"/>
          <w:sz w:val="32"/>
          <w:szCs w:val="32"/>
          <w:lang w:val="en-US" w:eastAsia="zh-CN"/>
        </w:rPr>
        <w:t>参保率达到95.05%。</w:t>
      </w:r>
    </w:p>
    <w:p w14:paraId="3A314897">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深化支付改革，规范医药服务行为</w:t>
      </w:r>
    </w:p>
    <w:p w14:paraId="7B1E8742">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firstLine="640" w:firstLineChars="200"/>
        <w:textAlignment w:val="auto"/>
        <w:outlineLvl w:val="9"/>
        <w:rPr>
          <w:rFonts w:hint="eastAsia" w:ascii="仿宋" w:hAnsi="仿宋" w:eastAsia="仿宋" w:cs="Times New Roman"/>
          <w:sz w:val="32"/>
          <w:szCs w:val="32"/>
          <w:lang w:val="en-US" w:eastAsia="zh-CN"/>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全面推进DIP支付方式改革，实现统筹区全覆盖，</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家定点医疗机构全部纳入付费范围。</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常态化推进药品和高值医用耗材集中带量采购，</w:t>
      </w:r>
      <w:r>
        <w:rPr>
          <w:rFonts w:hint="eastAsia" w:ascii="仿宋_GB2312" w:hAnsi="仿宋_GB2312" w:eastAsia="仿宋_GB2312" w:cs="仿宋_GB2312"/>
          <w:color w:val="000000"/>
          <w:sz w:val="32"/>
          <w:szCs w:val="32"/>
          <w:lang w:val="en-US" w:eastAsia="zh-CN"/>
        </w:rPr>
        <w:t>2</w:t>
      </w:r>
      <w:r>
        <w:rPr>
          <w:rFonts w:hint="eastAsia" w:ascii="仿宋" w:hAnsi="仿宋" w:eastAsia="仿宋" w:cs="仿宋"/>
          <w:sz w:val="32"/>
          <w:szCs w:val="32"/>
          <w:lang w:val="en-US" w:eastAsia="zh-CN"/>
        </w:rPr>
        <w:t>025年县域内医保定点医疗机构跟进国家、省及省际联盟组织药品集中带量采购28个批次；跟进国家、省及省际联盟医用耗材集中带量采购22个批次。</w:t>
      </w:r>
      <w:r>
        <w:rPr>
          <w:rFonts w:hint="eastAsia" w:ascii="仿宋_GB2312" w:hAnsi="仿宋_GB2312" w:eastAsia="仿宋_GB2312" w:cs="仿宋_GB2312"/>
          <w:color w:val="000000"/>
          <w:sz w:val="32"/>
          <w:szCs w:val="32"/>
          <w:lang w:val="en-US" w:eastAsia="zh-CN"/>
        </w:rPr>
        <w:t>三是</w:t>
      </w:r>
      <w:r>
        <w:rPr>
          <w:rFonts w:hint="eastAsia" w:ascii="仿宋_GB2312" w:hAnsi="仿宋_GB2312" w:eastAsia="仿宋_GB2312" w:cs="仿宋_GB2312"/>
          <w:sz w:val="32"/>
          <w:szCs w:val="32"/>
          <w:lang w:val="en-US" w:eastAsia="zh-CN"/>
        </w:rPr>
        <w:t>积极落实集中带量采购药品、医用耗材预付金测算拨付，</w:t>
      </w:r>
      <w:r>
        <w:rPr>
          <w:rFonts w:hint="eastAsia" w:ascii="仿宋" w:hAnsi="仿宋" w:eastAsia="仿宋" w:cs="仿宋"/>
          <w:sz w:val="32"/>
          <w:szCs w:val="32"/>
          <w:lang w:val="en-US" w:eastAsia="zh-CN"/>
        </w:rPr>
        <w:t>2025年对已签订三方协议的集采药品、医用耗材预付周转金共计1282.04万元。四是</w:t>
      </w:r>
      <w:r>
        <w:rPr>
          <w:rFonts w:hint="eastAsia" w:ascii="仿宋_GB2312" w:hAnsi="仿宋_GB2312" w:eastAsia="仿宋_GB2312" w:cs="仿宋_GB2312"/>
          <w:sz w:val="32"/>
          <w:szCs w:val="32"/>
          <w:lang w:val="en-US" w:eastAsia="zh-CN"/>
        </w:rPr>
        <w:t>积极落实药品、医用耗材集中带量采购医保资金结余留用测算拨付，</w:t>
      </w:r>
      <w:r>
        <w:rPr>
          <w:rFonts w:hint="eastAsia" w:ascii="仿宋" w:hAnsi="仿宋" w:eastAsia="仿宋" w:cs="Times New Roman"/>
          <w:sz w:val="32"/>
          <w:szCs w:val="32"/>
          <w:lang w:val="en-US" w:eastAsia="zh-CN"/>
        </w:rPr>
        <w:t>经测算考核合格获得结余留用金额1141.88万元。</w:t>
      </w:r>
    </w:p>
    <w:p w14:paraId="7DA2E8F6">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严守基金底线，筑牢安全运行屏障</w:t>
      </w:r>
    </w:p>
    <w:p w14:paraId="5166FB54">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lang w:val="en-US" w:eastAsia="zh-CN"/>
        </w:rPr>
        <w:t>一是通过日常检查、专项检查、飞行检查、重点检查、疑点数据核查、远程查床等方式，对辖区内定点医疗机构和定点零售药店进行监管检查，对违规违法行为进行严厉处理，追回违规资金80.9万元。二是严格行政执法。对检查发现的违法问题，及时立案调查，2025年开展行政执法2例，行政罚款共计0.9万元。三是全面规范医保协议管理，完成对24个定点医疗机构和64个定点药店的2024年度考核工作，扣除保证金2.49万元，维护了医保基金安全。</w:t>
      </w:r>
    </w:p>
    <w:p w14:paraId="29C2E8C7">
      <w:pPr>
        <w:keepNext w:val="0"/>
        <w:keepLines w:val="0"/>
        <w:pageBreakBefore w:val="0"/>
        <w:widowControl w:val="0"/>
        <w:numPr>
          <w:ilvl w:val="0"/>
          <w:numId w:val="0"/>
        </w:numPr>
        <w:pBdr>
          <w:bottom w:val="single" w:color="FFFFFF" w:sz="4" w:space="31"/>
        </w:pBdr>
        <w:tabs>
          <w:tab w:val="left" w:pos="1440"/>
        </w:tabs>
        <w:kinsoku w:val="0"/>
        <w:wordWrap/>
        <w:overflowPunct w:val="0"/>
        <w:topLinePunct w:val="0"/>
        <w:autoSpaceDE w:val="0"/>
        <w:autoSpaceDN w:val="0"/>
        <w:bidi w:val="0"/>
        <w:adjustRightInd w:val="0"/>
        <w:snapToGrid w:val="0"/>
        <w:spacing w:line="560" w:lineRule="exact"/>
        <w:ind w:right="0" w:rightChars="0"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优化服务供给，提升群众办事体验</w:t>
      </w:r>
    </w:p>
    <w:p w14:paraId="0F4DFBBB">
      <w:pPr>
        <w:spacing w:line="560" w:lineRule="exact"/>
        <w:ind w:firstLine="800" w:firstLineChars="250"/>
        <w:rPr>
          <w:rFonts w:hint="eastAsia" w:ascii="仿宋" w:hAnsi="仿宋" w:eastAsia="仿宋"/>
          <w:sz w:val="32"/>
          <w:szCs w:val="32"/>
        </w:rPr>
      </w:pP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根植于业务，以</w:t>
      </w:r>
      <w:r>
        <w:rPr>
          <w:rFonts w:hint="eastAsia" w:ascii="仿宋_GB2312" w:hAnsi="仿宋_GB2312" w:eastAsia="仿宋_GB2312" w:cs="仿宋_GB2312"/>
          <w:sz w:val="32"/>
          <w:szCs w:val="32"/>
          <w:lang w:val="en-US" w:eastAsia="zh-CN"/>
        </w:rPr>
        <w:t>良好服务促</w:t>
      </w:r>
      <w:r>
        <w:rPr>
          <w:rFonts w:hint="eastAsia" w:ascii="仿宋_GB2312" w:hAnsi="仿宋_GB2312" w:eastAsia="仿宋_GB2312" w:cs="仿宋_GB2312"/>
          <w:sz w:val="32"/>
          <w:szCs w:val="32"/>
        </w:rPr>
        <w:t>经办能力提升，</w:t>
      </w:r>
      <w:r>
        <w:rPr>
          <w:rFonts w:hint="eastAsia" w:ascii="仿宋_GB2312" w:hAnsi="仿宋_GB2312" w:eastAsia="仿宋_GB2312" w:cs="仿宋_GB2312"/>
          <w:sz w:val="32"/>
          <w:szCs w:val="32"/>
          <w:lang w:val="en-US" w:eastAsia="zh-CN"/>
        </w:rPr>
        <w:t>业务、</w:t>
      </w:r>
      <w:r>
        <w:rPr>
          <w:rFonts w:hint="eastAsia" w:ascii="仿宋_GB2312" w:hAnsi="仿宋_GB2312" w:eastAsia="仿宋_GB2312" w:cs="仿宋_GB2312"/>
          <w:sz w:val="32"/>
          <w:szCs w:val="32"/>
        </w:rPr>
        <w:t>服务两手抓，立足打造优质服务</w:t>
      </w:r>
      <w:r>
        <w:rPr>
          <w:rFonts w:hint="eastAsia" w:ascii="仿宋_GB2312" w:hAnsi="仿宋_GB2312" w:eastAsia="仿宋_GB2312" w:cs="仿宋_GB2312"/>
          <w:sz w:val="32"/>
          <w:szCs w:val="32"/>
          <w:lang w:val="en-US" w:eastAsia="zh-CN"/>
        </w:rPr>
        <w:t>队伍</w:t>
      </w:r>
      <w:r>
        <w:rPr>
          <w:rFonts w:hint="eastAsia" w:ascii="仿宋_GB2312" w:hAnsi="仿宋_GB2312" w:eastAsia="仿宋_GB2312" w:cs="仿宋_GB2312"/>
          <w:sz w:val="32"/>
          <w:szCs w:val="32"/>
        </w:rPr>
        <w:t>，让办事群众在窗口第一线体验优质服务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是加强业务培训，每周五安排人员轮流讲业务知识，提升工作人员业务能力。二是严格落实首问首办负责制、服务承诺制等制度。一窗受理窗口“一次性”告知各种医保业务的办理流程、办理时限及需提交的材料等，其他业务窗口“一站式”办理各项业务</w:t>
      </w:r>
      <w:r>
        <w:rPr>
          <w:rFonts w:hint="eastAsia" w:ascii="仿宋" w:hAnsi="仿宋" w:eastAsia="仿宋" w:cs="仿宋"/>
          <w:b w:val="0"/>
          <w:bCs w:val="0"/>
          <w:sz w:val="32"/>
          <w:szCs w:val="32"/>
          <w:lang w:val="en-US" w:eastAsia="zh-CN"/>
        </w:rPr>
        <w:t>。</w:t>
      </w:r>
      <w:r>
        <w:rPr>
          <w:rFonts w:hint="eastAsia" w:ascii="仿宋_GB2312" w:hAnsi="仿宋_GB2312" w:eastAsia="仿宋_GB2312" w:cs="仿宋_GB2312"/>
          <w:sz w:val="32"/>
          <w:szCs w:val="32"/>
          <w:lang w:val="en-US" w:eastAsia="zh-CN"/>
        </w:rPr>
        <w:t>三是为实现在定点医药机构范围内，参保人一次展码，医保和自费费用同时结算，让群众享受更加便捷高效的就医结算服务，根据省、市医保部门工作部署，目前我县24家定点医疗机构已全部完成正式上线支付。四是调整结算方式，减轻医疗机构资金垫付的压力。积极推进即时结算改革工作，医保基金审核拨付流程由原来的“月结算、年清算”调整为“系统自动对账审核、按比例日拨付、月小清算”。2025年4月份即时结算模块开通，6月份对即时结算范围进行扩面，截至2025年12月份，即时结算拨付5640万元，大大减轻了医药机构的基金压力。</w:t>
      </w:r>
    </w:p>
    <w:p w14:paraId="7181A815">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2D20580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根据部门职责定位和各项工作履职情况进行综合评价，给出总得分，满分100分，得出综合绩效评价等级。部门整体支出综合绩效评价分为4个等级：得分</w:t>
      </w:r>
      <w:r>
        <w:rPr>
          <w:rFonts w:ascii="仿宋" w:hAnsi="仿宋" w:eastAsia="仿宋" w:cs="Arial"/>
          <w:sz w:val="32"/>
          <w:szCs w:val="32"/>
        </w:rPr>
        <w:t>≥</w:t>
      </w:r>
      <w:r>
        <w:rPr>
          <w:rFonts w:hint="eastAsia" w:ascii="仿宋" w:hAnsi="仿宋" w:eastAsia="仿宋"/>
          <w:sz w:val="32"/>
          <w:szCs w:val="32"/>
        </w:rPr>
        <w:t>85分为优秀；75</w:t>
      </w:r>
      <w:r>
        <w:rPr>
          <w:rFonts w:ascii="仿宋" w:hAnsi="仿宋" w:eastAsia="仿宋" w:cs="Arial"/>
          <w:sz w:val="32"/>
          <w:szCs w:val="32"/>
        </w:rPr>
        <w:t>≤</w:t>
      </w:r>
      <w:r>
        <w:rPr>
          <w:rFonts w:hint="eastAsia" w:ascii="仿宋" w:hAnsi="仿宋" w:eastAsia="仿宋"/>
          <w:sz w:val="32"/>
          <w:szCs w:val="32"/>
        </w:rPr>
        <w:t>得分＜85分为良好；60</w:t>
      </w:r>
      <w:r>
        <w:rPr>
          <w:rFonts w:ascii="仿宋" w:hAnsi="仿宋" w:eastAsia="仿宋" w:cs="Arial"/>
          <w:sz w:val="32"/>
          <w:szCs w:val="32"/>
        </w:rPr>
        <w:t>≤</w:t>
      </w:r>
      <w:r>
        <w:rPr>
          <w:rFonts w:hint="eastAsia" w:ascii="仿宋" w:hAnsi="仿宋" w:eastAsia="仿宋"/>
          <w:sz w:val="32"/>
          <w:szCs w:val="32"/>
        </w:rPr>
        <w:t>得分＜75分为一般；得分＜60分为较差。</w:t>
      </w:r>
    </w:p>
    <w:p w14:paraId="11D1B52C">
      <w:pPr>
        <w:spacing w:line="560" w:lineRule="exact"/>
        <w:ind w:firstLine="640" w:firstLineChars="200"/>
        <w:rPr>
          <w:rFonts w:ascii="仿宋" w:hAnsi="仿宋" w:eastAsia="仿宋"/>
          <w:sz w:val="32"/>
          <w:szCs w:val="32"/>
        </w:rPr>
      </w:pPr>
      <w:r>
        <w:rPr>
          <w:rFonts w:hint="eastAsia" w:ascii="仿宋" w:hAnsi="仿宋" w:eastAsia="仿宋"/>
          <w:sz w:val="32"/>
          <w:szCs w:val="32"/>
        </w:rPr>
        <w:t>根据部门职责定位和各项工作履职情况进行综合评价，给出</w:t>
      </w:r>
      <w:r>
        <w:rPr>
          <w:rFonts w:hint="eastAsia" w:ascii="仿宋" w:hAnsi="仿宋" w:eastAsia="仿宋"/>
          <w:sz w:val="32"/>
          <w:szCs w:val="32"/>
          <w:highlight w:val="none"/>
        </w:rPr>
        <w:t>总得分</w:t>
      </w:r>
      <w:r>
        <w:rPr>
          <w:rFonts w:hint="eastAsia" w:ascii="仿宋" w:hAnsi="仿宋" w:eastAsia="仿宋"/>
          <w:sz w:val="32"/>
          <w:szCs w:val="32"/>
          <w:highlight w:val="none"/>
          <w:lang w:val="en-US" w:eastAsia="zh-CN"/>
        </w:rPr>
        <w:t>95分</w:t>
      </w:r>
      <w:r>
        <w:rPr>
          <w:rFonts w:hint="eastAsia" w:ascii="仿宋" w:hAnsi="仿宋" w:eastAsia="仿宋"/>
          <w:sz w:val="32"/>
          <w:szCs w:val="32"/>
        </w:rPr>
        <w:t>。部门整体支出综合绩效评价为</w:t>
      </w:r>
      <w:r>
        <w:rPr>
          <w:rFonts w:ascii="仿宋" w:hAnsi="仿宋" w:eastAsia="仿宋" w:cs="Arial"/>
          <w:sz w:val="32"/>
          <w:szCs w:val="32"/>
        </w:rPr>
        <w:t>≥</w:t>
      </w:r>
      <w:r>
        <w:rPr>
          <w:rFonts w:hint="eastAsia" w:ascii="仿宋" w:hAnsi="仿宋" w:eastAsia="仿宋"/>
          <w:sz w:val="32"/>
          <w:szCs w:val="32"/>
        </w:rPr>
        <w:t>85分</w:t>
      </w:r>
      <w:r>
        <w:rPr>
          <w:rFonts w:hint="eastAsia" w:ascii="仿宋" w:hAnsi="仿宋" w:eastAsia="仿宋"/>
          <w:sz w:val="32"/>
          <w:szCs w:val="32"/>
          <w:lang w:eastAsia="zh-CN"/>
        </w:rPr>
        <w:t>，自评</w:t>
      </w:r>
      <w:r>
        <w:rPr>
          <w:rFonts w:hint="eastAsia" w:ascii="仿宋" w:hAnsi="仿宋" w:eastAsia="仿宋"/>
          <w:sz w:val="32"/>
          <w:szCs w:val="32"/>
        </w:rPr>
        <w:t>为优秀。</w:t>
      </w:r>
    </w:p>
    <w:p w14:paraId="3E35991D">
      <w:pPr>
        <w:spacing w:line="560" w:lineRule="exact"/>
        <w:ind w:firstLine="640" w:firstLineChars="200"/>
        <w:rPr>
          <w:rFonts w:hint="eastAsia" w:ascii="仿宋" w:hAnsi="仿宋" w:eastAsia="仿宋"/>
          <w:sz w:val="32"/>
          <w:szCs w:val="32"/>
        </w:rPr>
      </w:pPr>
    </w:p>
    <w:p w14:paraId="7735F926">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4A755825">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195C9BF7">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1、预算编制工作有待细化。预算编制工作不够明确、细化，预算编制的合理性需要提高。预算执行力度还需加强。</w:t>
      </w:r>
    </w:p>
    <w:p w14:paraId="0F4C4ABA">
      <w:pPr>
        <w:snapToGrid w:val="0"/>
        <w:spacing w:line="560" w:lineRule="exact"/>
        <w:ind w:firstLine="640" w:firstLineChars="200"/>
        <w:rPr>
          <w:rFonts w:hint="eastAsia" w:ascii="楷体" w:hAnsi="楷体" w:eastAsia="仿宋"/>
          <w:bCs/>
          <w:sz w:val="32"/>
          <w:szCs w:val="32"/>
          <w:lang w:val="en-US" w:eastAsia="zh-CN"/>
        </w:rPr>
      </w:pPr>
      <w:r>
        <w:rPr>
          <w:rFonts w:hint="eastAsia" w:ascii="仿宋" w:hAnsi="仿宋" w:eastAsia="仿宋" w:cs="仿宋"/>
          <w:sz w:val="32"/>
          <w:szCs w:val="32"/>
        </w:rPr>
        <w:t>2、绩效目标的设定需要更加科学、规范，易于评价</w:t>
      </w:r>
      <w:r>
        <w:rPr>
          <w:rFonts w:hint="eastAsia" w:ascii="仿宋" w:hAnsi="仿宋" w:eastAsia="仿宋" w:cs="仿宋"/>
          <w:sz w:val="32"/>
          <w:szCs w:val="32"/>
          <w:lang w:val="en-US" w:eastAsia="zh-CN"/>
        </w:rPr>
        <w:t>.</w:t>
      </w:r>
    </w:p>
    <w:p w14:paraId="11BFD077">
      <w:pPr>
        <w:spacing w:line="560" w:lineRule="exact"/>
        <w:ind w:firstLine="640" w:firstLineChars="200"/>
        <w:rPr>
          <w:rFonts w:hint="eastAsia" w:ascii="楷体" w:hAnsi="楷体" w:eastAsia="楷体"/>
          <w:bCs/>
          <w:sz w:val="32"/>
          <w:szCs w:val="32"/>
        </w:rPr>
      </w:pPr>
    </w:p>
    <w:p w14:paraId="39760E51">
      <w:pPr>
        <w:numPr>
          <w:ilvl w:val="0"/>
          <w:numId w:val="3"/>
        </w:numPr>
        <w:spacing w:line="560" w:lineRule="exact"/>
        <w:ind w:left="0" w:leftChars="0" w:firstLine="640" w:firstLineChars="200"/>
        <w:rPr>
          <w:rFonts w:hint="eastAsia" w:ascii="楷体" w:hAnsi="楷体" w:eastAsia="楷体"/>
          <w:bCs/>
          <w:sz w:val="32"/>
          <w:szCs w:val="32"/>
        </w:rPr>
      </w:pPr>
      <w:r>
        <w:rPr>
          <w:rFonts w:hint="eastAsia" w:ascii="楷体" w:hAnsi="楷体" w:eastAsia="楷体"/>
          <w:bCs/>
          <w:sz w:val="32"/>
          <w:szCs w:val="32"/>
        </w:rPr>
        <w:t>针对问题提出具体的改进措施或建议</w:t>
      </w:r>
    </w:p>
    <w:p w14:paraId="4C0B5032">
      <w:pPr>
        <w:numPr>
          <w:ilvl w:val="0"/>
          <w:numId w:val="4"/>
        </w:numPr>
        <w:snapToGrid w:val="0"/>
        <w:spacing w:line="560" w:lineRule="exact"/>
        <w:ind w:left="200" w:firstLine="418" w:firstLineChars="0"/>
        <w:rPr>
          <w:rFonts w:hint="eastAsia" w:ascii="仿宋" w:hAnsi="仿宋" w:eastAsia="仿宋" w:cs="仿宋"/>
          <w:sz w:val="32"/>
          <w:szCs w:val="32"/>
        </w:rPr>
      </w:pPr>
      <w:r>
        <w:rPr>
          <w:rFonts w:hint="eastAsia" w:ascii="仿宋" w:hAnsi="仿宋" w:eastAsia="仿宋" w:cs="仿宋"/>
          <w:sz w:val="32"/>
          <w:szCs w:val="32"/>
        </w:rPr>
        <w:t>细化预算编制工作，认真做好预算编制工作，进一步强</w:t>
      </w:r>
    </w:p>
    <w:p w14:paraId="17C3F90E">
      <w:pPr>
        <w:numPr>
          <w:ilvl w:val="0"/>
          <w:numId w:val="0"/>
        </w:numPr>
        <w:snapToGrid w:val="0"/>
        <w:spacing w:line="560" w:lineRule="exact"/>
        <w:rPr>
          <w:rFonts w:ascii="仿宋" w:hAnsi="仿宋" w:eastAsia="仿宋" w:cs="仿宋"/>
          <w:sz w:val="32"/>
          <w:szCs w:val="32"/>
        </w:rPr>
      </w:pPr>
      <w:r>
        <w:rPr>
          <w:rFonts w:hint="eastAsia" w:ascii="仿宋" w:hAnsi="仿宋" w:eastAsia="仿宋" w:cs="仿宋"/>
          <w:sz w:val="32"/>
          <w:szCs w:val="32"/>
        </w:rPr>
        <w:t>单位内部各科室的预算管理意识，严格按照预算编制的相关制度和要求进行预算编制，全面编制预算项目，进一步提高预算项目的科学性、合理性、严谨性和可控性。</w:t>
      </w:r>
    </w:p>
    <w:p w14:paraId="0F6E93C6">
      <w:pPr>
        <w:snapToGrid w:val="0"/>
        <w:spacing w:line="560" w:lineRule="exact"/>
        <w:ind w:firstLine="618" w:firstLineChars="0"/>
        <w:rPr>
          <w:rFonts w:ascii="仿宋" w:hAnsi="仿宋" w:eastAsia="仿宋" w:cs="仿宋"/>
          <w:sz w:val="32"/>
          <w:szCs w:val="32"/>
        </w:rPr>
      </w:pPr>
      <w:r>
        <w:rPr>
          <w:rFonts w:hint="eastAsia" w:ascii="仿宋" w:hAnsi="仿宋" w:eastAsia="仿宋" w:cs="仿宋"/>
          <w:sz w:val="32"/>
          <w:szCs w:val="32"/>
        </w:rPr>
        <w:t>2、项目的绩效目标要根据项目的实际情况设定，要科学规范易于评价。</w:t>
      </w:r>
    </w:p>
    <w:p w14:paraId="06BB4C6A">
      <w:pPr>
        <w:snapToGrid w:val="0"/>
        <w:spacing w:line="560" w:lineRule="exact"/>
        <w:ind w:firstLine="618" w:firstLineChars="0"/>
        <w:rPr>
          <w:rFonts w:hint="eastAsia" w:ascii="楷体" w:hAnsi="楷体" w:eastAsia="楷体"/>
          <w:bCs/>
          <w:sz w:val="32"/>
          <w:szCs w:val="32"/>
        </w:rPr>
      </w:pPr>
      <w:r>
        <w:rPr>
          <w:rFonts w:hint="eastAsia" w:ascii="仿宋" w:hAnsi="仿宋" w:eastAsia="仿宋" w:cs="仿宋"/>
          <w:sz w:val="32"/>
          <w:szCs w:val="32"/>
        </w:rPr>
        <w:t>3、加强财务管理，建立健全各项制度，优化工作流程，规范单位财务行为。</w:t>
      </w:r>
    </w:p>
    <w:p w14:paraId="4A96A3EE">
      <w:pPr>
        <w:adjustRightInd w:val="0"/>
        <w:snapToGrid w:val="0"/>
        <w:spacing w:line="560" w:lineRule="exact"/>
        <w:ind w:firstLine="640" w:firstLineChars="200"/>
        <w:rPr>
          <w:rFonts w:ascii="黑体" w:hAnsi="黑体" w:eastAsia="黑体"/>
          <w:sz w:val="32"/>
          <w:szCs w:val="32"/>
        </w:rPr>
      </w:pPr>
    </w:p>
    <w:p w14:paraId="486108F1">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4377C">
    <w:pPr>
      <w:pStyle w:val="8"/>
    </w:pPr>
    <w:r>
      <w:pict>
        <v:shape id="Quad Arrow 3073 3" o:spid="_x0000_s1025" o:spt="202" type="#_x0000_t202" style="position:absolute;left:0pt;margin-top:0pt;height:12.8pt;width:16.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F62D95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- 2 -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19012"/>
    <w:multiLevelType w:val="singleLevel"/>
    <w:tmpl w:val="BCD19012"/>
    <w:lvl w:ilvl="0" w:tentative="0">
      <w:start w:val="1"/>
      <w:numFmt w:val="decimal"/>
      <w:suff w:val="nothing"/>
      <w:lvlText w:val="%1、"/>
      <w:lvlJc w:val="left"/>
    </w:lvl>
  </w:abstractNum>
  <w:abstractNum w:abstractNumId="1">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2">
    <w:nsid w:val="5E68489B"/>
    <w:multiLevelType w:val="singleLevel"/>
    <w:tmpl w:val="5E68489B"/>
    <w:lvl w:ilvl="0" w:tentative="0">
      <w:start w:val="1"/>
      <w:numFmt w:val="chineseCounting"/>
      <w:suff w:val="nothing"/>
      <w:lvlText w:val="（%1）"/>
      <w:lvlJc w:val="left"/>
      <w:pPr>
        <w:ind w:left="0" w:firstLine="0"/>
      </w:pPr>
      <w:rPr>
        <w:rFonts w:ascii="楷体" w:hAnsi="楷体" w:eastAsia="楷体"/>
      </w:rPr>
    </w:lvl>
  </w:abstractNum>
  <w:abstractNum w:abstractNumId="3">
    <w:nsid w:val="6CC1A1CE"/>
    <w:multiLevelType w:val="singleLevel"/>
    <w:tmpl w:val="6CC1A1CE"/>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NotTrackMoves/>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0807352"/>
    <w:rsid w:val="0017519B"/>
    <w:rsid w:val="00807352"/>
    <w:rsid w:val="00951EA5"/>
    <w:rsid w:val="04AC7907"/>
    <w:rsid w:val="0903582B"/>
    <w:rsid w:val="102E7C72"/>
    <w:rsid w:val="2FE97969"/>
    <w:rsid w:val="456D2540"/>
    <w:rsid w:val="478C36E7"/>
    <w:rsid w:val="4E1D7B05"/>
    <w:rsid w:val="505E4908"/>
    <w:rsid w:val="56FE31F1"/>
    <w:rsid w:val="574B0E81"/>
    <w:rsid w:val="59625885"/>
    <w:rsid w:val="5C511734"/>
    <w:rsid w:val="654C3BA8"/>
    <w:rsid w:val="6BE74D31"/>
    <w:rsid w:val="758F189A"/>
    <w:rsid w:val="76B949B4"/>
    <w:rsid w:val="774950BE"/>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6"/>
    <w:semiHidden/>
    <w:unhideWhenUsed/>
    <w:qFormat/>
    <w:uiPriority w:val="0"/>
    <w:pPr>
      <w:spacing w:after="120" w:afterLines="0" w:afterAutospacing="0"/>
    </w:pPr>
  </w:style>
  <w:style w:type="paragraph" w:customStyle="1" w:styleId="6">
    <w:name w:val="正文部分 Char Char Char"/>
    <w:next w:val="7"/>
    <w:autoRedefine/>
    <w:qFormat/>
    <w:uiPriority w:val="0"/>
    <w:pPr>
      <w:widowControl w:val="0"/>
      <w:adjustRightInd w:val="0"/>
      <w:snapToGrid w:val="0"/>
      <w:spacing w:after="120" w:afterLines="0" w:line="460" w:lineRule="exact"/>
      <w:jc w:val="both"/>
      <w:textAlignment w:val="baseline"/>
    </w:pPr>
    <w:rPr>
      <w:rFonts w:ascii="Times New Roman" w:hAnsi="Calibri" w:eastAsia="宋体" w:cs="Times New Roman"/>
      <w:kern w:val="2"/>
      <w:sz w:val="24"/>
      <w:szCs w:val="24"/>
      <w:lang w:val="en-US" w:eastAsia="zh-CN" w:bidi="ar-SA"/>
    </w:rPr>
  </w:style>
  <w:style w:type="paragraph" w:customStyle="1" w:styleId="7">
    <w:name w:val="章标题"/>
    <w:autoRedefine/>
    <w:qFormat/>
    <w:uiPriority w:val="0"/>
    <w:pPr>
      <w:widowControl w:val="0"/>
      <w:spacing w:before="240" w:beforeLines="0" w:after="60" w:afterLines="0" w:line="360" w:lineRule="auto"/>
      <w:jc w:val="center"/>
      <w:outlineLvl w:val="0"/>
    </w:pPr>
    <w:rPr>
      <w:rFonts w:ascii="Cambria" w:hAnsi="Cambria" w:eastAsia="宋体" w:cs="Times New Roman"/>
      <w:b/>
      <w:bCs/>
      <w:kern w:val="0"/>
      <w:sz w:val="21"/>
      <w:szCs w:val="32"/>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776919-D52B-4559-946E-791941F23AF8}">
  <ds:schemaRefs/>
</ds:datastoreItem>
</file>

<file path=docProps/app.xml><?xml version="1.0" encoding="utf-8"?>
<Properties xmlns="http://schemas.openxmlformats.org/officeDocument/2006/extended-properties" xmlns:vt="http://schemas.openxmlformats.org/officeDocument/2006/docPropsVTypes">
  <Template>Normal</Template>
  <Pages>9</Pages>
  <Words>4477</Words>
  <Characters>4684</Characters>
  <Lines>4</Lines>
  <Paragraphs>1</Paragraphs>
  <TotalTime>3</TotalTime>
  <ScaleCrop>false</ScaleCrop>
  <LinksUpToDate>false</LinksUpToDate>
  <CharactersWithSpaces>4717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阳威</cp:lastModifiedBy>
  <cp:lastPrinted>2026-07-30T07:50:00Z</cp:lastPrinted>
  <dcterms:modified xsi:type="dcterms:W3CDTF">2026-08-04T03:03:13Z</dcterms:modified>
  <dc:title>附件3：</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96934721B1514D3FBAA28020338CE855_12</vt:lpwstr>
  </property>
  <property fmtid="{D5CDD505-2E9C-101B-9397-08002B2CF9AE}" pid="4" name="KSOTemplateDocerSaveRecord">
    <vt:lpwstr>eyJoZGlkIjoiMDk5MmY1YWU0M2YyM2ZlYzJiZGM4N2IwNmJjOTVkYzIiLCJ1c2VySWQiOiI2NzI4MDUxMjEifQ==</vt:lpwstr>
  </property>
</Properties>
</file>