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30C9D">
      <w:pPr>
        <w:adjustRightInd w:val="0"/>
        <w:snapToGrid w:val="0"/>
        <w:spacing w:line="56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958B493">
      <w:pPr>
        <w:spacing w:line="560" w:lineRule="exact"/>
        <w:jc w:val="center"/>
        <w:rPr>
          <w:rFonts w:ascii="宋体" w:hAnsi="宋体" w:cs="宋体"/>
          <w:b/>
          <w:bCs/>
          <w:sz w:val="44"/>
          <w:szCs w:val="44"/>
        </w:rPr>
      </w:pPr>
    </w:p>
    <w:p w14:paraId="45CE6243">
      <w:pPr>
        <w:spacing w:line="560" w:lineRule="exact"/>
        <w:jc w:val="center"/>
        <w:rPr>
          <w:rFonts w:hint="eastAsia" w:ascii="宋体" w:hAnsi="宋体" w:cs="宋体"/>
          <w:b/>
          <w:bCs/>
          <w:sz w:val="44"/>
          <w:szCs w:val="44"/>
          <w:lang w:eastAsia="zh-CN"/>
        </w:rPr>
      </w:pPr>
      <w:r>
        <w:rPr>
          <w:rFonts w:hint="eastAsia" w:ascii="宋体" w:hAnsi="宋体" w:cs="宋体"/>
          <w:b/>
          <w:bCs/>
          <w:sz w:val="44"/>
          <w:szCs w:val="44"/>
          <w:lang w:eastAsia="zh-CN"/>
        </w:rPr>
        <w:t>行唐县信访局</w:t>
      </w:r>
    </w:p>
    <w:p w14:paraId="60ED38D8">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0F7AE069">
      <w:pPr>
        <w:spacing w:line="560" w:lineRule="exact"/>
        <w:jc w:val="center"/>
        <w:rPr>
          <w:rFonts w:ascii="华文楷体" w:eastAsia="华文楷体"/>
          <w:sz w:val="32"/>
          <w:szCs w:val="32"/>
        </w:rPr>
      </w:pPr>
    </w:p>
    <w:p w14:paraId="08152140">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ascii="仿宋" w:hAnsi="仿宋" w:eastAsia="仿宋"/>
          <w:sz w:val="32"/>
          <w:szCs w:val="32"/>
        </w:rPr>
        <w:t>县</w:t>
      </w:r>
      <w:r>
        <w:rPr>
          <w:rFonts w:hint="eastAsia" w:ascii="仿宋" w:hAnsi="仿宋" w:eastAsia="仿宋"/>
          <w:sz w:val="32"/>
          <w:szCs w:val="32"/>
        </w:rPr>
        <w:t>委</w:t>
      </w:r>
      <w:r>
        <w:rPr>
          <w:rFonts w:ascii="仿宋" w:hAnsi="仿宋" w:eastAsia="仿宋"/>
          <w:sz w:val="32"/>
          <w:szCs w:val="32"/>
        </w:rPr>
        <w:t>县</w:t>
      </w:r>
      <w:r>
        <w:rPr>
          <w:rFonts w:hint="eastAsia" w:ascii="仿宋" w:hAnsi="仿宋" w:eastAsia="仿宋"/>
          <w:sz w:val="32"/>
          <w:szCs w:val="32"/>
        </w:rPr>
        <w:t>政府《关于全面落实预算绩效管理的实施意见》（</w:t>
      </w:r>
      <w:r>
        <w:rPr>
          <w:rFonts w:ascii="仿宋" w:hAnsi="仿宋" w:eastAsia="仿宋"/>
          <w:sz w:val="32"/>
          <w:szCs w:val="32"/>
        </w:rPr>
        <w:t>行</w:t>
      </w:r>
      <w:r>
        <w:rPr>
          <w:rFonts w:hint="eastAsia" w:ascii="仿宋" w:hAnsi="仿宋" w:eastAsia="仿宋"/>
          <w:sz w:val="32"/>
          <w:szCs w:val="32"/>
        </w:rPr>
        <w:t>发﹝2019﹞8号）文件精神，遵循“科学性、规范性、客观性和公正性”的原则，对</w:t>
      </w:r>
      <w:r>
        <w:rPr>
          <w:rFonts w:hint="eastAsia" w:ascii="仿宋" w:hAnsi="仿宋" w:eastAsia="仿宋"/>
          <w:sz w:val="32"/>
          <w:szCs w:val="32"/>
          <w:lang w:eastAsia="zh-CN"/>
        </w:rPr>
        <w:t>行唐县信访局</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2AF588C4">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186B6A8C">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373605D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主要职能：受理、交办、转送信访人提出的信访事项； 承办上级和</w:t>
      </w:r>
      <w:r>
        <w:rPr>
          <w:rFonts w:hint="eastAsia" w:ascii="仿宋" w:hAnsi="仿宋" w:eastAsia="仿宋"/>
          <w:sz w:val="32"/>
          <w:szCs w:val="32"/>
          <w:lang w:eastAsia="zh-CN"/>
        </w:rPr>
        <w:t>县委、县政府</w:t>
      </w:r>
      <w:r>
        <w:rPr>
          <w:rFonts w:hint="eastAsia" w:ascii="仿宋" w:hAnsi="仿宋" w:eastAsia="仿宋"/>
          <w:sz w:val="32"/>
          <w:szCs w:val="32"/>
        </w:rPr>
        <w:t>交由处理的信访事项；协调</w:t>
      </w:r>
      <w:r>
        <w:rPr>
          <w:rFonts w:hint="eastAsia" w:ascii="仿宋" w:hAnsi="仿宋" w:eastAsia="仿宋"/>
          <w:sz w:val="32"/>
          <w:szCs w:val="32"/>
          <w:lang w:eastAsia="zh-CN"/>
        </w:rPr>
        <w:t>县委、县政府</w:t>
      </w:r>
      <w:r>
        <w:rPr>
          <w:rFonts w:hint="eastAsia" w:ascii="仿宋" w:hAnsi="仿宋" w:eastAsia="仿宋"/>
          <w:sz w:val="32"/>
          <w:szCs w:val="32"/>
        </w:rPr>
        <w:t>及各乡镇、各</w:t>
      </w:r>
      <w:r>
        <w:rPr>
          <w:rFonts w:hint="eastAsia" w:ascii="仿宋" w:hAnsi="仿宋" w:eastAsia="仿宋"/>
          <w:sz w:val="32"/>
          <w:szCs w:val="32"/>
          <w:lang w:eastAsia="zh-CN"/>
        </w:rPr>
        <w:t>单位</w:t>
      </w:r>
      <w:r>
        <w:rPr>
          <w:rFonts w:hint="eastAsia" w:ascii="仿宋" w:hAnsi="仿宋" w:eastAsia="仿宋"/>
          <w:sz w:val="32"/>
          <w:szCs w:val="32"/>
        </w:rPr>
        <w:t>处理重要信访事项； 督促检查信访事项的处理，落实信访工作措施和信访目标管理责任制； 研究、分析信访情况，及时向县人民政府提出完善政策和改进工作的建议；对各乡镇、各</w:t>
      </w:r>
      <w:r>
        <w:rPr>
          <w:rFonts w:hint="eastAsia" w:ascii="仿宋" w:hAnsi="仿宋" w:eastAsia="仿宋"/>
          <w:sz w:val="32"/>
          <w:szCs w:val="32"/>
          <w:lang w:eastAsia="zh-CN"/>
        </w:rPr>
        <w:t>单位</w:t>
      </w:r>
      <w:r>
        <w:rPr>
          <w:rFonts w:hint="eastAsia" w:ascii="仿宋" w:hAnsi="仿宋" w:eastAsia="仿宋"/>
          <w:sz w:val="32"/>
          <w:szCs w:val="32"/>
        </w:rPr>
        <w:t>的信访工作进行指导。总结推广典型经验，表彰先进，推动后进；完成</w:t>
      </w:r>
      <w:r>
        <w:rPr>
          <w:rFonts w:hint="eastAsia" w:ascii="仿宋" w:hAnsi="仿宋" w:eastAsia="仿宋"/>
          <w:sz w:val="32"/>
          <w:szCs w:val="32"/>
          <w:lang w:eastAsia="zh-CN"/>
        </w:rPr>
        <w:t>县委、县政府</w:t>
      </w:r>
      <w:r>
        <w:rPr>
          <w:rFonts w:hint="eastAsia" w:ascii="仿宋" w:hAnsi="仿宋" w:eastAsia="仿宋"/>
          <w:sz w:val="32"/>
          <w:szCs w:val="32"/>
        </w:rPr>
        <w:t>和上级部门、业务主管部门交办的其他工作。</w:t>
      </w:r>
    </w:p>
    <w:p w14:paraId="3507BC7D">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2.组织机构及人员情况：行唐县</w:t>
      </w:r>
      <w:r>
        <w:rPr>
          <w:rFonts w:hint="eastAsia" w:ascii="仿宋" w:hAnsi="仿宋" w:eastAsia="仿宋"/>
          <w:sz w:val="32"/>
          <w:szCs w:val="32"/>
        </w:rPr>
        <w:t>信访局</w:t>
      </w:r>
      <w:r>
        <w:rPr>
          <w:rFonts w:hint="eastAsia" w:ascii="仿宋" w:hAnsi="仿宋" w:eastAsia="仿宋"/>
          <w:sz w:val="32"/>
          <w:szCs w:val="32"/>
          <w:lang w:eastAsia="zh-CN"/>
        </w:rPr>
        <w:t>为</w:t>
      </w:r>
      <w:r>
        <w:rPr>
          <w:rFonts w:hint="eastAsia" w:ascii="仿宋" w:hAnsi="仿宋" w:eastAsia="仿宋"/>
          <w:sz w:val="32"/>
          <w:szCs w:val="32"/>
        </w:rPr>
        <w:t>独立核算</w:t>
      </w:r>
      <w:r>
        <w:rPr>
          <w:rFonts w:hint="eastAsia" w:ascii="仿宋" w:hAnsi="仿宋" w:eastAsia="仿宋"/>
          <w:sz w:val="32"/>
          <w:szCs w:val="32"/>
          <w:lang w:eastAsia="zh-CN"/>
        </w:rPr>
        <w:t>行政单位，属一级预算单位</w:t>
      </w:r>
      <w:r>
        <w:rPr>
          <w:rFonts w:hint="eastAsia" w:ascii="仿宋" w:hAnsi="仿宋" w:eastAsia="仿宋"/>
          <w:sz w:val="32"/>
          <w:szCs w:val="32"/>
        </w:rPr>
        <w:t>。</w:t>
      </w:r>
      <w:r>
        <w:rPr>
          <w:rFonts w:hint="eastAsia" w:ascii="仿宋" w:hAnsi="仿宋" w:eastAsia="仿宋"/>
          <w:sz w:val="32"/>
          <w:szCs w:val="32"/>
          <w:lang w:eastAsia="zh-CN"/>
        </w:rPr>
        <w:t>我局</w:t>
      </w:r>
      <w:r>
        <w:rPr>
          <w:rFonts w:hint="eastAsia" w:ascii="仿宋" w:hAnsi="仿宋" w:eastAsia="仿宋"/>
          <w:sz w:val="32"/>
          <w:szCs w:val="32"/>
        </w:rPr>
        <w:t>行政编制</w:t>
      </w:r>
      <w:r>
        <w:rPr>
          <w:rFonts w:hint="eastAsia" w:ascii="仿宋" w:hAnsi="仿宋" w:eastAsia="仿宋"/>
          <w:sz w:val="32"/>
          <w:szCs w:val="32"/>
          <w:lang w:val="en-US" w:eastAsia="zh-CN"/>
        </w:rPr>
        <w:t>9</w:t>
      </w:r>
      <w:r>
        <w:rPr>
          <w:rFonts w:hint="eastAsia" w:ascii="仿宋" w:hAnsi="仿宋" w:eastAsia="仿宋"/>
          <w:sz w:val="32"/>
          <w:szCs w:val="32"/>
        </w:rPr>
        <w:t>人</w:t>
      </w:r>
      <w:r>
        <w:rPr>
          <w:rFonts w:hint="eastAsia" w:ascii="仿宋" w:hAnsi="仿宋" w:eastAsia="仿宋"/>
          <w:sz w:val="32"/>
          <w:szCs w:val="32"/>
          <w:lang w:eastAsia="zh-CN"/>
        </w:rPr>
        <w:t>、财政拨款开支事业编制</w:t>
      </w:r>
      <w:r>
        <w:rPr>
          <w:rFonts w:hint="eastAsia" w:ascii="仿宋" w:hAnsi="仿宋" w:eastAsia="仿宋"/>
          <w:sz w:val="32"/>
          <w:szCs w:val="32"/>
          <w:lang w:val="en-US" w:eastAsia="zh-CN"/>
        </w:rPr>
        <w:t>5人，年终</w:t>
      </w:r>
      <w:r>
        <w:rPr>
          <w:rFonts w:hint="eastAsia" w:ascii="仿宋" w:hAnsi="仿宋" w:eastAsia="仿宋"/>
          <w:sz w:val="32"/>
          <w:szCs w:val="32"/>
        </w:rPr>
        <w:t>在职行政编制人员</w:t>
      </w:r>
      <w:r>
        <w:rPr>
          <w:rFonts w:hint="eastAsia" w:ascii="仿宋" w:hAnsi="仿宋" w:eastAsia="仿宋"/>
          <w:sz w:val="32"/>
          <w:szCs w:val="32"/>
          <w:lang w:val="en-US" w:eastAsia="zh-CN"/>
        </w:rPr>
        <w:t>10</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 w:hAnsi="仿宋" w:eastAsia="仿宋"/>
          <w:sz w:val="32"/>
          <w:szCs w:val="32"/>
        </w:rPr>
        <w:t>在职事业编制人员</w:t>
      </w:r>
      <w:r>
        <w:rPr>
          <w:rFonts w:hint="eastAsia" w:ascii="仿宋" w:hAnsi="仿宋" w:eastAsia="仿宋"/>
          <w:sz w:val="32"/>
          <w:szCs w:val="32"/>
          <w:lang w:val="en-US" w:eastAsia="zh-CN"/>
        </w:rPr>
        <w:t>4</w:t>
      </w:r>
      <w:r>
        <w:rPr>
          <w:rFonts w:hint="eastAsia" w:ascii="仿宋" w:hAnsi="仿宋" w:eastAsia="仿宋"/>
          <w:sz w:val="32"/>
          <w:szCs w:val="32"/>
        </w:rPr>
        <w:t>人，遗属</w:t>
      </w:r>
      <w:r>
        <w:rPr>
          <w:rFonts w:hint="eastAsia" w:ascii="仿宋" w:hAnsi="仿宋" w:eastAsia="仿宋"/>
          <w:sz w:val="32"/>
          <w:szCs w:val="32"/>
          <w:lang w:val="en-US" w:eastAsia="zh-CN"/>
        </w:rPr>
        <w:t>2</w:t>
      </w:r>
      <w:r>
        <w:rPr>
          <w:rFonts w:hint="eastAsia" w:ascii="仿宋" w:hAnsi="仿宋" w:eastAsia="仿宋"/>
          <w:sz w:val="32"/>
          <w:szCs w:val="32"/>
        </w:rPr>
        <w:t>人。</w:t>
      </w:r>
    </w:p>
    <w:p w14:paraId="6A0E1783">
      <w:pPr>
        <w:adjustRightInd w:val="0"/>
        <w:snapToGrid w:val="0"/>
        <w:spacing w:line="560" w:lineRule="exact"/>
        <w:ind w:firstLine="640" w:firstLineChars="200"/>
        <w:rPr>
          <w:rFonts w:hint="eastAsia" w:ascii="楷体" w:hAnsi="楷体" w:eastAsia="楷体" w:cs="楷体_GB2312"/>
          <w:bCs/>
          <w:sz w:val="32"/>
          <w:szCs w:val="32"/>
        </w:rPr>
      </w:pPr>
      <w:r>
        <w:rPr>
          <w:rFonts w:hint="eastAsia" w:ascii="仿宋" w:hAnsi="仿宋" w:eastAsia="仿宋"/>
          <w:sz w:val="32"/>
          <w:szCs w:val="32"/>
          <w:lang w:val="en-US" w:eastAsia="zh-CN"/>
        </w:rPr>
        <w:t>4.资产情况：截至2025年12月31日，</w:t>
      </w:r>
      <w:r>
        <w:rPr>
          <w:rFonts w:hint="eastAsia" w:ascii="仿宋" w:hAnsi="仿宋" w:eastAsia="仿宋"/>
          <w:sz w:val="32"/>
          <w:szCs w:val="32"/>
        </w:rPr>
        <w:t>我单位</w:t>
      </w:r>
      <w:r>
        <w:rPr>
          <w:rFonts w:hint="eastAsia" w:ascii="仿宋" w:hAnsi="仿宋" w:eastAsia="仿宋"/>
          <w:sz w:val="32"/>
          <w:szCs w:val="32"/>
          <w:lang w:val="en-US" w:eastAsia="zh-CN"/>
        </w:rPr>
        <w:t>2025年固定资产账面余额47.96万元。</w:t>
      </w:r>
      <w:r>
        <w:rPr>
          <w:rFonts w:hint="eastAsia" w:ascii="楷体" w:hAnsi="楷体" w:eastAsia="楷体" w:cs="楷体_GB2312"/>
          <w:bCs/>
          <w:sz w:val="32"/>
          <w:szCs w:val="32"/>
        </w:rPr>
        <w:t>（二）部门收支预决算情况</w:t>
      </w:r>
    </w:p>
    <w:p w14:paraId="614F2665">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行唐县信访局2025年财政拨款收入447.50万元，一般预算财政拨款收入447.50万元。本年共支出447.50万元，其中：基本支出187.12元，项目支出260.37万元。我部门在财政支出预算执行中，严格按相关财经法规，强化资金使用约束力，加强专项资金跟管理，确保了专款专用。坚持按照预算进度及各项资金用途安排拨付资金，严格控制一般性支出，切实做到“保人员工资发放、保机构正常运转、保重难点项目建设”，使有限资金发挥最佳使用效益，确保了全部门经济的平稳运行。</w:t>
      </w:r>
    </w:p>
    <w:p w14:paraId="731E9B81">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22369435">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default" w:ascii="仿宋" w:hAnsi="仿宋" w:eastAsia="仿宋" w:cs="黑体"/>
          <w:kern w:val="2"/>
          <w:sz w:val="32"/>
          <w:szCs w:val="32"/>
          <w:lang w:val="en-US" w:eastAsia="zh-CN" w:bidi="ar-SA"/>
        </w:rPr>
        <w:t>1、</w:t>
      </w:r>
      <w:r>
        <w:rPr>
          <w:rFonts w:hint="eastAsia" w:ascii="仿宋" w:hAnsi="仿宋" w:eastAsia="仿宋"/>
          <w:sz w:val="32"/>
          <w:szCs w:val="32"/>
          <w:lang w:val="en-US" w:eastAsia="zh-CN"/>
        </w:rPr>
        <w:t>2025年，我单位积极履职，强化管理，较好地完成了部门年度工作目标。根据部门整体支出绩效评价指标体系，我单位2025年度评价得分为99分，评价结果为“优”。部门整体支出绩效情况如下：</w:t>
      </w:r>
    </w:p>
    <w:p w14:paraId="3BC89517">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1、投入30分</w:t>
      </w:r>
    </w:p>
    <w:p w14:paraId="7CB3CB0C">
      <w:pPr>
        <w:numPr>
          <w:ilvl w:val="0"/>
          <w:numId w:val="0"/>
        </w:numPr>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（1）绩效目标指标管理得15分。其中：绩效目标科学性得9分，绩效指标科学性得6分，预算编制完整性得3分，项目预算功能分类等编制合规性得9分，预算上报及时性得3分。</w:t>
      </w:r>
    </w:p>
    <w:p w14:paraId="0AB7DAFA">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2、过程（执行）40分</w:t>
      </w:r>
    </w:p>
    <w:p w14:paraId="68502442">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预算执行得25分。其中：收入预算完成率得2分，预算调整率得2分，支出进度得4分，资金结余结转率得2分，“三公经费”控制率得2分，政府采购执行率得2分，决策真实性得2分，资金使用合规性得4分，财务管理规范性得5分。</w:t>
      </w:r>
    </w:p>
    <w:p w14:paraId="49160B59">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（2）预算管理得7分。其中：管理制度健全性得 2分，预决算信息公开性得2分，基础信息完善性得1分；资产管理规范性得2 分。</w:t>
      </w:r>
    </w:p>
    <w:p w14:paraId="5856EC8B">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（3）绩效评价得8分。其中：绩效自评覆盖率得 4分，评价结果应用率得4分。</w:t>
      </w:r>
    </w:p>
    <w:p w14:paraId="5F9391BD">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3、产出14分。</w:t>
      </w:r>
    </w:p>
    <w:p w14:paraId="7B74C8AB">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（1）实际完成率得6分。预算批复的部门年度发展规划目标和部门职责分类绩效目标进行细化和量化得6分。</w:t>
      </w:r>
    </w:p>
    <w:p w14:paraId="53018DFB">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（2）完成及时率得8分。预算批复的部门年度发展规划目标和部门职责分类绩效目标进行细化和量化得8分。</w:t>
      </w:r>
    </w:p>
    <w:p w14:paraId="148F43FE">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4、效果15分。</w:t>
      </w:r>
    </w:p>
    <w:p w14:paraId="58F3B4CE">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（1）职责效益得15分。其中：部门整体效益得9分，社会公众满意度得6分。</w:t>
      </w:r>
    </w:p>
    <w:p w14:paraId="159F64D7">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我单位紧紧围绕着省委提出的“北京不能去、河北不能聚”的总目标，以解决好群众合理诉求、发挥好政治“护城河”作用为出发点和落脚点，重点做好排查化解工作，加大问题解决力度，切实抓好进京访治理，提升基础工作规范化。协调督导各乡镇、各部门配齐配强信访工作力量，抓好业务培训，切实提高信访事项办理“三率”。</w:t>
      </w:r>
    </w:p>
    <w:p w14:paraId="4BE5F1CE">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5F04BA84">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61D2C8F5">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行唐县信访局成立绩效自评小组，相关科室参与，通过核实数据、查阅资料、归纳汇总等环节对绩效执行情况、资金来源情况和资金使用情况以及绩效目标实现程度进行了分析评价。</w:t>
      </w:r>
    </w:p>
    <w:p w14:paraId="6502D8A4">
      <w:pPr>
        <w:numPr>
          <w:ilvl w:val="0"/>
          <w:numId w:val="1"/>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12362280">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成立绩效自评工作小组，按照《行唐县部门预算项目绩效自评管理办法》要求，结合 工作实际，对照预算批复时确定的绩效目标及指标，根据 2024年度预算执行情况、决算报告等相关材料，遵循客观公正、公开 透明、全面覆盖的原则，组织实施本部门的绩效自评工作。</w:t>
      </w:r>
    </w:p>
    <w:p w14:paraId="08763716">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1.制定绩效自评工作方案。工作方案包括年度绩效评价实施方案、评价指标体系及评价标准、基础数据、绩效评价资料。自评小组对绩效评价相关事项进行讨论与研究，确定评价证据。</w:t>
      </w:r>
    </w:p>
    <w:p w14:paraId="606606AD">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2.根据制定的绩效自评工作方案，收集相关实施材料， 审核基础资料，核实年度绩效目标是否实施及实施情况是否良好， 并进行拍照留痕，对收集的证据运用科学的方法进行综合分析。</w:t>
      </w:r>
    </w:p>
    <w:p w14:paraId="0DA120D2">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3.根据分析后的情况评分，形成综合评价结果，将评价 结果与各项指标进行比较，确定绩效评价等级(优、良、中、差)</w:t>
      </w:r>
    </w:p>
    <w:p w14:paraId="7ACCC78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4.对绩效自评工作进行总结，将部门的基本情况、绩效评价工作情况、评价分析及评价结果、评价等级、经验及做法、问题及建议等形成书面报告，上报财政局主管科室。</w:t>
      </w:r>
    </w:p>
    <w:p w14:paraId="303228B9">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3A766CBF">
      <w:pPr>
        <w:numPr>
          <w:ilvl w:val="0"/>
          <w:numId w:val="2"/>
        </w:numPr>
        <w:spacing w:line="560" w:lineRule="exact"/>
        <w:ind w:left="0"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5E32A1A2">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根据预算绩效管理要求，本部门组织对2025年度一般公共预算项目支出全面开展绩效自评。2025年重点绩效评价本着 “兼顾整体政策评价和重点项目评价”的原则，确定了对重大支出政策或重大项目开展财政重点绩效评价，总体绩效目标完成较好。专项资金安排符合上级政府决策部署，认真分析研究指标任务，细化、分解落实目标责任，并开展常态化、针对性的督促检查，有效推进了各项指标任务的落实。全力做好排查、化解、稳控、打击等各环节工作，全县进京访治理取得明显成效，</w:t>
      </w:r>
      <w:r>
        <w:rPr>
          <w:rFonts w:hint="eastAsia" w:ascii="仿宋_GB2312" w:eastAsia="仿宋_GB2312" w:cstheme="minorBidi"/>
          <w:kern w:val="2"/>
          <w:sz w:val="32"/>
          <w:szCs w:val="32"/>
          <w:lang w:val="en-US" w:eastAsia="zh-CN" w:bidi="ar-SA"/>
        </w:rPr>
        <w:t>今年，</w:t>
      </w:r>
      <w:r>
        <w:rPr>
          <w:rFonts w:hint="eastAsia" w:ascii="仿宋_GB2312" w:hAnsi="仿宋_GB2312" w:eastAsia="仿宋_GB2312" w:cs="仿宋_GB2312"/>
          <w:color w:val="000000"/>
          <w:sz w:val="32"/>
          <w:szCs w:val="32"/>
          <w:lang w:val="en-US" w:eastAsia="zh-CN"/>
        </w:rPr>
        <w:t>印发了《行唐县信访工作法治化指导意见》并制作了信访工作法治化流程图，开展30余次信访业务培训会，</w:t>
      </w:r>
      <w:r>
        <w:rPr>
          <w:rFonts w:hint="eastAsia" w:ascii="仿宋_GB2312" w:hAnsi="仿宋_GB2312" w:eastAsia="仿宋_GB2312" w:cs="仿宋_GB2312"/>
          <w:color w:val="auto"/>
          <w:sz w:val="32"/>
          <w:szCs w:val="32"/>
          <w:lang w:val="en-US" w:eastAsia="zh-CN"/>
        </w:rPr>
        <w:t>国家局督办“四应四不”案件数量从去年的48件降至今年的12件，下降率达75%。</w:t>
      </w:r>
      <w:r>
        <w:rPr>
          <w:rFonts w:hint="default" w:ascii="仿宋_GB2312" w:hAnsi="仿宋_GB2312" w:eastAsia="仿宋_GB2312" w:cs="仿宋_GB2312"/>
          <w:kern w:val="2"/>
          <w:sz w:val="32"/>
          <w:szCs w:val="32"/>
          <w:lang w:val="en-US" w:eastAsia="zh-CN" w:bidi="ar-SA"/>
        </w:rPr>
        <w:t>深入开展“广下访、讲政策、解心结、帮困难、化积案”专项行动，</w:t>
      </w:r>
      <w:r>
        <w:rPr>
          <w:rFonts w:hint="eastAsia" w:ascii="仿宋_GB2312" w:hAnsi="仿宋_GB2312" w:eastAsia="仿宋_GB2312" w:cs="仿宋_GB2312"/>
          <w:color w:val="000000"/>
          <w:sz w:val="32"/>
          <w:szCs w:val="32"/>
          <w:lang w:val="en-US" w:eastAsia="zh-CN"/>
        </w:rPr>
        <w:t>对去年8月份以来发生的243件到县以上访信访积案（包括网、信、电、邮、访），全部交办至相关单位，已化解162件，其中，依法终结7件，化解率达66.67%，完成了化解或依法终结60%以上的既定目标。</w:t>
      </w:r>
      <w:r>
        <w:rPr>
          <w:rFonts w:hint="default" w:ascii="仿宋_GB2312" w:hAnsi="仿宋_GB2312" w:eastAsia="仿宋_GB2312" w:cs="仿宋_GB2312"/>
          <w:sz w:val="32"/>
          <w:szCs w:val="32"/>
          <w:lang w:val="en-US" w:eastAsia="zh-CN"/>
        </w:rPr>
        <w:t>坚持“</w:t>
      </w:r>
      <w:r>
        <w:rPr>
          <w:rFonts w:hint="eastAsia" w:ascii="仿宋_GB2312" w:hAnsi="仿宋_GB2312" w:eastAsia="仿宋_GB2312" w:cs="仿宋_GB2312"/>
          <w:sz w:val="32"/>
          <w:szCs w:val="32"/>
          <w:lang w:val="en-US" w:eastAsia="zh-CN"/>
        </w:rPr>
        <w:t>依法治访</w:t>
      </w:r>
      <w:r>
        <w:rPr>
          <w:rFonts w:hint="default" w:ascii="仿宋_GB2312" w:hAnsi="仿宋_GB2312" w:eastAsia="仿宋_GB2312" w:cs="仿宋_GB2312"/>
          <w:sz w:val="32"/>
          <w:szCs w:val="32"/>
          <w:lang w:val="en-US" w:eastAsia="zh-CN"/>
        </w:rPr>
        <w:t>”原则，着力构建规范有序的信访秩序。</w:t>
      </w:r>
      <w:r>
        <w:rPr>
          <w:rFonts w:hint="eastAsia" w:ascii="仿宋_GB2312" w:hAnsi="仿宋_GB2312" w:eastAsia="仿宋_GB2312" w:cs="仿宋_GB2312"/>
          <w:color w:val="000000"/>
          <w:sz w:val="32"/>
          <w:szCs w:val="32"/>
          <w:lang w:val="en-US" w:eastAsia="zh-CN"/>
        </w:rPr>
        <w:t>成立依法处置工作专班，建立“乡党委书记+派出所所长+村支部书记”研判机制，</w:t>
      </w:r>
      <w:r>
        <w:rPr>
          <w:rFonts w:hint="default" w:ascii="仿宋_GB2312" w:hAnsi="仿宋_GB2312" w:eastAsia="仿宋_GB2312" w:cs="仿宋_GB2312"/>
          <w:sz w:val="32"/>
          <w:szCs w:val="32"/>
          <w:lang w:val="en-US" w:eastAsia="zh-CN"/>
        </w:rPr>
        <w:t>落实“五包一”民警</w:t>
      </w:r>
      <w:r>
        <w:rPr>
          <w:rFonts w:hint="eastAsia" w:ascii="仿宋_GB2312" w:hAnsi="仿宋_GB2312" w:eastAsia="仿宋_GB2312" w:cs="仿宋_GB2312"/>
          <w:sz w:val="32"/>
          <w:szCs w:val="32"/>
          <w:lang w:val="en-US" w:eastAsia="zh-CN"/>
        </w:rPr>
        <w:t>“一对一”</w:t>
      </w:r>
      <w:r>
        <w:rPr>
          <w:rFonts w:hint="default" w:ascii="仿宋_GB2312" w:hAnsi="仿宋_GB2312" w:eastAsia="仿宋_GB2312" w:cs="仿宋_GB2312"/>
          <w:sz w:val="32"/>
          <w:szCs w:val="32"/>
          <w:lang w:val="en-US" w:eastAsia="zh-CN"/>
        </w:rPr>
        <w:t>指导，依法固定证据，</w:t>
      </w:r>
      <w:r>
        <w:rPr>
          <w:rFonts w:hint="eastAsia" w:ascii="仿宋_GB2312" w:hAnsi="仿宋_GB2312" w:eastAsia="仿宋_GB2312" w:cs="仿宋_GB2312"/>
          <w:sz w:val="32"/>
          <w:szCs w:val="32"/>
          <w:lang w:val="en-US" w:eastAsia="zh-CN"/>
        </w:rPr>
        <w:t>确保</w:t>
      </w:r>
      <w:r>
        <w:rPr>
          <w:rFonts w:hint="default" w:ascii="仿宋_GB2312" w:hAnsi="仿宋_GB2312" w:eastAsia="仿宋_GB2312" w:cs="仿宋_GB2312"/>
          <w:sz w:val="32"/>
          <w:szCs w:val="32"/>
          <w:lang w:val="en-US" w:eastAsia="zh-CN"/>
        </w:rPr>
        <w:t>对信访活动中的违法犯罪行为进行依法</w:t>
      </w:r>
      <w:r>
        <w:rPr>
          <w:rFonts w:hint="eastAsia" w:ascii="仿宋_GB2312" w:hAnsi="仿宋_GB2312" w:eastAsia="仿宋_GB2312" w:cs="仿宋_GB2312"/>
          <w:sz w:val="32"/>
          <w:szCs w:val="32"/>
          <w:lang w:val="en-US" w:eastAsia="zh-CN"/>
        </w:rPr>
        <w:t>精确</w:t>
      </w:r>
      <w:r>
        <w:rPr>
          <w:rFonts w:hint="default" w:ascii="仿宋_GB2312" w:hAnsi="仿宋_GB2312" w:eastAsia="仿宋_GB2312" w:cs="仿宋_GB2312"/>
          <w:sz w:val="32"/>
          <w:szCs w:val="32"/>
          <w:lang w:val="en-US" w:eastAsia="zh-CN"/>
        </w:rPr>
        <w:t>处置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kern w:val="2"/>
          <w:sz w:val="32"/>
          <w:szCs w:val="32"/>
          <w:lang w:val="en-US" w:eastAsia="zh-CN" w:bidi="ar-SA"/>
        </w:rPr>
        <w:t>全年</w:t>
      </w:r>
      <w:r>
        <w:rPr>
          <w:rFonts w:hint="default" w:ascii="仿宋_GB2312" w:hAnsi="仿宋_GB2312" w:eastAsia="仿宋_GB2312" w:cs="仿宋_GB2312"/>
          <w:kern w:val="2"/>
          <w:sz w:val="32"/>
          <w:szCs w:val="32"/>
          <w:lang w:val="en-US" w:eastAsia="zh-CN" w:bidi="ar-SA"/>
        </w:rPr>
        <w:t>，共打击处理</w:t>
      </w:r>
      <w:r>
        <w:rPr>
          <w:rFonts w:hint="eastAsia" w:ascii="仿宋_GB2312" w:hAnsi="仿宋_GB2312" w:eastAsia="仿宋_GB2312" w:cs="仿宋_GB2312"/>
          <w:kern w:val="2"/>
          <w:sz w:val="32"/>
          <w:szCs w:val="32"/>
          <w:lang w:val="en-US" w:eastAsia="zh-CN" w:bidi="ar-SA"/>
        </w:rPr>
        <w:t>违法上访</w:t>
      </w:r>
      <w:r>
        <w:rPr>
          <w:rFonts w:hint="default" w:ascii="仿宋_GB2312" w:hAnsi="仿宋_GB2312" w:eastAsia="仿宋_GB2312" w:cs="仿宋_GB2312"/>
          <w:kern w:val="2"/>
          <w:sz w:val="32"/>
          <w:szCs w:val="32"/>
          <w:lang w:val="en-US" w:eastAsia="zh-CN" w:bidi="ar-SA"/>
        </w:rPr>
        <w:t>人员</w:t>
      </w:r>
      <w:r>
        <w:rPr>
          <w:rFonts w:hint="eastAsia" w:ascii="仿宋_GB2312" w:hAnsi="仿宋_GB2312" w:eastAsia="仿宋_GB2312" w:cs="仿宋_GB2312"/>
          <w:kern w:val="2"/>
          <w:sz w:val="32"/>
          <w:szCs w:val="32"/>
          <w:lang w:val="en-US" w:eastAsia="zh-CN" w:bidi="ar-SA"/>
        </w:rPr>
        <w:t>43</w:t>
      </w:r>
      <w:r>
        <w:rPr>
          <w:rFonts w:hint="default" w:ascii="仿宋_GB2312" w:hAnsi="仿宋_GB2312" w:eastAsia="仿宋_GB2312" w:cs="仿宋_GB2312"/>
          <w:kern w:val="2"/>
          <w:sz w:val="32"/>
          <w:szCs w:val="32"/>
          <w:lang w:val="en-US" w:eastAsia="zh-CN" w:bidi="ar-SA"/>
        </w:rPr>
        <w:t>人</w:t>
      </w:r>
      <w:r>
        <w:rPr>
          <w:rFonts w:hint="eastAsia" w:ascii="仿宋_GB2312" w:hAnsi="仿宋_GB2312" w:eastAsia="仿宋_GB2312" w:cs="仿宋_GB2312"/>
          <w:kern w:val="2"/>
          <w:sz w:val="32"/>
          <w:szCs w:val="32"/>
          <w:lang w:val="en-US" w:eastAsia="zh-CN" w:bidi="ar-SA"/>
        </w:rPr>
        <w:t>次</w:t>
      </w:r>
      <w:r>
        <w:rPr>
          <w:rFonts w:hint="default" w:ascii="仿宋_GB2312" w:hAnsi="仿宋_GB2312" w:eastAsia="仿宋_GB2312" w:cs="仿宋_GB2312"/>
          <w:kern w:val="2"/>
          <w:sz w:val="32"/>
          <w:szCs w:val="32"/>
          <w:lang w:val="en-US" w:eastAsia="zh-CN" w:bidi="ar-SA"/>
        </w:rPr>
        <w:t>，其中刑事拘留</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en-US" w:eastAsia="zh-CN" w:bidi="ar-SA"/>
        </w:rPr>
        <w:t>人</w:t>
      </w:r>
      <w:r>
        <w:rPr>
          <w:rFonts w:hint="eastAsia" w:ascii="仿宋_GB2312" w:hAnsi="仿宋_GB2312" w:eastAsia="仿宋_GB2312" w:cs="仿宋_GB2312"/>
          <w:kern w:val="2"/>
          <w:sz w:val="32"/>
          <w:szCs w:val="32"/>
          <w:lang w:val="en-US" w:eastAsia="zh-CN" w:bidi="ar-SA"/>
        </w:rPr>
        <w:t>、治安拘留28人、</w:t>
      </w:r>
      <w:r>
        <w:rPr>
          <w:rFonts w:hint="default" w:ascii="仿宋_GB2312" w:hAnsi="仿宋_GB2312" w:eastAsia="仿宋_GB2312" w:cs="仿宋_GB2312"/>
          <w:kern w:val="2"/>
          <w:sz w:val="32"/>
          <w:szCs w:val="32"/>
          <w:lang w:val="en-US" w:eastAsia="zh-CN" w:bidi="ar-SA"/>
        </w:rPr>
        <w:t>警告</w:t>
      </w:r>
      <w:r>
        <w:rPr>
          <w:rFonts w:hint="eastAsia" w:ascii="仿宋_GB2312" w:hAnsi="仿宋_GB2312" w:eastAsia="仿宋_GB2312" w:cs="仿宋_GB2312"/>
          <w:kern w:val="2"/>
          <w:sz w:val="32"/>
          <w:szCs w:val="32"/>
          <w:lang w:val="en-US" w:eastAsia="zh-CN" w:bidi="ar-SA"/>
        </w:rPr>
        <w:t>9</w:t>
      </w:r>
      <w:r>
        <w:rPr>
          <w:rFonts w:hint="default" w:ascii="仿宋_GB2312" w:hAnsi="仿宋_GB2312" w:eastAsia="仿宋_GB2312" w:cs="仿宋_GB2312"/>
          <w:kern w:val="2"/>
          <w:sz w:val="32"/>
          <w:szCs w:val="32"/>
          <w:lang w:val="en-US" w:eastAsia="zh-CN" w:bidi="ar-SA"/>
        </w:rPr>
        <w:t>人。有效发挥</w:t>
      </w:r>
      <w:r>
        <w:rPr>
          <w:rFonts w:hint="eastAsia" w:ascii="仿宋_GB2312" w:hAnsi="仿宋_GB2312" w:eastAsia="仿宋_GB2312" w:cs="仿宋_GB2312"/>
          <w:kern w:val="2"/>
          <w:sz w:val="32"/>
          <w:szCs w:val="32"/>
          <w:lang w:val="en-US" w:eastAsia="zh-CN" w:bidi="ar-SA"/>
        </w:rPr>
        <w:t>了“依法治访”</w:t>
      </w:r>
      <w:r>
        <w:rPr>
          <w:rFonts w:hint="default" w:ascii="仿宋_GB2312" w:hAnsi="仿宋_GB2312" w:eastAsia="仿宋_GB2312" w:cs="仿宋_GB2312"/>
          <w:kern w:val="2"/>
          <w:sz w:val="32"/>
          <w:szCs w:val="32"/>
          <w:lang w:val="en-US" w:eastAsia="zh-CN" w:bidi="ar-SA"/>
        </w:rPr>
        <w:t>震慑作用，</w:t>
      </w:r>
      <w:r>
        <w:rPr>
          <w:rFonts w:hint="eastAsia" w:ascii="仿宋_GB2312" w:hAnsi="仿宋_GB2312" w:eastAsia="仿宋_GB2312" w:cs="仿宋_GB2312"/>
          <w:kern w:val="2"/>
          <w:sz w:val="32"/>
          <w:szCs w:val="32"/>
          <w:lang w:val="en-US" w:eastAsia="zh-CN" w:bidi="ar-SA"/>
        </w:rPr>
        <w:t>进一步规范了</w:t>
      </w:r>
      <w:r>
        <w:rPr>
          <w:rFonts w:hint="default" w:ascii="仿宋_GB2312" w:hAnsi="仿宋_GB2312" w:eastAsia="仿宋_GB2312" w:cs="仿宋_GB2312"/>
          <w:kern w:val="2"/>
          <w:sz w:val="32"/>
          <w:szCs w:val="32"/>
          <w:lang w:val="en-US" w:eastAsia="zh-CN" w:bidi="ar-SA"/>
        </w:rPr>
        <w:t>信访秩序。</w:t>
      </w:r>
      <w:r>
        <w:rPr>
          <w:rFonts w:hint="eastAsia" w:ascii="仿宋" w:hAnsi="仿宋" w:eastAsia="仿宋"/>
          <w:sz w:val="32"/>
          <w:szCs w:val="32"/>
          <w:lang w:val="en-US" w:eastAsia="zh-CN"/>
        </w:rPr>
        <w:t xml:space="preserve">截止年底，承担的各项项目绩效指标任务已全部完成。 </w:t>
      </w:r>
    </w:p>
    <w:p w14:paraId="052B348A">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464D5935">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1.畅通信访渠道，减少信访案件，维护社会稳定</w:t>
      </w:r>
    </w:p>
    <w:p w14:paraId="5F27EC9D">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绩效目标实现情况：畅通信访渠道，提高信访事项办理质量和效率。绩效指标分析：及时受理人民群众来</w:t>
      </w:r>
      <w:bookmarkStart w:id="0" w:name="_GoBack"/>
      <w:bookmarkEnd w:id="0"/>
      <w:r>
        <w:rPr>
          <w:rFonts w:hint="eastAsia" w:ascii="仿宋" w:hAnsi="仿宋" w:eastAsia="仿宋" w:cs="黑体"/>
          <w:kern w:val="2"/>
          <w:sz w:val="32"/>
          <w:szCs w:val="32"/>
          <w:lang w:val="en-US" w:eastAsia="zh-CN" w:bidi="ar-SA"/>
        </w:rPr>
        <w:t>信、来访；协助上级信访局处理越级上访工作；妥善处置非访、突发性及群体性事件，维护社会大局和谐稳定；信访事项及时受理率达90%以上，信访案件按期办结率达90%以上。</w:t>
      </w:r>
    </w:p>
    <w:p w14:paraId="77672F31">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2.推动重要信访事项解决，规范信访事项办理</w:t>
      </w:r>
    </w:p>
    <w:p w14:paraId="5CD66F06">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情况：做好信访事项督查、复查、听证工作。绩效指标分析：组织做好信访案件督查、复查、听证等工作，并对相关事项进行审核、上报；加强对信访疑难案件的督办，全年解决特殊疑难案件不低于10件。</w:t>
      </w:r>
    </w:p>
    <w:p w14:paraId="144B5EC8">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3.进一步提高信访干部业务能力</w:t>
      </w:r>
    </w:p>
    <w:p w14:paraId="5A263D46">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情况：加强信访干部学习业务能力，吸收可行性建议；改进工作方式，提高信访信息化应用水平。绩效指标分析：调研提出信访工作对策建议；督促检查和指导信访工作；加强信息化建设和运维管理；保障机要邮件正常传递和群众工作中心正常运转；确保会议正常召开。</w:t>
      </w:r>
    </w:p>
    <w:p w14:paraId="63195A05">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3EE23A8B">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14:paraId="18676A3B">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77F05209">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楷体" w:hAnsi="楷体" w:eastAsia="楷体"/>
          <w:bCs/>
          <w:sz w:val="32"/>
          <w:szCs w:val="32"/>
        </w:rPr>
      </w:pPr>
      <w:r>
        <w:rPr>
          <w:rFonts w:hint="eastAsia" w:ascii="楷体" w:hAnsi="楷体" w:eastAsia="楷体"/>
          <w:bCs/>
          <w:sz w:val="32"/>
          <w:szCs w:val="32"/>
        </w:rPr>
        <w:t>（一）存在的主要问题</w:t>
      </w:r>
    </w:p>
    <w:p w14:paraId="2E4AA2A2">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一是绩效评价指标体系还不够完善、合理。</w:t>
      </w:r>
    </w:p>
    <w:p w14:paraId="67CD6389">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二是对绩效评价工作的认识不够，单位对财务绩效不够重视，认为绩效评价只是财务部门的事情，相关项目职责部门配合不够，往往只对能提供有限的财经资料或简单的工作计划、工作总结，绩效评价工作</w:t>
      </w:r>
      <w:r>
        <w:rPr>
          <w:rFonts w:hint="eastAsia" w:ascii="仿宋" w:hAnsi="仿宋" w:eastAsia="仿宋" w:cs="仿宋"/>
          <w:color w:val="auto"/>
          <w:sz w:val="32"/>
          <w:szCs w:val="32"/>
          <w:lang w:val="en-US" w:eastAsia="zh-CN"/>
        </w:rPr>
        <w:t>资料</w:t>
      </w:r>
      <w:r>
        <w:rPr>
          <w:rFonts w:hint="eastAsia" w:ascii="仿宋" w:hAnsi="仿宋" w:eastAsia="仿宋" w:cs="仿宋"/>
          <w:color w:val="auto"/>
          <w:sz w:val="32"/>
          <w:szCs w:val="32"/>
          <w:lang w:eastAsia="zh-CN"/>
        </w:rPr>
        <w:t>非常有限，内容粗浅。大多时候只能借助工作计划，工作总结等作为绩效评价报告的主要内容。</w:t>
      </w:r>
    </w:p>
    <w:p w14:paraId="2B07524F">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三是人员素质有待进一步提升。由于预算管理工作开展时间短，涉及面广，专业性强，加上缺乏系统的培训，单位对预算管理理解不够充分，对预算管理业务不精通，在一定程度上影响了绩效评价工作质量。</w:t>
      </w:r>
    </w:p>
    <w:p w14:paraId="5B42EDD9">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6668A1FC">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一科学编制预算。一是进一步加强全院预算意识，严格按照预算编制的相关制度和要求以及下一年度的工作计划，细化编制部门预算，提高预算的科学性、合理性、严谨性。二是加强预算收支核算，内部机构相关庭室按照项目建设进度合理编制项目经费预算，并严格按照项目进度执行预算，增强预算的约束力和严肃性。</w:t>
      </w:r>
    </w:p>
    <w:p w14:paraId="37C20902">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二是严格执行各项规章制度，加强财务管理，严禁不合规经费开支。严格按照《</w:t>
      </w:r>
      <w:r>
        <w:rPr>
          <w:rFonts w:hint="eastAsia" w:ascii="仿宋" w:hAnsi="仿宋" w:eastAsia="仿宋" w:cs="仿宋"/>
          <w:color w:val="auto"/>
          <w:sz w:val="32"/>
          <w:szCs w:val="32"/>
          <w:lang w:val="en-US" w:eastAsia="zh-CN"/>
        </w:rPr>
        <w:t>中华人民共和国</w:t>
      </w:r>
      <w:r>
        <w:rPr>
          <w:rFonts w:hint="eastAsia" w:ascii="仿宋" w:hAnsi="仿宋" w:eastAsia="仿宋" w:cs="仿宋"/>
          <w:color w:val="auto"/>
          <w:sz w:val="32"/>
          <w:szCs w:val="32"/>
          <w:lang w:eastAsia="zh-CN"/>
        </w:rPr>
        <w:t>会计法》、《行政单位会计制度》、单位内部财务制度等规定，结合实际情况，加强单位经费支出管理。</w:t>
      </w:r>
    </w:p>
    <w:p w14:paraId="71270D1F">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三是定期开展财务分析。每年定期做好支出预算财务分析和部门整体绩效评价工作，及时对费用预算执行情况进行通报和预警，这样有利于我们强化支出责任，提高财政资金使用效率，更好地促进我们履行职责。</w:t>
      </w:r>
    </w:p>
    <w:p w14:paraId="6E9FC8B9">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六、评价工作组人员名单及签字（姓名、工作单位、职务、职称）</w:t>
      </w:r>
    </w:p>
    <w:p w14:paraId="751FC8B6">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组长：仇  倩     局  长</w:t>
      </w:r>
    </w:p>
    <w:p w14:paraId="2D5D0372">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成员：张  勇     副局长</w:t>
      </w:r>
    </w:p>
    <w:p w14:paraId="5E7F56E4">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outlineLvl w:val="9"/>
        <w:rPr>
          <w:rFonts w:hint="default" w:ascii="仿宋_GB2312" w:eastAsia="仿宋_GB2312" w:cs="黑体"/>
          <w:b w:val="0"/>
          <w:bCs w:val="0"/>
          <w:kern w:val="2"/>
          <w:sz w:val="32"/>
          <w:szCs w:val="32"/>
          <w:lang w:val="en-US" w:eastAsia="zh-CN" w:bidi="ar-SA"/>
        </w:rPr>
      </w:pPr>
      <w:r>
        <w:rPr>
          <w:rFonts w:hint="eastAsia" w:ascii="仿宋" w:hAnsi="仿宋" w:eastAsia="仿宋" w:cs="仿宋"/>
          <w:color w:val="auto"/>
          <w:sz w:val="32"/>
          <w:szCs w:val="32"/>
          <w:lang w:val="en-US" w:eastAsia="zh-CN"/>
        </w:rPr>
        <w:t xml:space="preserve">      麻  赛     副局长</w:t>
      </w:r>
    </w:p>
    <w:p w14:paraId="2AEFBE1E">
      <w:pPr>
        <w:spacing w:line="560" w:lineRule="exact"/>
        <w:ind w:firstLine="1920" w:firstLineChars="600"/>
        <w:rPr>
          <w:rFonts w:hint="eastAsia" w:ascii="仿宋" w:hAnsi="仿宋" w:eastAsia="仿宋" w:cs="仿宋"/>
        </w:rPr>
      </w:pPr>
      <w:r>
        <w:rPr>
          <w:rFonts w:hint="eastAsia" w:ascii="仿宋_GB2312" w:hAnsi="Calibri" w:eastAsia="仿宋_GB2312" w:cs="黑体"/>
          <w:b w:val="0"/>
          <w:bCs w:val="0"/>
          <w:kern w:val="2"/>
          <w:sz w:val="32"/>
          <w:szCs w:val="32"/>
          <w:lang w:val="en-US" w:eastAsia="zh-CN" w:bidi="ar-SA"/>
        </w:rPr>
        <w:t xml:space="preserve">     </w:t>
      </w:r>
    </w:p>
    <w:sectPr>
      <w:footerReference r:id="rId3" w:type="default"/>
      <w:pgSz w:w="11906" w:h="16838"/>
      <w:pgMar w:top="1440" w:right="1474" w:bottom="1440"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1CE41">
    <w:pPr>
      <w:pStyle w:val="6"/>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09550" cy="162560"/>
              <wp:effectExtent l="0" t="0" r="0" b="0"/>
              <wp:wrapNone/>
              <wp:docPr id="1" name="Quad Arrow 3073"/>
              <wp:cNvGraphicFramePr/>
              <a:graphic xmlns:a="http://schemas.openxmlformats.org/drawingml/2006/main">
                <a:graphicData uri="http://schemas.microsoft.com/office/word/2010/wordprocessingShape">
                  <wps:wsp>
                    <wps:cNvSpPr/>
                    <wps:spPr>
                      <a:xfrm>
                        <a:off x="0" y="0"/>
                        <a:ext cx="209492" cy="162820"/>
                      </a:xfrm>
                      <a:prstGeom prst="rect">
                        <a:avLst/>
                      </a:prstGeom>
                      <a:noFill/>
                      <a:ln w="9525" cap="flat" cmpd="sng">
                        <a:noFill/>
                        <a:prstDash val="solid"/>
                        <a:miter/>
                      </a:ln>
                    </wps:spPr>
                    <wps:txbx>
                      <w:txbxContent>
                        <w:p w14:paraId="07FFE41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vert="horz" wrap="none" lIns="0" tIns="0" rIns="0" bIns="0" anchor="t" anchorCtr="0" upright="1">
                      <a:spAutoFit/>
                    </wps:bodyPr>
                  </wps:wsp>
                </a:graphicData>
              </a:graphic>
            </wp:anchor>
          </w:drawing>
        </mc:Choice>
        <mc:Fallback>
          <w:pict>
            <v:rect id="Quad Arrow 3073" o:spid="_x0000_s1026" o:spt="1" style="position:absolute;left:0pt;margin-top:0pt;height:12.8pt;width:16.5pt;mso-position-horizontal:center;mso-position-horizontal-relative:margin;mso-wrap-style:none;z-index:251659264;mso-width-relative:page;mso-height-relative:page;" filled="f" stroked="f" coordsize="21600,21600" o:gfxdata="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qUiZ0QAAAAMBAAAPAAAAAAAAAAEAIAAAACIAAABkcnMvZG93bnJldi54bWxQSwEC&#10;FAAUAAAACACHTuJAh+iDI/sBAAD4AwAADgAAAAAAAAABACAAAAAgAQAAZHJzL2Uyb0RvYy54bWxQ&#10;SwUGAAAAAAYABgBZAQAAjQUAAAAA&#10;">
              <v:fill on="f" focussize="0,0"/>
              <v:stroke on="f" joinstyle="miter"/>
              <v:imagedata o:title=""/>
              <o:lock v:ext="edit" aspectratio="f"/>
              <v:textbox inset="0mm,0mm,0mm,0mm" style="mso-fit-shape-to-text:t;">
                <w:txbxContent>
                  <w:p w14:paraId="07FFE41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E68489B"/>
    <w:multiLevelType w:val="singleLevel"/>
    <w:tmpl w:val="5E68489B"/>
    <w:lvl w:ilvl="0" w:tentative="0">
      <w:start w:val="1"/>
      <w:numFmt w:val="chineseCounting"/>
      <w:suff w:val="nothing"/>
      <w:lvlText w:val="（%1）"/>
      <w:lvlJc w:val="left"/>
      <w:pPr>
        <w:ind w:left="0" w:firstLine="0"/>
      </w:pPr>
      <w:rPr>
        <w:rFonts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mZiNmZhMTljNjUzMGQ1ZThjMTllNjU2ZTQyMTAifQ=="/>
  </w:docVars>
  <w:rsids>
    <w:rsidRoot w:val="00000000"/>
    <w:rsid w:val="096546EC"/>
    <w:rsid w:val="0A331E09"/>
    <w:rsid w:val="0A6267A5"/>
    <w:rsid w:val="0C346353"/>
    <w:rsid w:val="107D6496"/>
    <w:rsid w:val="107E1332"/>
    <w:rsid w:val="21C45767"/>
    <w:rsid w:val="22B26FFC"/>
    <w:rsid w:val="23F24EDE"/>
    <w:rsid w:val="2A24600D"/>
    <w:rsid w:val="2D5A53C6"/>
    <w:rsid w:val="3D2F41E9"/>
    <w:rsid w:val="40636E43"/>
    <w:rsid w:val="428E6185"/>
    <w:rsid w:val="47460732"/>
    <w:rsid w:val="4EF6220D"/>
    <w:rsid w:val="531B5B9F"/>
    <w:rsid w:val="53622851"/>
    <w:rsid w:val="572D7193"/>
    <w:rsid w:val="574216FD"/>
    <w:rsid w:val="5AA72BA3"/>
    <w:rsid w:val="5D58169F"/>
    <w:rsid w:val="61147A2B"/>
    <w:rsid w:val="6230253C"/>
    <w:rsid w:val="649F4037"/>
    <w:rsid w:val="6CA7144F"/>
    <w:rsid w:val="6CDD099F"/>
    <w:rsid w:val="715737BA"/>
    <w:rsid w:val="721F290F"/>
    <w:rsid w:val="764F2F43"/>
    <w:rsid w:val="78C15E80"/>
    <w:rsid w:val="7EF878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unhideWhenUsed/>
    <w:qFormat/>
    <w:uiPriority w:val="0"/>
    <w:pPr>
      <w:spacing w:after="120" w:afterLines="0" w:afterAutospacing="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rFonts w:ascii="Times New Roman" w:hAnsi="Times New Roman"/>
      <w:sz w:val="18"/>
    </w:rPr>
  </w:style>
  <w:style w:type="paragraph" w:styleId="8">
    <w:name w:val="Normal (Web)"/>
    <w:basedOn w:val="1"/>
    <w:qFormat/>
    <w:uiPriority w:val="0"/>
    <w:rPr>
      <w:sz w:val="24"/>
    </w:rPr>
  </w:style>
  <w:style w:type="paragraph" w:customStyle="1" w:styleId="11">
    <w:name w:val="插入文本样式-插入总体目标文件"/>
    <w:basedOn w:val="1"/>
    <w:qFormat/>
    <w:uiPriority w:val="0"/>
    <w:pPr>
      <w:spacing w:line="500" w:lineRule="exact"/>
      <w:ind w:firstLine="560"/>
    </w:pPr>
    <w:rPr>
      <w:rFonts w:eastAsia="仿宋_GB2312"/>
      <w:sz w:val="28"/>
    </w:rPr>
  </w:style>
  <w:style w:type="paragraph" w:customStyle="1" w:styleId="12">
    <w:name w:val="插入文本样式-插入职责分类绩效目标文件"/>
    <w:basedOn w:val="1"/>
    <w:qFormat/>
    <w:uiPriority w:val="0"/>
    <w:pPr>
      <w:spacing w:line="500" w:lineRule="exact"/>
      <w:ind w:firstLine="560"/>
    </w:pPr>
    <w:rPr>
      <w:rFonts w:eastAsia="仿宋_GB2312"/>
      <w:sz w:val="28"/>
    </w:rPr>
  </w:style>
  <w:style w:type="paragraph" w:customStyle="1" w:styleId="13">
    <w:name w:val="插入文本样式-插入实现年度发展规划目标的保障措施文件"/>
    <w:basedOn w:val="1"/>
    <w:qFormat/>
    <w:uiPriority w:val="0"/>
    <w:pPr>
      <w:spacing w:line="500" w:lineRule="exact"/>
      <w:ind w:firstLine="560"/>
    </w:pPr>
    <w:rPr>
      <w:rFonts w:eastAsia="仿宋_GB2312"/>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883F41-BBD4-4423-8332-5AC09A4F4A40}">
  <ds:schemaRefs/>
</ds:datastoreItem>
</file>

<file path=docProps/app.xml><?xml version="1.0" encoding="utf-8"?>
<Properties xmlns="http://schemas.openxmlformats.org/officeDocument/2006/extended-properties" xmlns:vt="http://schemas.openxmlformats.org/officeDocument/2006/docPropsVTypes">
  <Template>Normal.eit</Template>
  <Pages>7</Pages>
  <Words>3701</Words>
  <Characters>3815</Characters>
  <Lines>0</Lines>
  <Paragraphs>29</Paragraphs>
  <TotalTime>2</TotalTime>
  <ScaleCrop>false</ScaleCrop>
  <LinksUpToDate>false</LinksUpToDate>
  <CharactersWithSpaces>3881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阳威</cp:lastModifiedBy>
  <cp:lastPrinted>2025-04-02T06:15:00Z</cp:lastPrinted>
  <dcterms:modified xsi:type="dcterms:W3CDTF">2026-08-04T02:59:11Z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F649E01A1F9E4544A699178BE51CF7EE</vt:lpwstr>
  </property>
  <property fmtid="{D5CDD505-2E9C-101B-9397-08002B2CF9AE}" pid="4" name="KSOTemplateDocerSaveRecord">
    <vt:lpwstr>eyJoZGlkIjoiMDk5MmY1YWU0M2YyM2ZlYzJiZGM4N2IwNmJjOTVkYzIiLCJ1c2VySWQiOiI2NzI4MDUxMjEifQ==</vt:lpwstr>
  </property>
</Properties>
</file>