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5EE76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000000" w:themeColor="text1"/>
          <w:sz w:val="44"/>
          <w:szCs w:val="44"/>
          <w:lang w:eastAsia="zh-CN"/>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行唐县</w:t>
      </w:r>
      <w:r>
        <w:rPr>
          <w:rFonts w:hint="eastAsia" w:ascii="方正小标宋简体" w:hAnsi="方正小标宋简体" w:eastAsia="方正小标宋简体" w:cs="方正小标宋简体"/>
          <w:color w:val="000000" w:themeColor="text1"/>
          <w:sz w:val="44"/>
          <w:szCs w:val="44"/>
          <w:lang w:eastAsia="zh-CN"/>
          <w14:textFill>
            <w14:solidFill>
              <w14:schemeClr w14:val="tx1"/>
            </w14:solidFill>
          </w14:textFill>
        </w:rPr>
        <w:t>应急管理局</w:t>
      </w:r>
    </w:p>
    <w:p w14:paraId="64CADB8C">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20</w:t>
      </w: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26</w:t>
      </w: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年安全生产监督检查计划</w:t>
      </w:r>
    </w:p>
    <w:p w14:paraId="1EB2238A">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为</w:t>
      </w:r>
      <w:r>
        <w:rPr>
          <w:rFonts w:hint="eastAsia" w:ascii="仿宋_GB2312" w:hAnsi="仿宋_GB2312" w:eastAsia="仿宋_GB2312" w:cs="仿宋_GB2312"/>
          <w:color w:val="000000" w:themeColor="text1"/>
          <w:sz w:val="32"/>
          <w:szCs w:val="32"/>
          <w:lang w:eastAsia="zh-CN"/>
          <w14:textFill>
            <w14:solidFill>
              <w14:schemeClr w14:val="tx1"/>
            </w14:solidFill>
          </w14:textFill>
        </w:rPr>
        <w:t>依法</w:t>
      </w:r>
      <w:r>
        <w:rPr>
          <w:rFonts w:hint="eastAsia" w:ascii="仿宋_GB2312" w:hAnsi="仿宋_GB2312" w:eastAsia="仿宋_GB2312" w:cs="仿宋_GB2312"/>
          <w:color w:val="000000" w:themeColor="text1"/>
          <w:sz w:val="32"/>
          <w:szCs w:val="32"/>
          <w14:textFill>
            <w14:solidFill>
              <w14:schemeClr w14:val="tx1"/>
            </w14:solidFill>
          </w14:textFill>
        </w:rPr>
        <w:t>履行</w:t>
      </w:r>
      <w:r>
        <w:rPr>
          <w:rFonts w:hint="eastAsia" w:ascii="仿宋_GB2312" w:hAnsi="仿宋_GB2312" w:eastAsia="仿宋_GB2312" w:cs="仿宋_GB2312"/>
          <w:color w:val="000000" w:themeColor="text1"/>
          <w:sz w:val="32"/>
          <w:szCs w:val="32"/>
          <w:lang w:eastAsia="zh-CN"/>
          <w14:textFill>
            <w14:solidFill>
              <w14:schemeClr w14:val="tx1"/>
            </w14:solidFill>
          </w14:textFill>
        </w:rPr>
        <w:t>对工矿商贸生产经营单位的</w:t>
      </w:r>
      <w:r>
        <w:rPr>
          <w:rFonts w:hint="eastAsia" w:ascii="仿宋_GB2312" w:hAnsi="仿宋_GB2312" w:eastAsia="仿宋_GB2312" w:cs="仿宋_GB2312"/>
          <w:color w:val="000000" w:themeColor="text1"/>
          <w:sz w:val="32"/>
          <w:szCs w:val="32"/>
          <w14:textFill>
            <w14:solidFill>
              <w14:schemeClr w14:val="tx1"/>
            </w14:solidFill>
          </w14:textFill>
        </w:rPr>
        <w:t>安全生产监督</w:t>
      </w:r>
      <w:r>
        <w:rPr>
          <w:rFonts w:hint="eastAsia" w:ascii="仿宋_GB2312" w:hAnsi="仿宋_GB2312" w:eastAsia="仿宋_GB2312" w:cs="仿宋_GB2312"/>
          <w:color w:val="000000" w:themeColor="text1"/>
          <w:sz w:val="32"/>
          <w:szCs w:val="32"/>
          <w:lang w:eastAsia="zh-CN"/>
          <w14:textFill>
            <w14:solidFill>
              <w14:schemeClr w14:val="tx1"/>
            </w14:solidFill>
          </w14:textFill>
        </w:rPr>
        <w:t>检查</w:t>
      </w:r>
      <w:r>
        <w:rPr>
          <w:rFonts w:hint="eastAsia" w:ascii="仿宋_GB2312" w:hAnsi="仿宋_GB2312" w:eastAsia="仿宋_GB2312" w:cs="仿宋_GB2312"/>
          <w:color w:val="000000" w:themeColor="text1"/>
          <w:sz w:val="32"/>
          <w:szCs w:val="32"/>
          <w14:textFill>
            <w14:solidFill>
              <w14:schemeClr w14:val="tx1"/>
            </w14:solidFill>
          </w14:textFill>
        </w:rPr>
        <w:t>职责，</w:t>
      </w:r>
      <w:r>
        <w:rPr>
          <w:rFonts w:hint="eastAsia" w:ascii="仿宋_GB2312" w:hAnsi="仿宋_GB2312" w:eastAsia="仿宋_GB2312" w:cs="仿宋_GB2312"/>
          <w:color w:val="000000" w:themeColor="text1"/>
          <w:sz w:val="32"/>
          <w:szCs w:val="32"/>
          <w:lang w:eastAsia="zh-CN"/>
          <w14:textFill>
            <w14:solidFill>
              <w14:schemeClr w14:val="tx1"/>
            </w14:solidFill>
          </w14:textFill>
        </w:rPr>
        <w:t>督促生产经营单位严格落实安全生产主体责任，切实</w:t>
      </w:r>
      <w:r>
        <w:rPr>
          <w:rFonts w:hint="eastAsia" w:ascii="仿宋_GB2312" w:hAnsi="仿宋_GB2312" w:eastAsia="仿宋_GB2312" w:cs="仿宋_GB2312"/>
          <w:color w:val="000000" w:themeColor="text1"/>
          <w:sz w:val="32"/>
          <w:szCs w:val="32"/>
          <w14:textFill>
            <w14:solidFill>
              <w14:schemeClr w14:val="tx1"/>
            </w14:solidFill>
          </w14:textFill>
        </w:rPr>
        <w:t>提高监管执法</w:t>
      </w:r>
      <w:r>
        <w:rPr>
          <w:rFonts w:hint="eastAsia" w:ascii="仿宋_GB2312" w:hAnsi="仿宋_GB2312" w:eastAsia="仿宋_GB2312" w:cs="仿宋_GB2312"/>
          <w:color w:val="000000" w:themeColor="text1"/>
          <w:sz w:val="32"/>
          <w:szCs w:val="32"/>
          <w:lang w:eastAsia="zh-CN"/>
          <w14:textFill>
            <w14:solidFill>
              <w14:schemeClr w14:val="tx1"/>
            </w14:solidFill>
          </w14:textFill>
        </w:rPr>
        <w:t>质量</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auto"/>
          <w:sz w:val="32"/>
          <w:szCs w:val="32"/>
        </w:rPr>
        <w:t>根据《</w:t>
      </w:r>
      <w:r>
        <w:rPr>
          <w:rFonts w:hint="eastAsia" w:ascii="仿宋_GB2312" w:hAnsi="仿宋_GB2312" w:eastAsia="仿宋_GB2312" w:cs="仿宋_GB2312"/>
          <w:color w:val="auto"/>
          <w:sz w:val="32"/>
          <w:szCs w:val="32"/>
          <w:lang w:eastAsia="zh-CN"/>
        </w:rPr>
        <w:t>中华人民共和国</w:t>
      </w:r>
      <w:r>
        <w:rPr>
          <w:rFonts w:hint="eastAsia" w:ascii="仿宋_GB2312" w:hAnsi="仿宋_GB2312" w:eastAsia="仿宋_GB2312" w:cs="仿宋_GB2312"/>
          <w:color w:val="auto"/>
          <w:sz w:val="32"/>
          <w:szCs w:val="32"/>
        </w:rPr>
        <w:t>安全生产法》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河北省安全生产条例</w:t>
      </w:r>
      <w:r>
        <w:rPr>
          <w:rFonts w:hint="eastAsia" w:ascii="仿宋_GB2312" w:hAnsi="仿宋_GB2312" w:eastAsia="仿宋_GB2312" w:cs="仿宋_GB2312"/>
          <w:color w:val="auto"/>
          <w:sz w:val="32"/>
          <w:szCs w:val="32"/>
          <w:lang w:eastAsia="zh-CN"/>
        </w:rPr>
        <w:t>》《安全生产年度监督检查计划编制办法》（安监总政法</w:t>
      </w:r>
      <w:r>
        <w:rPr>
          <w:rFonts w:hint="eastAsia" w:ascii="仿宋_GB2312" w:hAnsi="仿宋_GB2312" w:eastAsia="仿宋_GB2312" w:cs="仿宋_GB2312"/>
          <w:color w:val="auto"/>
          <w:sz w:val="32"/>
          <w:szCs w:val="32"/>
          <w:lang w:val="en-US" w:eastAsia="zh-CN"/>
        </w:rPr>
        <w:t>〔2017〕150号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等</w:t>
      </w:r>
      <w:r>
        <w:rPr>
          <w:rFonts w:hint="eastAsia" w:ascii="仿宋_GB2312" w:hAnsi="仿宋_GB2312" w:eastAsia="仿宋_GB2312" w:cs="仿宋_GB2312"/>
          <w:color w:val="000000" w:themeColor="text1"/>
          <w:sz w:val="32"/>
          <w:szCs w:val="32"/>
          <w:lang w:eastAsia="zh-CN"/>
          <w14:textFill>
            <w14:solidFill>
              <w14:schemeClr w14:val="tx1"/>
            </w14:solidFill>
          </w14:textFill>
        </w:rPr>
        <w:t>相关法律法规规定，</w:t>
      </w:r>
      <w:r>
        <w:rPr>
          <w:rFonts w:hint="eastAsia" w:ascii="仿宋_GB2312" w:hAnsi="仿宋_GB2312" w:eastAsia="仿宋_GB2312" w:cs="仿宋_GB2312"/>
          <w:color w:val="000000" w:themeColor="text1"/>
          <w:sz w:val="32"/>
          <w:szCs w:val="32"/>
          <w14:textFill>
            <w14:solidFill>
              <w14:schemeClr w14:val="tx1"/>
            </w14:solidFill>
          </w14:textFill>
        </w:rPr>
        <w:t>结合我</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color w:val="000000" w:themeColor="text1"/>
          <w:sz w:val="32"/>
          <w:szCs w:val="32"/>
          <w14:textFill>
            <w14:solidFill>
              <w14:schemeClr w14:val="tx1"/>
            </w14:solidFill>
          </w14:textFill>
        </w:rPr>
        <w:t>实际，制定本计划。</w:t>
      </w:r>
    </w:p>
    <w:p w14:paraId="226155E6">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一、总体安排</w:t>
      </w:r>
    </w:p>
    <w:p w14:paraId="5525C361">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一</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指导思想</w:t>
      </w:r>
    </w:p>
    <w:p w14:paraId="6A0795DB">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以习近平新时代中国特色社会主义思想为指导，全面贯彻</w:t>
      </w:r>
      <w:r>
        <w:rPr>
          <w:rFonts w:hint="eastAsia" w:ascii="仿宋_GB2312" w:hAnsi="仿宋_GB2312" w:eastAsia="仿宋_GB2312" w:cs="仿宋_GB2312"/>
          <w:color w:val="000000" w:themeColor="text1"/>
          <w:sz w:val="32"/>
          <w:szCs w:val="32"/>
          <w:lang w:eastAsia="zh-CN"/>
          <w14:textFill>
            <w14:solidFill>
              <w14:schemeClr w14:val="tx1"/>
            </w14:solidFill>
          </w14:textFill>
        </w:rPr>
        <w:t>党</w:t>
      </w:r>
      <w:r>
        <w:rPr>
          <w:rFonts w:hint="eastAsia" w:ascii="仿宋_GB2312" w:hAnsi="仿宋_GB2312" w:eastAsia="仿宋_GB2312" w:cs="仿宋_GB2312"/>
          <w:color w:val="000000" w:themeColor="text1"/>
          <w:sz w:val="32"/>
          <w:szCs w:val="32"/>
          <w14:textFill>
            <w14:solidFill>
              <w14:schemeClr w14:val="tx1"/>
            </w14:solidFill>
          </w14:textFill>
        </w:rPr>
        <w:t>的</w:t>
      </w:r>
      <w:r>
        <w:rPr>
          <w:rFonts w:hint="eastAsia" w:ascii="仿宋_GB2312" w:hAnsi="仿宋_GB2312" w:eastAsia="仿宋_GB2312" w:cs="仿宋_GB2312"/>
          <w:color w:val="000000" w:themeColor="text1"/>
          <w:sz w:val="32"/>
          <w:szCs w:val="32"/>
          <w:lang w:eastAsia="zh-CN"/>
          <w14:textFill>
            <w14:solidFill>
              <w14:schemeClr w14:val="tx1"/>
            </w14:solidFill>
          </w14:textFill>
        </w:rPr>
        <w:t>二十</w:t>
      </w:r>
      <w:r>
        <w:rPr>
          <w:rFonts w:hint="eastAsia" w:ascii="仿宋_GB2312" w:hAnsi="仿宋_GB2312" w:eastAsia="仿宋_GB2312" w:cs="仿宋_GB2312"/>
          <w:color w:val="000000" w:themeColor="text1"/>
          <w:sz w:val="32"/>
          <w:szCs w:val="32"/>
          <w14:textFill>
            <w14:solidFill>
              <w14:schemeClr w14:val="tx1"/>
            </w14:solidFill>
          </w14:textFill>
        </w:rPr>
        <w:t>大精神，</w:t>
      </w:r>
      <w:r>
        <w:rPr>
          <w:rFonts w:hint="eastAsia" w:ascii="仿宋_GB2312" w:hAnsi="仿宋_GB2312" w:eastAsia="仿宋_GB2312" w:cs="仿宋_GB2312"/>
          <w:color w:val="000000" w:themeColor="text1"/>
          <w:sz w:val="32"/>
          <w:szCs w:val="32"/>
          <w:lang w:eastAsia="zh-CN"/>
          <w14:textFill>
            <w14:solidFill>
              <w14:schemeClr w14:val="tx1"/>
            </w14:solidFill>
          </w14:textFill>
        </w:rPr>
        <w:t>严格</w:t>
      </w:r>
      <w:r>
        <w:rPr>
          <w:rFonts w:hint="eastAsia" w:ascii="仿宋_GB2312" w:hAnsi="仿宋_GB2312" w:eastAsia="仿宋_GB2312" w:cs="仿宋_GB2312"/>
          <w:color w:val="000000" w:themeColor="text1"/>
          <w:sz w:val="32"/>
          <w:szCs w:val="32"/>
          <w14:textFill>
            <w14:solidFill>
              <w14:schemeClr w14:val="tx1"/>
            </w14:solidFill>
          </w14:textFill>
        </w:rPr>
        <w:t>落实省</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市</w:t>
      </w:r>
      <w:r>
        <w:rPr>
          <w:rFonts w:hint="eastAsia" w:ascii="仿宋_GB2312" w:hAnsi="仿宋_GB2312" w:eastAsia="仿宋_GB2312" w:cs="仿宋_GB2312"/>
          <w:color w:val="000000" w:themeColor="text1"/>
          <w:sz w:val="32"/>
          <w:szCs w:val="32"/>
          <w:lang w:eastAsia="zh-CN"/>
          <w14:textFill>
            <w14:solidFill>
              <w14:schemeClr w14:val="tx1"/>
            </w14:solidFill>
          </w14:textFill>
        </w:rPr>
        <w:t>关于安全生产行政执法工作的各项决策</w:t>
      </w:r>
      <w:r>
        <w:rPr>
          <w:rFonts w:hint="eastAsia" w:ascii="仿宋_GB2312" w:hAnsi="仿宋_GB2312" w:eastAsia="仿宋_GB2312" w:cs="仿宋_GB2312"/>
          <w:color w:val="000000" w:themeColor="text1"/>
          <w:sz w:val="32"/>
          <w:szCs w:val="32"/>
          <w14:textFill>
            <w14:solidFill>
              <w14:schemeClr w14:val="tx1"/>
            </w14:solidFill>
          </w14:textFill>
        </w:rPr>
        <w:t>部署，坚持人民至上、生命至上，</w:t>
      </w:r>
      <w:r>
        <w:rPr>
          <w:rFonts w:hint="eastAsia" w:ascii="仿宋_GB2312" w:hAnsi="仿宋_GB2312" w:eastAsia="仿宋_GB2312" w:cs="仿宋_GB2312"/>
          <w:color w:val="000000" w:themeColor="text1"/>
          <w:sz w:val="32"/>
          <w:szCs w:val="32"/>
          <w:lang w:eastAsia="zh-CN"/>
          <w14:textFill>
            <w14:solidFill>
              <w14:schemeClr w14:val="tx1"/>
            </w14:solidFill>
          </w14:textFill>
        </w:rPr>
        <w:t>牢固树立</w:t>
      </w:r>
      <w:r>
        <w:rPr>
          <w:rFonts w:hint="eastAsia" w:ascii="仿宋_GB2312" w:hAnsi="仿宋_GB2312" w:eastAsia="仿宋_GB2312" w:cs="仿宋_GB2312"/>
          <w:color w:val="000000" w:themeColor="text1"/>
          <w:sz w:val="32"/>
          <w:szCs w:val="32"/>
          <w14:textFill>
            <w14:solidFill>
              <w14:schemeClr w14:val="tx1"/>
            </w14:solidFill>
          </w14:textFill>
        </w:rPr>
        <w:t>安全发展理念，加快推进应急管理体系和能力现代化，</w:t>
      </w:r>
      <w:r>
        <w:rPr>
          <w:rFonts w:hint="eastAsia" w:ascii="仿宋_GB2312" w:hAnsi="仿宋_GB2312" w:eastAsia="仿宋_GB2312" w:cs="仿宋_GB2312"/>
          <w:color w:val="000000" w:themeColor="text1"/>
          <w:sz w:val="32"/>
          <w:szCs w:val="32"/>
          <w:lang w:eastAsia="zh-CN"/>
          <w14:textFill>
            <w14:solidFill>
              <w14:schemeClr w14:val="tx1"/>
            </w14:solidFill>
          </w14:textFill>
        </w:rPr>
        <w:t>以全面落实生产经营单位安全生产主体责任为主线，以规范和强化安全生产行政执法工作为抓手，</w:t>
      </w:r>
      <w:r>
        <w:rPr>
          <w:rFonts w:hint="eastAsia" w:ascii="仿宋_GB2312" w:hAnsi="仿宋_GB2312" w:eastAsia="仿宋_GB2312" w:cs="仿宋_GB2312"/>
          <w:color w:val="000000" w:themeColor="text1"/>
          <w:sz w:val="32"/>
          <w:szCs w:val="32"/>
          <w14:textFill>
            <w14:solidFill>
              <w14:schemeClr w14:val="tx1"/>
            </w14:solidFill>
          </w14:textFill>
        </w:rPr>
        <w:t>着力防范化解重大安全风险，健全长效</w:t>
      </w:r>
      <w:r>
        <w:rPr>
          <w:rFonts w:hint="eastAsia" w:ascii="仿宋_GB2312" w:hAnsi="仿宋_GB2312" w:eastAsia="仿宋_GB2312" w:cs="仿宋_GB2312"/>
          <w:color w:val="000000" w:themeColor="text1"/>
          <w:sz w:val="32"/>
          <w:szCs w:val="32"/>
          <w:lang w:eastAsia="zh-CN"/>
          <w14:textFill>
            <w14:solidFill>
              <w14:schemeClr w14:val="tx1"/>
            </w14:solidFill>
          </w14:textFill>
        </w:rPr>
        <w:t>监管</w:t>
      </w:r>
      <w:r>
        <w:rPr>
          <w:rFonts w:hint="eastAsia" w:ascii="仿宋_GB2312" w:hAnsi="仿宋_GB2312" w:eastAsia="仿宋_GB2312" w:cs="仿宋_GB2312"/>
          <w:color w:val="000000" w:themeColor="text1"/>
          <w:sz w:val="32"/>
          <w:szCs w:val="32"/>
          <w14:textFill>
            <w14:solidFill>
              <w14:schemeClr w14:val="tx1"/>
            </w14:solidFill>
          </w14:textFill>
        </w:rPr>
        <w:t>机制，坚决</w:t>
      </w:r>
      <w:r>
        <w:rPr>
          <w:rFonts w:hint="eastAsia" w:ascii="仿宋_GB2312" w:hAnsi="仿宋_GB2312" w:eastAsia="仿宋_GB2312" w:cs="仿宋_GB2312"/>
          <w:color w:val="000000" w:themeColor="text1"/>
          <w:sz w:val="32"/>
          <w:szCs w:val="32"/>
          <w:lang w:eastAsia="zh-CN"/>
          <w14:textFill>
            <w14:solidFill>
              <w14:schemeClr w14:val="tx1"/>
            </w14:solidFill>
          </w14:textFill>
        </w:rPr>
        <w:t>杜绝</w:t>
      </w:r>
      <w:r>
        <w:rPr>
          <w:rFonts w:hint="eastAsia" w:ascii="仿宋_GB2312" w:hAnsi="仿宋_GB2312" w:eastAsia="仿宋_GB2312" w:cs="仿宋_GB2312"/>
          <w:color w:val="000000" w:themeColor="text1"/>
          <w:sz w:val="32"/>
          <w:szCs w:val="32"/>
          <w14:textFill>
            <w14:solidFill>
              <w14:schemeClr w14:val="tx1"/>
            </w14:solidFill>
          </w14:textFill>
        </w:rPr>
        <w:t>重特大事故、</w:t>
      </w:r>
      <w:r>
        <w:rPr>
          <w:rFonts w:hint="eastAsia" w:ascii="仿宋_GB2312" w:hAnsi="仿宋_GB2312" w:eastAsia="仿宋_GB2312" w:cs="仿宋_GB2312"/>
          <w:color w:val="000000" w:themeColor="text1"/>
          <w:sz w:val="32"/>
          <w:szCs w:val="32"/>
          <w:lang w:eastAsia="zh-CN"/>
          <w14:textFill>
            <w14:solidFill>
              <w14:schemeClr w14:val="tx1"/>
            </w14:solidFill>
          </w14:textFill>
        </w:rPr>
        <w:t>遏制</w:t>
      </w:r>
      <w:r>
        <w:rPr>
          <w:rFonts w:hint="eastAsia" w:ascii="仿宋_GB2312" w:hAnsi="仿宋_GB2312" w:eastAsia="仿宋_GB2312" w:cs="仿宋_GB2312"/>
          <w:color w:val="000000" w:themeColor="text1"/>
          <w:sz w:val="32"/>
          <w:szCs w:val="32"/>
          <w14:textFill>
            <w14:solidFill>
              <w14:schemeClr w14:val="tx1"/>
            </w14:solidFill>
          </w14:textFill>
        </w:rPr>
        <w:t>较大事故、减少一般事故，</w:t>
      </w:r>
      <w:r>
        <w:rPr>
          <w:rFonts w:hint="eastAsia" w:ascii="仿宋_GB2312" w:hAnsi="仿宋_GB2312" w:eastAsia="仿宋_GB2312" w:cs="仿宋_GB2312"/>
          <w:color w:val="000000" w:themeColor="text1"/>
          <w:sz w:val="32"/>
          <w:szCs w:val="32"/>
          <w:lang w:eastAsia="zh-CN"/>
          <w14:textFill>
            <w14:solidFill>
              <w14:schemeClr w14:val="tx1"/>
            </w14:solidFill>
          </w14:textFill>
        </w:rPr>
        <w:t>切实</w:t>
      </w:r>
      <w:r>
        <w:rPr>
          <w:rFonts w:hint="eastAsia" w:ascii="仿宋_GB2312" w:hAnsi="仿宋_GB2312" w:eastAsia="仿宋_GB2312" w:cs="仿宋_GB2312"/>
          <w:color w:val="000000" w:themeColor="text1"/>
          <w:sz w:val="32"/>
          <w:szCs w:val="32"/>
          <w14:textFill>
            <w14:solidFill>
              <w14:schemeClr w14:val="tx1"/>
            </w14:solidFill>
          </w14:textFill>
        </w:rPr>
        <w:t>维护人民群众生命财产安全，</w:t>
      </w:r>
      <w:r>
        <w:rPr>
          <w:rFonts w:hint="eastAsia" w:ascii="仿宋_GB2312" w:hAnsi="仿宋_GB2312" w:eastAsia="仿宋_GB2312" w:cs="仿宋_GB2312"/>
          <w:b w:val="0"/>
          <w:bCs w:val="0"/>
          <w:color w:val="000000"/>
          <w:sz w:val="32"/>
          <w:szCs w:val="32"/>
          <w:lang w:val="en-US" w:eastAsia="zh-CN"/>
        </w:rPr>
        <w:t>为</w:t>
      </w:r>
      <w:r>
        <w:rPr>
          <w:rFonts w:hint="eastAsia" w:ascii="仿宋_GB2312" w:hAnsi="仿宋_GB2312" w:eastAsia="仿宋_GB2312" w:cs="仿宋_GB2312"/>
          <w:b w:val="0"/>
          <w:bCs w:val="0"/>
          <w:color w:val="000000"/>
          <w:sz w:val="32"/>
          <w:szCs w:val="32"/>
        </w:rPr>
        <w:t>加快建设现代化经济强县活力</w:t>
      </w:r>
      <w:r>
        <w:rPr>
          <w:rFonts w:hint="eastAsia" w:ascii="仿宋_GB2312" w:hAnsi="仿宋_GB2312" w:eastAsia="仿宋_GB2312" w:cs="仿宋_GB2312"/>
          <w:b w:val="0"/>
          <w:bCs w:val="0"/>
          <w:color w:val="000000"/>
          <w:sz w:val="32"/>
          <w:szCs w:val="32"/>
          <w:lang w:val="en-US" w:eastAsia="zh-CN"/>
        </w:rPr>
        <w:t>行唐创</w:t>
      </w:r>
      <w:r>
        <w:rPr>
          <w:rFonts w:hint="eastAsia" w:ascii="仿宋_GB2312" w:hAnsi="仿宋_GB2312" w:eastAsia="仿宋_GB2312" w:cs="仿宋_GB2312"/>
          <w:b w:val="0"/>
          <w:bCs w:val="0"/>
          <w:color w:val="000000"/>
          <w:sz w:val="32"/>
          <w:szCs w:val="32"/>
        </w:rPr>
        <w:t>造安全稳定的社会环境。</w:t>
      </w:r>
    </w:p>
    <w:p w14:paraId="73FD77F4">
      <w:pPr>
        <w:pStyle w:val="4"/>
        <w:keepNext w:val="0"/>
        <w:keepLines w:val="0"/>
        <w:pageBreakBefore w:val="0"/>
        <w:widowControl w:val="0"/>
        <w:kinsoku/>
        <w:wordWrap/>
        <w:overflowPunct/>
        <w:topLinePunct w:val="0"/>
        <w:autoSpaceDE/>
        <w:autoSpaceDN/>
        <w:bidi w:val="0"/>
        <w:adjustRightInd w:val="0"/>
        <w:snapToGrid w:val="0"/>
        <w:spacing w:before="0" w:beforeLines="0" w:beforeAutospacing="0" w:after="0" w:afterLines="0" w:afterAutospacing="0"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eastAsia" w:ascii="Times New Roman" w:hAnsi="Times New Roman" w:eastAsia="楷体_GB2312" w:cs="Times New Roman"/>
          <w:b w:val="0"/>
          <w:bCs w:val="0"/>
          <w:color w:val="000000" w:themeColor="text1"/>
          <w:sz w:val="32"/>
          <w:szCs w:val="32"/>
          <w:lang w:eastAsia="zh-CN"/>
          <w14:textFill>
            <w14:solidFill>
              <w14:schemeClr w14:val="tx1"/>
            </w14:solidFill>
          </w14:textFill>
        </w:rPr>
        <w:t>二</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）工作目标</w:t>
      </w:r>
    </w:p>
    <w:p w14:paraId="58AAA30B">
      <w:pPr>
        <w:keepNext w:val="0"/>
        <w:keepLines w:val="0"/>
        <w:pageBreakBefore w:val="0"/>
        <w:widowControl/>
        <w:suppressLineNumbers w:val="0"/>
        <w:kinsoku/>
        <w:wordWrap/>
        <w:overflowPunct/>
        <w:topLinePunct w:val="0"/>
        <w:autoSpaceDE/>
        <w:autoSpaceDN/>
        <w:bidi w:val="0"/>
        <w:adjustRightInd/>
        <w:snapToGrid/>
        <w:spacing w:line="590" w:lineRule="exact"/>
        <w:ind w:firstLine="640" w:firstLineChars="200"/>
        <w:jc w:val="left"/>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lang w:eastAsia="zh-CN"/>
        </w:rPr>
        <w:t>以深入开展</w:t>
      </w:r>
      <w:r>
        <w:rPr>
          <w:rFonts w:hint="eastAsia" w:ascii="仿宋_GB2312" w:hAnsi="仿宋_GB2312" w:eastAsia="仿宋_GB2312" w:cs="仿宋_GB2312"/>
          <w:b w:val="0"/>
          <w:bCs w:val="0"/>
          <w:i w:val="0"/>
          <w:caps w:val="0"/>
          <w:color w:val="auto"/>
          <w:spacing w:val="0"/>
          <w:kern w:val="0"/>
          <w:sz w:val="32"/>
          <w:szCs w:val="32"/>
          <w:shd w:val="clear" w:color="auto" w:fill="FFFFFF"/>
          <w:lang w:val="en-US" w:eastAsia="zh-CN" w:bidi="ar"/>
        </w:rPr>
        <w:t>规范涉企执法专项行动为契机</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i w:val="0"/>
          <w:caps w:val="0"/>
          <w:color w:val="auto"/>
          <w:spacing w:val="0"/>
          <w:kern w:val="0"/>
          <w:sz w:val="32"/>
          <w:szCs w:val="32"/>
          <w:shd w:val="clear" w:color="auto" w:fill="FFFFFF"/>
          <w:lang w:val="en-US" w:eastAsia="zh-CN" w:bidi="ar"/>
        </w:rPr>
        <w:t>以提升行政执法质量和效能为目标，不断完善安全生产行政执法工作机制，全面推进严格规范公正文明执法，强化行政执法监督，推进安全生产执法规范化建设</w:t>
      </w:r>
      <w:r>
        <w:rPr>
          <w:rFonts w:hint="eastAsia" w:ascii="仿宋_GB2312" w:hAnsi="仿宋_GB2312" w:eastAsia="仿宋_GB2312" w:cs="仿宋_GB2312"/>
          <w:color w:val="auto"/>
          <w:sz w:val="32"/>
          <w:szCs w:val="32"/>
          <w:lang w:val="en-US" w:eastAsia="zh-CN"/>
        </w:rPr>
        <w:t>，进一步提升依法行政水平。</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一是</w:t>
      </w:r>
      <w:r>
        <w:rPr>
          <w:rFonts w:hint="default" w:ascii="仿宋_GB2312" w:hAnsi="仿宋_GB2312" w:eastAsia="仿宋_GB2312" w:cs="仿宋_GB2312"/>
          <w:color w:val="000000" w:themeColor="text1"/>
          <w:sz w:val="32"/>
          <w:szCs w:val="32"/>
          <w14:textFill>
            <w14:solidFill>
              <w14:schemeClr w14:val="tx1"/>
            </w14:solidFill>
          </w14:textFill>
        </w:rPr>
        <w:t>加大对重点行业</w:t>
      </w:r>
      <w:r>
        <w:rPr>
          <w:rFonts w:hint="eastAsia" w:ascii="仿宋_GB2312" w:hAnsi="仿宋_GB2312" w:eastAsia="仿宋_GB2312" w:cs="仿宋_GB2312"/>
          <w:color w:val="000000" w:themeColor="text1"/>
          <w:sz w:val="32"/>
          <w:szCs w:val="32"/>
          <w:lang w:eastAsia="zh-CN"/>
          <w14:textFill>
            <w14:solidFill>
              <w14:schemeClr w14:val="tx1"/>
            </w14:solidFill>
          </w14:textFill>
        </w:rPr>
        <w:t>领域</w:t>
      </w:r>
      <w:r>
        <w:rPr>
          <w:rFonts w:hint="default" w:ascii="仿宋_GB2312" w:hAnsi="仿宋_GB2312" w:eastAsia="仿宋_GB2312" w:cs="仿宋_GB2312"/>
          <w:color w:val="000000" w:themeColor="text1"/>
          <w:sz w:val="32"/>
          <w:szCs w:val="32"/>
          <w14:textFill>
            <w14:solidFill>
              <w14:schemeClr w14:val="tx1"/>
            </w14:solidFill>
          </w14:textFill>
        </w:rPr>
        <w:t>、重点企业</w:t>
      </w:r>
      <w:r>
        <w:rPr>
          <w:rFonts w:hint="eastAsia" w:ascii="仿宋_GB2312" w:hAnsi="仿宋_GB2312" w:eastAsia="仿宋_GB2312" w:cs="仿宋_GB2312"/>
          <w:color w:val="000000" w:themeColor="text1"/>
          <w:sz w:val="32"/>
          <w:szCs w:val="32"/>
          <w:lang w:eastAsia="zh-CN"/>
          <w14:textFill>
            <w14:solidFill>
              <w14:schemeClr w14:val="tx1"/>
            </w14:solidFill>
          </w14:textFill>
        </w:rPr>
        <w:t>、重点生产环节的</w:t>
      </w:r>
      <w:r>
        <w:rPr>
          <w:rFonts w:hint="default" w:ascii="仿宋_GB2312" w:hAnsi="仿宋_GB2312" w:eastAsia="仿宋_GB2312" w:cs="仿宋_GB2312"/>
          <w:color w:val="000000" w:themeColor="text1"/>
          <w:sz w:val="32"/>
          <w:szCs w:val="32"/>
          <w14:textFill>
            <w14:solidFill>
              <w14:schemeClr w14:val="tx1"/>
            </w14:solidFill>
          </w14:textFill>
        </w:rPr>
        <w:t>执法力度，</w:t>
      </w:r>
      <w:r>
        <w:rPr>
          <w:rFonts w:hint="eastAsia" w:ascii="仿宋_GB2312" w:hAnsi="仿宋_GB2312" w:eastAsia="仿宋_GB2312" w:cs="仿宋_GB2312"/>
          <w:color w:val="000000" w:themeColor="text1"/>
          <w:sz w:val="32"/>
          <w:szCs w:val="32"/>
          <w:lang w:eastAsia="zh-CN"/>
          <w14:textFill>
            <w14:solidFill>
              <w14:schemeClr w14:val="tx1"/>
            </w14:solidFill>
          </w14:textFill>
        </w:rPr>
        <w:t>确保隐患</w:t>
      </w:r>
      <w:r>
        <w:rPr>
          <w:rFonts w:hint="default" w:ascii="仿宋_GB2312" w:hAnsi="仿宋_GB2312" w:eastAsia="仿宋_GB2312" w:cs="仿宋_GB2312"/>
          <w:color w:val="000000" w:themeColor="text1"/>
          <w:sz w:val="32"/>
          <w:szCs w:val="32"/>
          <w14:textFill>
            <w14:solidFill>
              <w14:schemeClr w14:val="tx1"/>
            </w14:solidFill>
          </w14:textFill>
        </w:rPr>
        <w:t>问题查处和整改措施落实到位，</w:t>
      </w:r>
      <w:r>
        <w:rPr>
          <w:rFonts w:hint="eastAsia" w:ascii="仿宋_GB2312" w:hAnsi="仿宋_GB2312" w:eastAsia="仿宋_GB2312" w:cs="仿宋_GB2312"/>
          <w:color w:val="000000" w:themeColor="text1"/>
          <w:sz w:val="32"/>
          <w:szCs w:val="32"/>
          <w:lang w:eastAsia="zh-CN"/>
          <w14:textFill>
            <w14:solidFill>
              <w14:schemeClr w14:val="tx1"/>
            </w14:solidFill>
          </w14:textFill>
        </w:rPr>
        <w:t>切实消除事故隐患，</w:t>
      </w:r>
      <w:r>
        <w:rPr>
          <w:rFonts w:hint="default" w:ascii="仿宋_GB2312" w:hAnsi="仿宋_GB2312" w:eastAsia="仿宋_GB2312" w:cs="仿宋_GB2312"/>
          <w:color w:val="000000" w:themeColor="text1"/>
          <w:sz w:val="32"/>
          <w:szCs w:val="32"/>
          <w14:textFill>
            <w14:solidFill>
              <w14:schemeClr w14:val="tx1"/>
            </w14:solidFill>
          </w14:textFill>
        </w:rPr>
        <w:t>提升企业安全管理水平。</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二</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是</w:t>
      </w:r>
      <w:r>
        <w:rPr>
          <w:rFonts w:hint="default" w:ascii="仿宋_GB2312" w:hAnsi="仿宋_GB2312" w:eastAsia="仿宋_GB2312" w:cs="仿宋_GB2312"/>
          <w:color w:val="000000" w:themeColor="text1"/>
          <w:sz w:val="32"/>
          <w:szCs w:val="32"/>
          <w14:textFill>
            <w14:solidFill>
              <w14:schemeClr w14:val="tx1"/>
            </w14:solidFill>
          </w14:textFill>
        </w:rPr>
        <w:t>推进</w:t>
      </w:r>
      <w:r>
        <w:rPr>
          <w:rFonts w:hint="eastAsia" w:ascii="仿宋_GB2312" w:hAnsi="仿宋_GB2312" w:eastAsia="仿宋_GB2312" w:cs="仿宋_GB2312"/>
          <w:color w:val="000000" w:themeColor="text1"/>
          <w:sz w:val="32"/>
          <w:szCs w:val="32"/>
          <w:lang w:eastAsia="zh-CN"/>
          <w14:textFill>
            <w14:solidFill>
              <w14:schemeClr w14:val="tx1"/>
            </w14:solidFill>
          </w14:textFill>
        </w:rPr>
        <w:t>安全生产</w:t>
      </w:r>
      <w:r>
        <w:rPr>
          <w:rFonts w:hint="default" w:ascii="仿宋_GB2312" w:hAnsi="仿宋_GB2312" w:eastAsia="仿宋_GB2312" w:cs="仿宋_GB2312"/>
          <w:color w:val="000000" w:themeColor="text1"/>
          <w:sz w:val="32"/>
          <w:szCs w:val="32"/>
          <w14:textFill>
            <w14:solidFill>
              <w14:schemeClr w14:val="tx1"/>
            </w14:solidFill>
          </w14:textFill>
        </w:rPr>
        <w:t>执法</w:t>
      </w:r>
      <w:r>
        <w:rPr>
          <w:rFonts w:hint="eastAsia" w:ascii="仿宋_GB2312" w:hAnsi="仿宋_GB2312" w:eastAsia="仿宋_GB2312" w:cs="仿宋_GB2312"/>
          <w:color w:val="000000" w:themeColor="text1"/>
          <w:sz w:val="32"/>
          <w:szCs w:val="32"/>
          <w:lang w:eastAsia="zh-CN"/>
          <w14:textFill>
            <w14:solidFill>
              <w14:schemeClr w14:val="tx1"/>
            </w14:solidFill>
          </w14:textFill>
        </w:rPr>
        <w:t>规范</w:t>
      </w:r>
      <w:r>
        <w:rPr>
          <w:rFonts w:hint="default" w:ascii="仿宋_GB2312" w:hAnsi="仿宋_GB2312" w:eastAsia="仿宋_GB2312" w:cs="仿宋_GB2312"/>
          <w:color w:val="000000" w:themeColor="text1"/>
          <w:sz w:val="32"/>
          <w:szCs w:val="32"/>
          <w14:textFill>
            <w14:solidFill>
              <w14:schemeClr w14:val="tx1"/>
            </w14:solidFill>
          </w14:textFill>
        </w:rPr>
        <w:t>化</w:t>
      </w:r>
      <w:r>
        <w:rPr>
          <w:rFonts w:hint="eastAsia" w:ascii="仿宋_GB2312" w:hAnsi="仿宋_GB2312" w:eastAsia="仿宋_GB2312" w:cs="仿宋_GB2312"/>
          <w:color w:val="000000" w:themeColor="text1"/>
          <w:sz w:val="32"/>
          <w:szCs w:val="32"/>
          <w:lang w:eastAsia="zh-CN"/>
          <w14:textFill>
            <w14:solidFill>
              <w14:schemeClr w14:val="tx1"/>
            </w14:solidFill>
          </w14:textFill>
        </w:rPr>
        <w:t>建设</w:t>
      </w:r>
      <w:r>
        <w:rPr>
          <w:rFonts w:hint="default"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完善执法制度，</w:t>
      </w:r>
      <w:r>
        <w:rPr>
          <w:rFonts w:hint="default" w:ascii="仿宋_GB2312" w:hAnsi="仿宋_GB2312" w:eastAsia="仿宋_GB2312" w:cs="仿宋_GB2312"/>
          <w:color w:val="000000" w:themeColor="text1"/>
          <w:sz w:val="32"/>
          <w:szCs w:val="32"/>
          <w14:textFill>
            <w14:solidFill>
              <w14:schemeClr w14:val="tx1"/>
            </w14:solidFill>
          </w14:textFill>
        </w:rPr>
        <w:t>严格执法程序，规范执法行为，</w:t>
      </w:r>
      <w:r>
        <w:rPr>
          <w:rFonts w:hint="eastAsia" w:ascii="仿宋_GB2312" w:hAnsi="仿宋_GB2312" w:eastAsia="仿宋_GB2312" w:cs="仿宋_GB2312"/>
          <w:color w:val="000000" w:themeColor="text1"/>
          <w:sz w:val="32"/>
          <w:szCs w:val="32"/>
          <w:lang w:eastAsia="zh-CN"/>
          <w14:textFill>
            <w14:solidFill>
              <w14:schemeClr w14:val="tx1"/>
            </w14:solidFill>
          </w14:textFill>
        </w:rPr>
        <w:t>强化执法监督，确保每一起执法案件做到违法事实清楚、证据确实充分、法律适用准确、执法程序合法、自由裁量适当。</w:t>
      </w:r>
      <w:r>
        <w:rPr>
          <w:rFonts w:hint="eastAsia" w:ascii="仿宋_GB2312" w:hAnsi="仿宋_GB2312" w:eastAsia="仿宋_GB2312" w:cs="仿宋_GB2312"/>
          <w:b/>
          <w:bCs/>
          <w:i w:val="0"/>
          <w:caps w:val="0"/>
          <w:color w:val="auto"/>
          <w:spacing w:val="0"/>
          <w:sz w:val="32"/>
          <w:szCs w:val="32"/>
          <w:shd w:val="clear" w:color="auto" w:fill="FFFFFF"/>
          <w:lang w:eastAsia="zh-CN"/>
        </w:rPr>
        <w:t>三是</w:t>
      </w:r>
      <w:r>
        <w:rPr>
          <w:rFonts w:hint="eastAsia" w:ascii="仿宋_GB2312" w:hAnsi="仿宋_GB2312" w:eastAsia="仿宋_GB2312" w:cs="仿宋_GB2312"/>
          <w:b w:val="0"/>
          <w:bCs w:val="0"/>
          <w:color w:val="auto"/>
          <w:sz w:val="32"/>
          <w:szCs w:val="32"/>
          <w:lang w:eastAsia="zh-CN"/>
        </w:rPr>
        <w:t>推进</w:t>
      </w:r>
      <w:r>
        <w:rPr>
          <w:rFonts w:hint="eastAsia" w:ascii="仿宋_GB2312" w:hAnsi="仿宋_GB2312" w:eastAsia="仿宋_GB2312" w:cs="仿宋_GB2312"/>
          <w:color w:val="auto"/>
          <w:sz w:val="32"/>
          <w:szCs w:val="32"/>
          <w:lang w:eastAsia="zh-CN"/>
        </w:rPr>
        <w:t>和完善执法信息化建设，适时开展相关应用培训，督促执法人员通过部“互联网</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color w:val="auto"/>
          <w:sz w:val="32"/>
          <w:szCs w:val="32"/>
          <w:lang w:eastAsia="zh-CN"/>
        </w:rPr>
        <w:t>执法”和省“互联网</w:t>
      </w:r>
      <w:r>
        <w:rPr>
          <w:rFonts w:hint="eastAsia" w:ascii="仿宋_GB2312" w:hAnsi="仿宋_GB2312" w:eastAsia="仿宋_GB2312" w:cs="仿宋_GB2312"/>
          <w:color w:val="auto"/>
          <w:sz w:val="32"/>
          <w:szCs w:val="32"/>
          <w:lang w:val="en-US" w:eastAsia="zh-CN"/>
        </w:rPr>
        <w:t>+安全生产</w:t>
      </w:r>
      <w:r>
        <w:rPr>
          <w:rFonts w:hint="eastAsia" w:ascii="仿宋_GB2312" w:hAnsi="仿宋_GB2312" w:eastAsia="仿宋_GB2312" w:cs="仿宋_GB2312"/>
          <w:color w:val="auto"/>
          <w:sz w:val="32"/>
          <w:szCs w:val="32"/>
          <w:lang w:eastAsia="zh-CN"/>
        </w:rPr>
        <w:t>”系统开展执法工作，按要求填报相关执法信息，提高执法效率。</w:t>
      </w:r>
      <w:r>
        <w:rPr>
          <w:rFonts w:hint="eastAsia" w:ascii="仿宋_GB2312" w:hAnsi="仿宋_GB2312" w:eastAsia="仿宋_GB2312" w:cs="仿宋_GB2312"/>
          <w:b/>
          <w:bCs/>
          <w:i w:val="0"/>
          <w:caps w:val="0"/>
          <w:color w:val="auto"/>
          <w:spacing w:val="0"/>
          <w:sz w:val="32"/>
          <w:szCs w:val="32"/>
          <w:shd w:val="clear" w:color="auto" w:fill="FFFFFF"/>
          <w:lang w:val="en-US" w:eastAsia="zh-CN"/>
        </w:rPr>
        <w:t>四</w:t>
      </w:r>
      <w:r>
        <w:rPr>
          <w:rFonts w:hint="eastAsia" w:ascii="仿宋_GB2312" w:hAnsi="仿宋_GB2312" w:eastAsia="仿宋_GB2312" w:cs="仿宋_GB2312"/>
          <w:b/>
          <w:bCs/>
          <w:i w:val="0"/>
          <w:caps w:val="0"/>
          <w:color w:val="auto"/>
          <w:spacing w:val="0"/>
          <w:sz w:val="32"/>
          <w:szCs w:val="32"/>
          <w:shd w:val="clear" w:color="auto" w:fill="FFFFFF"/>
          <w:lang w:eastAsia="zh-CN"/>
        </w:rPr>
        <w:t>是</w:t>
      </w:r>
      <w:r>
        <w:rPr>
          <w:rFonts w:hint="eastAsia" w:ascii="仿宋_GB2312" w:hAnsi="仿宋_GB2312" w:eastAsia="仿宋_GB2312" w:cs="仿宋_GB2312"/>
          <w:b w:val="0"/>
          <w:bCs w:val="0"/>
          <w:color w:val="auto"/>
          <w:sz w:val="32"/>
          <w:szCs w:val="32"/>
          <w:lang w:eastAsia="zh-CN"/>
        </w:rPr>
        <w:t>加大执法力度、明确执法责任，</w:t>
      </w:r>
      <w:r>
        <w:rPr>
          <w:rFonts w:hint="eastAsia" w:ascii="仿宋_GB2312" w:hAnsi="仿宋_GB2312" w:eastAsia="仿宋_GB2312" w:cs="仿宋_GB2312"/>
          <w:color w:val="auto"/>
          <w:sz w:val="32"/>
          <w:szCs w:val="32"/>
          <w:lang w:val="en-US" w:eastAsia="zh-CN"/>
        </w:rPr>
        <w:t>合理确定检查频次，按</w:t>
      </w:r>
      <w:r>
        <w:rPr>
          <w:rFonts w:hint="eastAsia" w:ascii="仿宋_GB2312" w:hAnsi="仿宋_GB2312" w:eastAsia="仿宋_GB2312" w:cs="仿宋_GB2312"/>
          <w:b w:val="0"/>
          <w:bCs w:val="0"/>
          <w:color w:val="auto"/>
          <w:sz w:val="32"/>
          <w:szCs w:val="32"/>
          <w:lang w:eastAsia="zh-CN"/>
        </w:rPr>
        <w:t>计划开展监督检查</w:t>
      </w:r>
      <w:r>
        <w:rPr>
          <w:rFonts w:hint="eastAsia" w:ascii="仿宋_GB2312" w:hAnsi="仿宋_GB2312" w:eastAsia="仿宋_GB2312" w:cs="仿宋_GB2312"/>
          <w:color w:val="auto"/>
          <w:sz w:val="32"/>
          <w:szCs w:val="32"/>
          <w:lang w:val="en-US" w:eastAsia="zh-CN"/>
        </w:rPr>
        <w:t>，严格落实“扫码入企”制度，杜绝随意检查</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lang w:eastAsia="zh-CN"/>
        </w:rPr>
        <w:t>实现市县两级安全生产监督检查计划内生产经营单位执法检查覆盖率、问题隐患整改率、违法行为查处率达到</w:t>
      </w:r>
      <w:r>
        <w:rPr>
          <w:rFonts w:hint="eastAsia" w:ascii="仿宋_GB2312" w:hAnsi="仿宋_GB2312" w:eastAsia="仿宋_GB2312" w:cs="仿宋_GB2312"/>
          <w:b w:val="0"/>
          <w:bCs w:val="0"/>
          <w:color w:val="auto"/>
          <w:sz w:val="32"/>
          <w:szCs w:val="32"/>
          <w:lang w:val="en-US" w:eastAsia="zh-CN"/>
        </w:rPr>
        <w:t>100%。</w:t>
      </w:r>
    </w:p>
    <w:p w14:paraId="7959461C">
      <w:pPr>
        <w:keepNext w:val="0"/>
        <w:keepLines w:val="0"/>
        <w:pageBreakBefore w:val="0"/>
        <w:widowControl w:val="0"/>
        <w:numPr>
          <w:ilvl w:val="0"/>
          <w:numId w:val="1"/>
        </w:numPr>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主要任务</w:t>
      </w:r>
    </w:p>
    <w:p w14:paraId="0F654CD4">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3" w:firstLineChars="200"/>
        <w:jc w:val="both"/>
        <w:textAlignment w:val="auto"/>
        <w:rPr>
          <w:rFonts w:hint="default"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b/>
          <w:bCs/>
          <w:color w:val="000000"/>
          <w:sz w:val="32"/>
          <w:szCs w:val="32"/>
          <w:lang w:eastAsia="zh-CN"/>
        </w:rPr>
        <w:t>一是</w:t>
      </w:r>
      <w:r>
        <w:rPr>
          <w:rFonts w:hint="eastAsia" w:ascii="仿宋_GB2312" w:hAnsi="仿宋_GB2312" w:eastAsia="仿宋_GB2312" w:cs="仿宋_GB2312"/>
          <w:color w:val="000000" w:themeColor="text1"/>
          <w:sz w:val="32"/>
          <w:szCs w:val="32"/>
          <w:lang w:eastAsia="zh-CN"/>
          <w14:textFill>
            <w14:solidFill>
              <w14:schemeClr w14:val="tx1"/>
            </w14:solidFill>
          </w14:textFill>
        </w:rPr>
        <w:t>扎实开展日常监督检查。</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以</w:t>
      </w:r>
      <w:r>
        <w:rPr>
          <w:rFonts w:hint="eastAsia" w:ascii="仿宋_GB2312" w:hAnsi="仿宋_GB2312" w:eastAsia="仿宋_GB2312" w:cs="仿宋_GB2312"/>
          <w:color w:val="000000" w:themeColor="text1"/>
          <w:sz w:val="32"/>
          <w:szCs w:val="32"/>
          <w:lang w:eastAsia="zh-CN"/>
          <w14:textFill>
            <w14:solidFill>
              <w14:schemeClr w14:val="tx1"/>
            </w14:solidFill>
          </w14:textFill>
        </w:rPr>
        <w:t>安全生产风险高、事故易发多发的行业领域为重点，扎实开展日常监督检查，强化对重点企业、重点环节、重点事项、双控机制建设及重大事故隐患的执法检查力度，严查各类违法违规行为，对严重违法行为、屡教不改的单位和个人依法实施行政处罚，督促企业负责人认真履职，保证企业安全投入，提升本质安全水平，全面落实安全生产主体责任。</w:t>
      </w:r>
      <w:r>
        <w:rPr>
          <w:rFonts w:hint="eastAsia" w:ascii="仿宋_GB2312" w:hAnsi="仿宋_GB2312" w:eastAsia="仿宋_GB2312" w:cs="仿宋_GB2312"/>
          <w:b/>
          <w:bCs/>
          <w:color w:val="000000"/>
          <w:sz w:val="32"/>
          <w:szCs w:val="32"/>
          <w:lang w:eastAsia="zh-CN"/>
        </w:rPr>
        <w:t>二是</w:t>
      </w:r>
      <w:r>
        <w:rPr>
          <w:rFonts w:hint="eastAsia" w:ascii="仿宋_GB2312" w:hAnsi="仿宋_GB2312" w:eastAsia="仿宋_GB2312" w:cs="仿宋_GB2312"/>
          <w:color w:val="000000" w:themeColor="text1"/>
          <w:sz w:val="32"/>
          <w:szCs w:val="32"/>
          <w:lang w:eastAsia="zh-CN"/>
          <w14:textFill>
            <w14:solidFill>
              <w14:schemeClr w14:val="tx1"/>
            </w14:solidFill>
          </w14:textFill>
        </w:rPr>
        <w:t>适时开展重点时段集中执法检查。</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围绕查大风险、除大隐患、防大事故，在</w:t>
      </w:r>
      <w:r>
        <w:rPr>
          <w:rFonts w:hint="eastAsia" w:ascii="仿宋_GB2312" w:hAnsi="仿宋_GB2312" w:eastAsia="仿宋_GB2312" w:cs="仿宋_GB2312"/>
          <w:color w:val="000000" w:themeColor="text1"/>
          <w:sz w:val="32"/>
          <w:szCs w:val="32"/>
          <w:lang w:eastAsia="zh-CN"/>
          <w14:textFill>
            <w14:solidFill>
              <w14:schemeClr w14:val="tx1"/>
            </w14:solidFill>
          </w14:textFill>
        </w:rPr>
        <w:t>元旦、春节、两会、五一、暑汛期、国庆等特殊时段，</w:t>
      </w:r>
      <w:r>
        <w:rPr>
          <w:rFonts w:hint="eastAsia" w:ascii="仿宋_GB2312" w:hAnsi="仿宋_GB2312" w:eastAsia="仿宋_GB2312" w:cs="仿宋_GB2312"/>
          <w:color w:val="auto"/>
          <w:sz w:val="32"/>
          <w:szCs w:val="32"/>
          <w:lang w:eastAsia="zh-CN"/>
        </w:rPr>
        <w:t>精心组织策划集中执法、“双随机”抽查执法、暗查暗访等执法行动，</w:t>
      </w:r>
      <w:r>
        <w:rPr>
          <w:rFonts w:hint="eastAsia" w:ascii="仿宋_GB2312" w:hAnsi="仿宋_GB2312" w:eastAsia="仿宋_GB2312" w:cs="仿宋_GB2312"/>
          <w:color w:val="000000" w:themeColor="text1"/>
          <w:sz w:val="32"/>
          <w:szCs w:val="32"/>
          <w:lang w:eastAsia="zh-CN"/>
          <w14:textFill>
            <w14:solidFill>
              <w14:schemeClr w14:val="tx1"/>
            </w14:solidFill>
          </w14:textFill>
        </w:rPr>
        <w:t>严防各类事故发生，确保社会安全稳定。</w:t>
      </w:r>
      <w:r>
        <w:rPr>
          <w:rFonts w:hint="eastAsia" w:ascii="仿宋_GB2312" w:hAnsi="仿宋_GB2312" w:eastAsia="仿宋_GB2312" w:cs="仿宋_GB2312"/>
          <w:b/>
          <w:bCs/>
          <w:color w:val="000000"/>
          <w:sz w:val="32"/>
          <w:szCs w:val="32"/>
          <w:lang w:eastAsia="zh-CN"/>
        </w:rPr>
        <w:t>三是</w:t>
      </w:r>
      <w:r>
        <w:rPr>
          <w:rFonts w:hint="eastAsia" w:ascii="仿宋_GB2312" w:hAnsi="仿宋_GB2312" w:eastAsia="仿宋_GB2312" w:cs="仿宋_GB2312"/>
          <w:b w:val="0"/>
          <w:bCs w:val="0"/>
          <w:color w:val="000000"/>
          <w:sz w:val="32"/>
          <w:szCs w:val="32"/>
          <w:lang w:eastAsia="zh-CN"/>
        </w:rPr>
        <w:t>扎实推进执法规范化建设</w:t>
      </w:r>
      <w:r>
        <w:rPr>
          <w:rFonts w:hint="eastAsia" w:ascii="仿宋_GB2312" w:hAnsi="仿宋_GB2312" w:eastAsia="仿宋_GB2312" w:cs="仿宋_GB2312"/>
          <w:b/>
          <w:bCs/>
          <w:color w:val="000000"/>
          <w:sz w:val="32"/>
          <w:szCs w:val="32"/>
          <w:lang w:eastAsia="zh-CN"/>
        </w:rPr>
        <w:t>，</w:t>
      </w:r>
      <w:r>
        <w:rPr>
          <w:rFonts w:hint="eastAsia" w:ascii="仿宋_GB2312" w:hAnsi="仿宋_GB2312" w:eastAsia="仿宋_GB2312" w:cs="仿宋_GB2312"/>
          <w:b w:val="0"/>
          <w:bCs w:val="0"/>
          <w:color w:val="000000"/>
          <w:sz w:val="32"/>
          <w:szCs w:val="32"/>
          <w:lang w:eastAsia="zh-CN"/>
        </w:rPr>
        <w:t>严格执行行政执法公示、全过程记录和重大执法决定法制审核等三项制度，</w:t>
      </w:r>
      <w:r>
        <w:rPr>
          <w:rFonts w:hint="eastAsia" w:ascii="仿宋_GB2312" w:hAnsi="仿宋_GB2312" w:eastAsia="仿宋_GB2312" w:cs="仿宋_GB2312"/>
          <w:color w:val="auto"/>
          <w:sz w:val="32"/>
          <w:szCs w:val="32"/>
          <w:lang w:eastAsia="zh-CN"/>
        </w:rPr>
        <w:t>严格落实</w:t>
      </w:r>
      <w:r>
        <w:rPr>
          <w:rFonts w:hint="eastAsia" w:ascii="仿宋_GB2312" w:hAnsi="仿宋_GB2312" w:eastAsia="仿宋_GB2312" w:cs="仿宋_GB2312"/>
          <w:color w:val="auto"/>
          <w:sz w:val="32"/>
          <w:szCs w:val="32"/>
          <w:lang w:val="en-US" w:eastAsia="zh-CN"/>
        </w:rPr>
        <w:t>《关于严格规范涉企行政检查的意见》有关要求，合理设置检查频度，妥善把握检查力度，着力提升检查精准度，</w:t>
      </w:r>
      <w:r>
        <w:rPr>
          <w:rFonts w:hint="eastAsia" w:ascii="仿宋_GB2312" w:hAnsi="仿宋_GB2312" w:eastAsia="仿宋_GB2312" w:cs="仿宋_GB2312"/>
          <w:b w:val="0"/>
          <w:bCs w:val="0"/>
          <w:color w:val="000000"/>
          <w:sz w:val="32"/>
          <w:szCs w:val="32"/>
          <w:lang w:eastAsia="zh-CN"/>
        </w:rPr>
        <w:t>形成全系统严格公正规范文明执法的良好工作局面。</w:t>
      </w:r>
      <w:r>
        <w:rPr>
          <w:rFonts w:hint="eastAsia" w:ascii="Times New Roman" w:hAnsi="Times New Roman" w:eastAsia="仿宋_GB2312" w:cs="Times New Roman"/>
          <w:b/>
          <w:bCs/>
          <w:color w:val="000000"/>
          <w:sz w:val="32"/>
          <w:szCs w:val="32"/>
          <w:lang w:eastAsia="zh-CN"/>
        </w:rPr>
        <w:t>四是</w:t>
      </w:r>
      <w:r>
        <w:rPr>
          <w:rFonts w:hint="default" w:ascii="仿宋_GB2312" w:hAnsi="仿宋_GB2312" w:eastAsia="仿宋_GB2312" w:cs="仿宋_GB2312"/>
          <w:b w:val="0"/>
          <w:bCs w:val="0"/>
          <w:color w:val="000000"/>
          <w:sz w:val="32"/>
          <w:szCs w:val="32"/>
          <w:lang w:eastAsia="zh-CN"/>
        </w:rPr>
        <w:t>配合</w:t>
      </w:r>
      <w:r>
        <w:rPr>
          <w:rFonts w:hint="eastAsia" w:ascii="仿宋_GB2312" w:hAnsi="仿宋_GB2312" w:eastAsia="仿宋_GB2312" w:cs="仿宋_GB2312"/>
          <w:b w:val="0"/>
          <w:bCs w:val="0"/>
          <w:color w:val="000000"/>
          <w:sz w:val="32"/>
          <w:szCs w:val="32"/>
          <w:lang w:val="en-US" w:eastAsia="zh-CN"/>
        </w:rPr>
        <w:t>市</w:t>
      </w:r>
      <w:r>
        <w:rPr>
          <w:rFonts w:hint="eastAsia" w:ascii="仿宋_GB2312" w:hAnsi="仿宋_GB2312" w:eastAsia="仿宋_GB2312" w:cs="仿宋_GB2312"/>
          <w:b w:val="0"/>
          <w:bCs w:val="0"/>
          <w:color w:val="000000"/>
          <w:sz w:val="32"/>
          <w:szCs w:val="32"/>
          <w:lang w:eastAsia="zh-CN"/>
        </w:rPr>
        <w:t>应急管理</w:t>
      </w:r>
      <w:r>
        <w:rPr>
          <w:rFonts w:hint="eastAsia" w:ascii="仿宋_GB2312" w:hAnsi="仿宋_GB2312" w:eastAsia="仿宋_GB2312" w:cs="仿宋_GB2312"/>
          <w:b w:val="0"/>
          <w:bCs w:val="0"/>
          <w:color w:val="000000"/>
          <w:sz w:val="32"/>
          <w:szCs w:val="32"/>
          <w:lang w:val="en-US" w:eastAsia="zh-CN"/>
        </w:rPr>
        <w:t>局</w:t>
      </w:r>
      <w:r>
        <w:rPr>
          <w:rFonts w:hint="default" w:ascii="仿宋_GB2312" w:hAnsi="仿宋_GB2312" w:eastAsia="仿宋_GB2312" w:cs="仿宋_GB2312"/>
          <w:b w:val="0"/>
          <w:bCs w:val="0"/>
          <w:color w:val="000000"/>
          <w:sz w:val="32"/>
          <w:szCs w:val="32"/>
          <w:lang w:eastAsia="zh-CN"/>
        </w:rPr>
        <w:t>开展监督检查并完成上级交办的</w:t>
      </w:r>
      <w:r>
        <w:rPr>
          <w:rFonts w:hint="eastAsia" w:ascii="仿宋_GB2312" w:hAnsi="仿宋_GB2312" w:eastAsia="仿宋_GB2312" w:cs="仿宋_GB2312"/>
          <w:b w:val="0"/>
          <w:bCs w:val="0"/>
          <w:color w:val="000000"/>
          <w:sz w:val="32"/>
          <w:szCs w:val="32"/>
          <w:lang w:eastAsia="zh-CN"/>
        </w:rPr>
        <w:t>其它执法</w:t>
      </w:r>
      <w:r>
        <w:rPr>
          <w:rFonts w:hint="default" w:ascii="仿宋_GB2312" w:hAnsi="仿宋_GB2312" w:eastAsia="仿宋_GB2312" w:cs="仿宋_GB2312"/>
          <w:b w:val="0"/>
          <w:bCs w:val="0"/>
          <w:color w:val="000000"/>
          <w:sz w:val="32"/>
          <w:szCs w:val="32"/>
          <w:lang w:eastAsia="zh-CN"/>
        </w:rPr>
        <w:t>检查任务。</w:t>
      </w:r>
      <w:r>
        <w:rPr>
          <w:rFonts w:hint="eastAsia" w:ascii="仿宋_GB2312" w:hAnsi="仿宋_GB2312" w:eastAsia="仿宋_GB2312" w:cs="仿宋_GB2312"/>
          <w:b/>
          <w:bCs/>
          <w:color w:val="000000"/>
          <w:sz w:val="32"/>
          <w:szCs w:val="32"/>
          <w:lang w:val="en-US" w:eastAsia="zh-CN"/>
        </w:rPr>
        <w:t>五</w:t>
      </w:r>
      <w:r>
        <w:rPr>
          <w:rFonts w:hint="eastAsia" w:ascii="仿宋_GB2312" w:hAnsi="仿宋_GB2312" w:eastAsia="仿宋_GB2312" w:cs="仿宋_GB2312"/>
          <w:b/>
          <w:bCs/>
          <w:color w:val="auto"/>
          <w:sz w:val="32"/>
          <w:szCs w:val="32"/>
          <w:lang w:eastAsia="zh-CN"/>
        </w:rPr>
        <w:t>是</w:t>
      </w:r>
      <w:r>
        <w:rPr>
          <w:rFonts w:hint="eastAsia" w:ascii="Times New Roman" w:hAnsi="Times New Roman" w:eastAsia="仿宋_GB2312" w:cs="Times New Roman"/>
          <w:b w:val="0"/>
          <w:bCs w:val="0"/>
          <w:color w:val="auto"/>
          <w:sz w:val="32"/>
          <w:szCs w:val="32"/>
          <w:lang w:eastAsia="zh-CN"/>
        </w:rPr>
        <w:t>认真做好全</w:t>
      </w:r>
      <w:r>
        <w:rPr>
          <w:rFonts w:hint="eastAsia" w:ascii="Times New Roman" w:hAnsi="Times New Roman" w:eastAsia="仿宋_GB2312" w:cs="Times New Roman"/>
          <w:b w:val="0"/>
          <w:bCs w:val="0"/>
          <w:color w:val="auto"/>
          <w:sz w:val="32"/>
          <w:szCs w:val="32"/>
          <w:lang w:val="en-US" w:eastAsia="zh-CN"/>
        </w:rPr>
        <w:t>县</w:t>
      </w:r>
      <w:r>
        <w:rPr>
          <w:rFonts w:hint="eastAsia" w:ascii="Times New Roman" w:hAnsi="Times New Roman" w:eastAsia="仿宋_GB2312" w:cs="Times New Roman"/>
          <w:b w:val="0"/>
          <w:bCs w:val="0"/>
          <w:color w:val="auto"/>
          <w:sz w:val="32"/>
          <w:szCs w:val="32"/>
          <w:lang w:eastAsia="zh-CN"/>
        </w:rPr>
        <w:t>执法质量统计报送、执法案例审核上报、“</w:t>
      </w:r>
      <w:r>
        <w:rPr>
          <w:rFonts w:hint="eastAsia" w:ascii="仿宋_GB2312" w:hAnsi="仿宋_GB2312" w:eastAsia="仿宋_GB2312" w:cs="仿宋_GB2312"/>
          <w:b w:val="0"/>
          <w:bCs w:val="0"/>
          <w:color w:val="auto"/>
          <w:sz w:val="32"/>
          <w:szCs w:val="32"/>
          <w:lang w:eastAsia="zh-CN"/>
        </w:rPr>
        <w:t>互联网</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eastAsia="zh-CN"/>
        </w:rPr>
        <w:t>执法</w:t>
      </w:r>
      <w:r>
        <w:rPr>
          <w:rFonts w:hint="eastAsia" w:ascii="Times New Roman" w:hAnsi="Times New Roman" w:eastAsia="仿宋_GB2312" w:cs="Times New Roman"/>
          <w:b w:val="0"/>
          <w:bCs w:val="0"/>
          <w:color w:val="auto"/>
          <w:sz w:val="32"/>
          <w:szCs w:val="32"/>
          <w:lang w:eastAsia="zh-CN"/>
        </w:rPr>
        <w:t>”应用等工作。</w:t>
      </w:r>
    </w:p>
    <w:p w14:paraId="4FA6EDE7">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二、行政执法人员数量和执法工作日测算</w:t>
      </w:r>
    </w:p>
    <w:p w14:paraId="0AEEFF43">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Times New Roman" w:hAnsi="Times New Roman" w:eastAsia="楷体_GB2312" w:cs="Times New Roman"/>
          <w:b w:val="0"/>
          <w:bCs w:val="0"/>
          <w:color w:val="000000" w:themeColor="text1"/>
          <w:sz w:val="32"/>
          <w:szCs w:val="32"/>
          <w:lang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（一）</w:t>
      </w:r>
      <w:r>
        <w:rPr>
          <w:rFonts w:hint="eastAsia" w:ascii="Times New Roman" w:hAnsi="Times New Roman" w:eastAsia="楷体_GB2312" w:cs="Times New Roman"/>
          <w:b w:val="0"/>
          <w:bCs w:val="0"/>
          <w:color w:val="000000" w:themeColor="text1"/>
          <w:sz w:val="32"/>
          <w:szCs w:val="32"/>
          <w:lang w:eastAsia="zh-CN"/>
          <w14:textFill>
            <w14:solidFill>
              <w14:schemeClr w14:val="tx1"/>
            </w14:solidFill>
          </w14:textFill>
        </w:rPr>
        <w:t>执法</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人员</w:t>
      </w:r>
      <w:r>
        <w:rPr>
          <w:rFonts w:hint="eastAsia" w:ascii="Times New Roman" w:hAnsi="Times New Roman" w:eastAsia="楷体_GB2312" w:cs="Times New Roman"/>
          <w:b w:val="0"/>
          <w:bCs w:val="0"/>
          <w:color w:val="000000" w:themeColor="text1"/>
          <w:sz w:val="32"/>
          <w:szCs w:val="32"/>
          <w:lang w:eastAsia="zh-CN"/>
          <w14:textFill>
            <w14:solidFill>
              <w14:schemeClr w14:val="tx1"/>
            </w14:solidFill>
          </w14:textFill>
        </w:rPr>
        <w:t>数量</w:t>
      </w:r>
    </w:p>
    <w:p w14:paraId="56B307AE">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目前，</w:t>
      </w:r>
      <w:r>
        <w:rPr>
          <w:rFonts w:hint="eastAsia" w:ascii="仿宋_GB2312" w:hAnsi="仿宋_GB2312" w:eastAsia="仿宋_GB2312" w:cs="仿宋_GB2312"/>
          <w:color w:val="000000"/>
          <w:sz w:val="32"/>
          <w:szCs w:val="32"/>
          <w:lang w:eastAsia="zh-CN"/>
        </w:rPr>
        <w:t>我局</w:t>
      </w:r>
      <w:r>
        <w:rPr>
          <w:rFonts w:hint="eastAsia" w:ascii="仿宋_GB2312" w:hAnsi="仿宋_GB2312" w:eastAsia="仿宋_GB2312" w:cs="仿宋_GB2312"/>
          <w:color w:val="000000"/>
          <w:sz w:val="32"/>
          <w:szCs w:val="32"/>
          <w:lang w:val="en-US" w:eastAsia="zh-CN"/>
        </w:rPr>
        <w:t>综合行政执法大队</w:t>
      </w:r>
      <w:r>
        <w:rPr>
          <w:rFonts w:hint="eastAsia" w:ascii="仿宋_GB2312" w:hAnsi="仿宋_GB2312" w:eastAsia="仿宋_GB2312" w:cs="仿宋_GB2312"/>
          <w:b w:val="0"/>
          <w:bCs w:val="0"/>
          <w:color w:val="auto"/>
          <w:sz w:val="32"/>
          <w:szCs w:val="32"/>
          <w:lang w:val="en-US" w:eastAsia="zh-CN"/>
        </w:rPr>
        <w:t>实有8人，</w:t>
      </w:r>
      <w:r>
        <w:rPr>
          <w:rFonts w:hint="eastAsia" w:ascii="仿宋_GB2312" w:hAnsi="仿宋_GB2312" w:eastAsia="仿宋_GB2312" w:cs="仿宋_GB2312"/>
          <w:color w:val="000000"/>
          <w:sz w:val="32"/>
          <w:szCs w:val="32"/>
          <w:lang w:eastAsia="zh-CN"/>
        </w:rPr>
        <w:t>现</w:t>
      </w:r>
      <w:r>
        <w:rPr>
          <w:rFonts w:hint="eastAsia" w:ascii="仿宋_GB2312" w:hAnsi="仿宋_GB2312" w:eastAsia="仿宋_GB2312" w:cs="仿宋_GB2312"/>
          <w:color w:val="000000"/>
          <w:sz w:val="32"/>
          <w:szCs w:val="32"/>
          <w:lang w:val="en-US" w:eastAsia="zh-CN"/>
        </w:rPr>
        <w:t>直接</w:t>
      </w:r>
      <w:r>
        <w:rPr>
          <w:rFonts w:hint="eastAsia" w:ascii="仿宋_GB2312" w:hAnsi="仿宋_GB2312" w:eastAsia="仿宋_GB2312" w:cs="仿宋_GB2312"/>
          <w:b w:val="0"/>
          <w:bCs w:val="0"/>
          <w:color w:val="auto"/>
          <w:sz w:val="32"/>
          <w:szCs w:val="32"/>
          <w:lang w:val="en-US" w:eastAsia="zh-CN"/>
        </w:rPr>
        <w:t>从事安全生产监管检查的执法人员6人</w:t>
      </w:r>
      <w:r>
        <w:rPr>
          <w:rFonts w:hint="eastAsia" w:ascii="仿宋_GB2312" w:hAnsi="仿宋_GB2312" w:eastAsia="仿宋_GB2312" w:cs="仿宋_GB2312"/>
          <w:color w:val="auto"/>
          <w:sz w:val="32"/>
          <w:szCs w:val="32"/>
          <w:lang w:val="en-US" w:eastAsia="zh-CN"/>
        </w:rPr>
        <w:t>。</w:t>
      </w:r>
    </w:p>
    <w:p w14:paraId="5F6BC68E">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（二）监督检查工作日测算</w:t>
      </w:r>
    </w:p>
    <w:p w14:paraId="2ACCA4DA">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jc w:val="both"/>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1.</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全年</w:t>
      </w:r>
      <w:r>
        <w:rPr>
          <w:rFonts w:hint="eastAsia" w:ascii="仿宋_GB2312" w:hAnsi="仿宋_GB2312" w:eastAsia="仿宋_GB2312" w:cs="仿宋_GB2312"/>
          <w:b/>
          <w:bCs/>
          <w:color w:val="000000" w:themeColor="text1"/>
          <w:sz w:val="32"/>
          <w:szCs w:val="32"/>
          <w14:textFill>
            <w14:solidFill>
              <w14:schemeClr w14:val="tx1"/>
            </w14:solidFill>
          </w14:textFill>
        </w:rPr>
        <w:t>总法定工作日</w:t>
      </w:r>
    </w:p>
    <w:p w14:paraId="17EA3ACA">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auto"/>
          <w:sz w:val="32"/>
          <w:szCs w:val="32"/>
          <w:lang w:val="en-US" w:eastAsia="zh-CN"/>
        </w:rPr>
        <w:t>2026年全年365天，双休日104天，元旦、春节、清明、五一、端午、中秋、国庆等法定假日共计13天,国家法定工作日248天（365-104-13=248天）</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p>
    <w:p w14:paraId="10DD7077">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全年从事安全生产监督检查的总法定工作日为1488人天（6×248﹦1488人天）。</w:t>
      </w:r>
    </w:p>
    <w:p w14:paraId="0451B1D1">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3" w:firstLineChars="200"/>
        <w:jc w:val="both"/>
        <w:textAlignment w:val="auto"/>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2.其它执法工作日</w:t>
      </w:r>
    </w:p>
    <w:p w14:paraId="5DA1E4B2">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主要包括安全生产综合监管督导、检查考核、开展专项检查、暗查暗访、组织生产安全事故调查处理，核实举报投诉，参加有关部门联合执法，开展对中介服务机构的监督检查，安全生产宣教培训，组织听证、办理行政复议、行政应诉案件，完成本级政府和上级部门安排的其他执法工作任务等。结合前三个年度情况，2026年按照95天计。</w:t>
      </w:r>
    </w:p>
    <w:p w14:paraId="3D896DBB">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3" w:firstLineChars="200"/>
        <w:jc w:val="both"/>
        <w:textAlignment w:val="auto"/>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3.非执法工作日</w:t>
      </w:r>
    </w:p>
    <w:p w14:paraId="109B5214">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主要包括机关值班，各类学习、培训、考核、会议，参加党群活动，病、事假，法定年休假、探亲假、婚（丧）假等。结合前三个年度情况，2026年按照60天计。</w:t>
      </w:r>
    </w:p>
    <w:p w14:paraId="44CFBB57">
      <w:pPr>
        <w:keepNext w:val="0"/>
        <w:keepLines w:val="0"/>
        <w:pageBreakBefore w:val="0"/>
        <w:widowControl w:val="0"/>
        <w:kinsoku/>
        <w:wordWrap/>
        <w:overflowPunct/>
        <w:topLinePunct w:val="0"/>
        <w:autoSpaceDE/>
        <w:autoSpaceDN/>
        <w:bidi w:val="0"/>
        <w:spacing w:line="560" w:lineRule="exact"/>
        <w:ind w:left="0" w:leftChars="0" w:right="0" w:rightChars="0" w:firstLine="643" w:firstLineChars="200"/>
        <w:jc w:val="both"/>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b/>
          <w:bCs/>
          <w:color w:val="000000" w:themeColor="text1"/>
          <w:sz w:val="32"/>
          <w:szCs w:val="32"/>
          <w14:textFill>
            <w14:solidFill>
              <w14:schemeClr w14:val="tx1"/>
            </w14:solidFill>
          </w14:textFill>
        </w:rPr>
        <w:t>.</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监督检查</w:t>
      </w:r>
      <w:r>
        <w:rPr>
          <w:rFonts w:hint="eastAsia" w:ascii="仿宋_GB2312" w:hAnsi="仿宋_GB2312" w:eastAsia="仿宋_GB2312" w:cs="仿宋_GB2312"/>
          <w:b/>
          <w:bCs/>
          <w:color w:val="000000" w:themeColor="text1"/>
          <w:sz w:val="32"/>
          <w:szCs w:val="32"/>
          <w14:textFill>
            <w14:solidFill>
              <w14:schemeClr w14:val="tx1"/>
            </w14:solidFill>
          </w14:textFill>
        </w:rPr>
        <w:t>工作日</w:t>
      </w:r>
    </w:p>
    <w:p w14:paraId="6FA0EEFB">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全局从事安全生产监督检查的监督检查工作日为：（总法定工作日-其他执法工作日-非执法工作日）×行政执法人员数量=（248-95-60）×6=558人天。   </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 xml:space="preserve"> </w:t>
      </w:r>
    </w:p>
    <w:p w14:paraId="423E490E">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3" w:firstLineChars="200"/>
        <w:jc w:val="both"/>
        <w:textAlignment w:val="auto"/>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b/>
          <w:bCs/>
          <w:color w:val="000000" w:themeColor="text1"/>
          <w:sz w:val="32"/>
          <w:szCs w:val="32"/>
          <w14:textFill>
            <w14:solidFill>
              <w14:schemeClr w14:val="tx1"/>
            </w14:solidFill>
          </w14:textFill>
        </w:rPr>
        <w:t>计划监督检查</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生产经营单位</w:t>
      </w:r>
      <w:r>
        <w:rPr>
          <w:rFonts w:hint="eastAsia" w:ascii="仿宋_GB2312" w:hAnsi="仿宋_GB2312" w:eastAsia="仿宋_GB2312" w:cs="仿宋_GB2312"/>
          <w:b/>
          <w:bCs/>
          <w:color w:val="000000" w:themeColor="text1"/>
          <w:sz w:val="32"/>
          <w:szCs w:val="32"/>
          <w14:textFill>
            <w14:solidFill>
              <w14:schemeClr w14:val="tx1"/>
            </w14:solidFill>
          </w14:textFill>
        </w:rPr>
        <w:t>数量</w:t>
      </w:r>
    </w:p>
    <w:p w14:paraId="2F3717E3">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仿宋_GB2312" w:hAnsi="仿宋_GB2312" w:eastAsia="仿宋_GB2312" w:cs="仿宋_GB2312"/>
          <w:b w:val="0"/>
          <w:bCs w:val="0"/>
          <w:color w:val="000000"/>
          <w:sz w:val="32"/>
          <w:szCs w:val="32"/>
          <w:lang w:val="en-US"/>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按照平均闭环执法检查一家生产经营单位需2名执法人员10天计，共需检查工作日20人天。2026年监督检查工作日为558人天，年计划需完成监督检查生产经营单位28家（监督检查工作日÷检查一家生产经营单位工作日=</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558</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÷20≈28家）。</w:t>
      </w:r>
      <w:r>
        <w:rPr>
          <w:rFonts w:hint="eastAsia" w:ascii="仿宋_GB2312" w:hAnsi="仿宋_GB2312" w:eastAsia="仿宋_GB2312" w:cs="仿宋_GB2312"/>
          <w:color w:val="000000"/>
          <w:sz w:val="32"/>
          <w:szCs w:val="32"/>
          <w:lang w:val="en-US" w:eastAsia="zh-CN"/>
        </w:rPr>
        <w:t>故全年监督检查企业按照28家安排</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其中一中队检查7家，二中队7家，三中队7家，四中队7家。</w:t>
      </w:r>
    </w:p>
    <w:p w14:paraId="5F74BF23">
      <w:pPr>
        <w:keepNext w:val="0"/>
        <w:keepLines w:val="0"/>
        <w:pageBreakBefore w:val="0"/>
        <w:widowControl w:val="0"/>
        <w:numPr>
          <w:ilvl w:val="0"/>
          <w:numId w:val="1"/>
        </w:numPr>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经费保障。</w:t>
      </w:r>
    </w:p>
    <w:p w14:paraId="2E162608">
      <w:pPr>
        <w:keepNext w:val="0"/>
        <w:keepLines w:val="0"/>
        <w:pageBreakBefore w:val="0"/>
        <w:widowControl w:val="0"/>
        <w:numPr>
          <w:ilvl w:val="0"/>
          <w:numId w:val="0"/>
        </w:numPr>
        <w:kinsoku/>
        <w:wordWrap/>
        <w:overflowPunct/>
        <w:topLinePunct w:val="0"/>
        <w:autoSpaceDE/>
        <w:autoSpaceDN/>
        <w:bidi w:val="0"/>
        <w:spacing w:line="560" w:lineRule="exact"/>
        <w:ind w:leftChars="200" w:right="0" w:rightChars="0" w:firstLine="320" w:firstLineChars="100"/>
        <w:jc w:val="both"/>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本年度县财政已安排专项预算予以保证</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p>
    <w:p w14:paraId="393A7BE1">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三、重点检查安排</w:t>
      </w:r>
    </w:p>
    <w:p w14:paraId="747B0553">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（一）重点检查单位范围</w:t>
      </w:r>
    </w:p>
    <w:p w14:paraId="77CEC9C5">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按照</w:t>
      </w:r>
      <w:r>
        <w:rPr>
          <w:rFonts w:hint="eastAsia" w:ascii="仿宋_GB2312" w:hAnsi="仿宋_GB2312" w:eastAsia="仿宋_GB2312" w:cs="仿宋_GB2312"/>
          <w:color w:val="auto"/>
          <w:sz w:val="32"/>
          <w:szCs w:val="32"/>
          <w:lang w:eastAsia="zh-CN"/>
        </w:rPr>
        <w:t>《安全生产年度监督检查计划编制办法》（安监总政法</w:t>
      </w:r>
      <w:r>
        <w:rPr>
          <w:rFonts w:hint="eastAsia" w:ascii="仿宋_GB2312" w:hAnsi="仿宋_GB2312" w:eastAsia="仿宋_GB2312" w:cs="仿宋_GB2312"/>
          <w:color w:val="auto"/>
          <w:sz w:val="32"/>
          <w:szCs w:val="32"/>
          <w:lang w:val="en-US" w:eastAsia="zh-CN"/>
        </w:rPr>
        <w:t>〔2017〕150号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，结合我县实际，确定2026年我局重点监督检查生产经营单位范围如下：</w:t>
      </w:r>
    </w:p>
    <w:p w14:paraId="32C84EBE">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1.安全生产风险等级较高的生产经营单位：</w:t>
      </w:r>
    </w:p>
    <w:p w14:paraId="6ED71E62">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（1）涉及重点监管危险化学品、重点监管危险化工工艺和危险化学品重大危险源的生产经营单位；</w:t>
      </w:r>
    </w:p>
    <w:p w14:paraId="09AA4283">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（2）金属冶炼生产经营单位；</w:t>
      </w:r>
    </w:p>
    <w:p w14:paraId="2F73E150">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（3）涉爆粉尘、液氨制冷（制氢）等生产经营单位；</w:t>
      </w:r>
    </w:p>
    <w:p w14:paraId="50EE47A5">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（4）安全生产标准化未达标的生产经营单位，安</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全生产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“双</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”机制建设落</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实不到位的生产经营单位。</w:t>
      </w:r>
    </w:p>
    <w:p w14:paraId="33B5AE67">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2.近三年发生过造成人员死亡的生产安全事故的生产经营单位；</w:t>
      </w:r>
    </w:p>
    <w:p w14:paraId="2F35E71B">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3.纳入安全生产失信行为联合惩戒对象的生产经营单位；</w:t>
      </w:r>
    </w:p>
    <w:p w14:paraId="0F945DCE">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4.发现存在重大生产安全事故隐患的生产经营单位；</w:t>
      </w:r>
    </w:p>
    <w:p w14:paraId="10C40E25">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5.试生产或者复工复产的生产经营单位；</w:t>
      </w:r>
    </w:p>
    <w:p w14:paraId="6D549941">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6.其他应当纳入重点检查安排的生产经营单位。</w:t>
      </w:r>
    </w:p>
    <w:p w14:paraId="1F20FAF9">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（二）</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重点监督检查</w:t>
      </w: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生产经营单位</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数量、名称及检查频次</w:t>
      </w:r>
    </w:p>
    <w:p w14:paraId="57AEAB5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仿宋_GB2312" w:hAnsi="仿宋_GB2312" w:eastAsia="仿宋_GB2312" w:cs="仿宋_GB2312"/>
          <w:color w:val="000000" w:themeColor="text1"/>
          <w:sz w:val="32"/>
          <w:szCs w:val="32"/>
          <w:highlight w:val="red"/>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根据危险化学品</w:t>
      </w:r>
      <w:r>
        <w:rPr>
          <w:rFonts w:hint="eastAsia" w:ascii="仿宋_GB2312" w:hAnsi="仿宋_GB2312" w:eastAsia="仿宋_GB2312" w:cs="仿宋_GB2312"/>
          <w:color w:val="000000" w:themeColor="text1"/>
          <w:sz w:val="32"/>
          <w:szCs w:val="32"/>
          <w:lang w:val="en" w:eastAsia="zh-CN"/>
          <w14:textFill>
            <w14:solidFill>
              <w14:schemeClr w14:val="tx1"/>
            </w14:solidFill>
          </w14:textFill>
        </w:rPr>
        <w:t>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工商贸行业监管工作实际，</w:t>
      </w:r>
      <w:r>
        <w:rPr>
          <w:rFonts w:hint="eastAsia" w:ascii="仿宋_GB2312" w:hAnsi="仿宋_GB2312" w:eastAsia="仿宋_GB2312" w:cs="仿宋_GB2312"/>
          <w:b w:val="0"/>
          <w:bCs w:val="0"/>
          <w:color w:val="auto"/>
          <w:sz w:val="32"/>
          <w:szCs w:val="32"/>
          <w:lang w:val="en-US" w:eastAsia="zh-CN"/>
        </w:rPr>
        <w:t>全年计划全覆盖重点监督检查生产经营单位</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20家，其中危险化学品企业7家、涉爆粉尘企业2家、轻工2家、建材企业2家、机械企业7家（具体企业名单见附件1），其中一中队7家，二中队3家，三中队3家，四中队7家。</w:t>
      </w:r>
    </w:p>
    <w:p w14:paraId="518ECFC6">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楷体_GB2312" w:hAnsi="楷体_GB2312" w:eastAsia="楷体_GB2312" w:cs="楷体_GB2312"/>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（三）重点监督检查内容</w:t>
      </w:r>
    </w:p>
    <w:p w14:paraId="4B2C51CC">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危险化学品和其他工商贸生产经营单位常见风险或重点岗位部位、作业环节和管理中易发多发的违法问题，</w:t>
      </w:r>
      <w:r>
        <w:rPr>
          <w:rFonts w:hint="eastAsia" w:ascii="仿宋_GB2312" w:hAnsi="仿宋_GB2312" w:eastAsia="仿宋_GB2312" w:cs="仿宋_GB2312"/>
          <w:b w:val="0"/>
          <w:bCs w:val="0"/>
          <w:color w:val="000000"/>
          <w:sz w:val="32"/>
          <w:szCs w:val="32"/>
          <w:lang w:val="en-US" w:eastAsia="zh-CN"/>
        </w:rPr>
        <w:t>各中队</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在编制具体监督检查计划时应列入重点检查内容。（详见附件2）</w:t>
      </w:r>
    </w:p>
    <w:p w14:paraId="2A24CC88">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（四）</w:t>
      </w:r>
      <w:r>
        <w:rPr>
          <w:rFonts w:hint="eastAsia" w:ascii="Times New Roman" w:hAnsi="Times New Roman" w:eastAsia="楷体_GB2312" w:cs="Times New Roman"/>
          <w:b w:val="0"/>
          <w:bCs w:val="0"/>
          <w:color w:val="000000" w:themeColor="text1"/>
          <w:sz w:val="32"/>
          <w:szCs w:val="32"/>
          <w:lang w:val="en-US" w:eastAsia="zh-CN"/>
          <w14:textFill>
            <w14:solidFill>
              <w14:schemeClr w14:val="tx1"/>
            </w14:solidFill>
          </w14:textFill>
        </w:rPr>
        <w:t>监督检查</w:t>
      </w: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时间安排</w:t>
      </w:r>
    </w:p>
    <w:p w14:paraId="64437F83">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监督检查的时间按照每季度工作日和重点时段进行合理分配，具体检查时间由</w:t>
      </w:r>
      <w:r>
        <w:rPr>
          <w:rFonts w:hint="eastAsia" w:ascii="仿宋_GB2312" w:hAnsi="仿宋_GB2312" w:eastAsia="仿宋_GB2312" w:cs="仿宋_GB2312"/>
          <w:b w:val="0"/>
          <w:bCs w:val="0"/>
          <w:color w:val="000000"/>
          <w:sz w:val="32"/>
          <w:szCs w:val="32"/>
          <w:lang w:val="en-US" w:eastAsia="zh-CN"/>
        </w:rPr>
        <w:t>各中队</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自行安排。（详见附件3）</w:t>
      </w:r>
    </w:p>
    <w:p w14:paraId="44922DFB">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640" w:firstLineChars="200"/>
        <w:jc w:val="both"/>
        <w:textAlignment w:val="auto"/>
        <w:rPr>
          <w:rFonts w:hint="default" w:ascii="Times New Roman" w:hAnsi="Times New Roman" w:eastAsia="黑体" w:cs="Times New Roman"/>
          <w:color w:val="000000" w:themeColor="text1"/>
          <w:sz w:val="32"/>
          <w:szCs w:val="32"/>
          <w:lang w:val="en-US" w:eastAsia="zh-CN"/>
          <w14:textFill>
            <w14:solidFill>
              <w14:schemeClr w14:val="tx1"/>
            </w14:solidFill>
          </w14:textFill>
        </w:rPr>
      </w:pPr>
      <w:r>
        <w:rPr>
          <w:rFonts w:hint="default" w:ascii="Times New Roman" w:hAnsi="Times New Roman" w:eastAsia="黑体" w:cs="Times New Roman"/>
          <w:color w:val="000000" w:themeColor="text1"/>
          <w:sz w:val="32"/>
          <w:szCs w:val="32"/>
          <w:lang w:val="en-US" w:eastAsia="zh-CN"/>
          <w14:textFill>
            <w14:solidFill>
              <w14:schemeClr w14:val="tx1"/>
            </w14:solidFill>
          </w14:textFill>
        </w:rPr>
        <w:t>四、一般检查安排</w:t>
      </w:r>
    </w:p>
    <w:p w14:paraId="45D9BBC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lang w:val="en-US" w:eastAsia="zh-CN"/>
          <w14:textFill>
            <w14:solidFill>
              <w14:schemeClr w14:val="tx1"/>
            </w14:solidFill>
          </w14:textFill>
        </w:rPr>
        <w:t>（一）一般检查单位范围</w:t>
      </w:r>
    </w:p>
    <w:p w14:paraId="0259E4D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eastAsia" w:ascii="仿宋_GB2312" w:hAnsi="仿宋_GB2312" w:eastAsia="仿宋_GB2312" w:cs="仿宋_GB2312"/>
          <w:b w:val="0"/>
          <w:bCs w:val="0"/>
          <w:color w:val="000000"/>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按照</w:t>
      </w:r>
      <w:r>
        <w:rPr>
          <w:rFonts w:hint="eastAsia" w:ascii="仿宋_GB2312" w:hAnsi="仿宋_GB2312" w:eastAsia="仿宋_GB2312" w:cs="仿宋_GB2312"/>
          <w:color w:val="auto"/>
          <w:sz w:val="32"/>
          <w:szCs w:val="32"/>
          <w:lang w:eastAsia="zh-CN"/>
        </w:rPr>
        <w:t>《安全生产年度监督检查计划编制办法》（安监总政法</w:t>
      </w:r>
      <w:r>
        <w:rPr>
          <w:rFonts w:hint="eastAsia" w:ascii="仿宋_GB2312" w:hAnsi="仿宋_GB2312" w:eastAsia="仿宋_GB2312" w:cs="仿宋_GB2312"/>
          <w:color w:val="auto"/>
          <w:sz w:val="32"/>
          <w:szCs w:val="32"/>
          <w:lang w:val="en-US" w:eastAsia="zh-CN"/>
        </w:rPr>
        <w:t>〔2017〕150号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，结合我县实际，确定</w:t>
      </w:r>
      <w:r>
        <w:rPr>
          <w:rFonts w:hint="eastAsia" w:ascii="仿宋_GB2312" w:hAnsi="仿宋_GB2312" w:eastAsia="仿宋_GB2312" w:cs="仿宋_GB2312"/>
          <w:b w:val="0"/>
          <w:bCs w:val="0"/>
          <w:color w:val="000000"/>
          <w:sz w:val="32"/>
          <w:szCs w:val="32"/>
          <w:lang w:val="en-US" w:eastAsia="zh-CN"/>
        </w:rPr>
        <w:t>一般检查生产经营单位范围为：</w:t>
      </w:r>
    </w:p>
    <w:p w14:paraId="0666FC10">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596" w:firstLineChars="200"/>
        <w:jc w:val="left"/>
        <w:textAlignment w:val="auto"/>
        <w:rPr>
          <w:rFonts w:hint="eastAsia" w:ascii="仿宋_GB2312" w:hAnsi="仿宋_GB2312" w:eastAsia="仿宋_GB2312" w:cs="仿宋_GB2312"/>
          <w:b w:val="0"/>
          <w:bCs w:val="0"/>
          <w:color w:val="auto"/>
          <w:spacing w:val="-11"/>
          <w:sz w:val="32"/>
          <w:szCs w:val="32"/>
          <w:lang w:eastAsia="zh-CN"/>
        </w:rPr>
      </w:pPr>
      <w:r>
        <w:rPr>
          <w:rFonts w:hint="eastAsia" w:ascii="仿宋_GB2312" w:hAnsi="仿宋_GB2312" w:eastAsia="仿宋_GB2312" w:cs="仿宋_GB2312"/>
          <w:b w:val="0"/>
          <w:bCs w:val="0"/>
          <w:color w:val="auto"/>
          <w:spacing w:val="-11"/>
          <w:sz w:val="32"/>
          <w:szCs w:val="32"/>
          <w:lang w:val="en-US" w:eastAsia="zh-CN"/>
        </w:rPr>
        <w:t>1.</w:t>
      </w:r>
      <w:r>
        <w:rPr>
          <w:rFonts w:hint="eastAsia" w:ascii="Times New Roman" w:hAnsi="Times New Roman" w:eastAsia="仿宋_GB2312" w:cs="Times New Roman"/>
          <w:b w:val="0"/>
          <w:bCs w:val="0"/>
          <w:color w:val="auto"/>
          <w:spacing w:val="-11"/>
          <w:sz w:val="32"/>
          <w:szCs w:val="32"/>
          <w:lang w:val="en-US" w:eastAsia="zh-CN"/>
        </w:rPr>
        <w:t>本部门负责监督检查的重点检查单位以外的生产经营单位</w:t>
      </w:r>
      <w:r>
        <w:rPr>
          <w:rFonts w:hint="eastAsia" w:ascii="仿宋_GB2312" w:hAnsi="仿宋_GB2312" w:eastAsia="仿宋_GB2312" w:cs="仿宋_GB2312"/>
          <w:b w:val="0"/>
          <w:bCs w:val="0"/>
          <w:color w:val="auto"/>
          <w:spacing w:val="-11"/>
          <w:sz w:val="32"/>
          <w:szCs w:val="32"/>
          <w:lang w:eastAsia="zh-CN"/>
        </w:rPr>
        <w:t>；</w:t>
      </w:r>
    </w:p>
    <w:p w14:paraId="17487D9C">
      <w:pPr>
        <w:keepNext w:val="0"/>
        <w:keepLines w:val="0"/>
        <w:pageBreakBefore w:val="0"/>
        <w:widowControl w:val="0"/>
        <w:numPr>
          <w:ilvl w:val="0"/>
          <w:numId w:val="0"/>
        </w:numPr>
        <w:kinsoku/>
        <w:wordWrap/>
        <w:overflowPunct/>
        <w:topLinePunct w:val="0"/>
        <w:autoSpaceDE/>
        <w:autoSpaceDN/>
        <w:bidi w:val="0"/>
        <w:spacing w:line="560" w:lineRule="exact"/>
        <w:ind w:left="0" w:leftChars="0" w:right="0" w:rightChars="0" w:firstLine="596"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val="0"/>
          <w:bCs w:val="0"/>
          <w:color w:val="auto"/>
          <w:spacing w:val="-11"/>
          <w:sz w:val="32"/>
          <w:szCs w:val="32"/>
          <w:lang w:val="en-US" w:eastAsia="zh-CN"/>
        </w:rPr>
        <w:t xml:space="preserve">2. </w:t>
      </w:r>
      <w:r>
        <w:rPr>
          <w:rFonts w:hint="eastAsia" w:ascii="仿宋_GB2312" w:hAnsi="仿宋_GB2312" w:eastAsia="仿宋_GB2312" w:cs="仿宋_GB2312"/>
          <w:color w:val="000000"/>
          <w:sz w:val="32"/>
          <w:szCs w:val="32"/>
        </w:rPr>
        <w:t>其他应当纳入一般检查安排的生产经营单位。</w:t>
      </w:r>
    </w:p>
    <w:p w14:paraId="0E6621F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（二）一般监督检查</w:t>
      </w:r>
      <w:r>
        <w:rPr>
          <w:rFonts w:hint="eastAsia" w:ascii="楷体_GB2312" w:hAnsi="楷体_GB2312" w:eastAsia="楷体_GB2312" w:cs="楷体_GB2312"/>
          <w:color w:val="000000" w:themeColor="text1"/>
          <w:sz w:val="32"/>
          <w:szCs w:val="32"/>
          <w:lang w:val="en-US" w:eastAsia="zh-CN"/>
          <w14:textFill>
            <w14:solidFill>
              <w14:schemeClr w14:val="tx1"/>
            </w14:solidFill>
          </w14:textFill>
        </w:rPr>
        <w:t>生产经营单位</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数量及检查频次</w:t>
      </w:r>
    </w:p>
    <w:p w14:paraId="5F7C9B58">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left"/>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结合我局全年</w:t>
      </w:r>
      <w:r>
        <w:rPr>
          <w:rFonts w:hint="eastAsia" w:ascii="仿宋_GB2312" w:hAnsi="仿宋_GB2312" w:eastAsia="仿宋_GB2312" w:cs="仿宋_GB2312"/>
          <w:b w:val="0"/>
          <w:bCs w:val="0"/>
          <w:color w:val="000000" w:themeColor="text1"/>
          <w:sz w:val="32"/>
          <w:szCs w:val="32"/>
          <w14:textFill>
            <w14:solidFill>
              <w14:schemeClr w14:val="tx1"/>
            </w14:solidFill>
          </w14:textFill>
        </w:rPr>
        <w:t>计划监督检查</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生产经营单位的</w:t>
      </w:r>
      <w:r>
        <w:rPr>
          <w:rFonts w:hint="eastAsia" w:ascii="仿宋_GB2312" w:hAnsi="仿宋_GB2312" w:eastAsia="仿宋_GB2312" w:cs="仿宋_GB2312"/>
          <w:b w:val="0"/>
          <w:bCs w:val="0"/>
          <w:color w:val="000000" w:themeColor="text1"/>
          <w:sz w:val="32"/>
          <w:szCs w:val="32"/>
          <w14:textFill>
            <w14:solidFill>
              <w14:schemeClr w14:val="tx1"/>
            </w14:solidFill>
          </w14:textFill>
        </w:rPr>
        <w:t>数量</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和</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重点监督检查</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生产经营单位</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数量，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2026</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ab/>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年计划监督检查一般生产经营单位8家，其中二中队4家，三中队4家。</w:t>
      </w:r>
    </w:p>
    <w:p w14:paraId="11F14E07">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以上生产经营单位</w:t>
      </w:r>
      <w:r>
        <w:rPr>
          <w:rFonts w:hint="default" w:ascii="仿宋_GB2312" w:hAnsi="仿宋_GB2312" w:eastAsia="仿宋_GB2312" w:cs="仿宋_GB2312"/>
          <w:color w:val="000000"/>
          <w:sz w:val="32"/>
          <w:szCs w:val="32"/>
          <w:lang w:val="en-US" w:eastAsia="zh-CN"/>
        </w:rPr>
        <w:t>由</w:t>
      </w:r>
      <w:r>
        <w:rPr>
          <w:rFonts w:hint="eastAsia" w:ascii="仿宋_GB2312" w:hAnsi="仿宋_GB2312" w:eastAsia="仿宋_GB2312" w:cs="仿宋_GB2312"/>
          <w:color w:val="000000"/>
          <w:sz w:val="32"/>
          <w:szCs w:val="32"/>
          <w:lang w:val="en-US" w:eastAsia="zh-CN"/>
        </w:rPr>
        <w:t>各中队按照“</w:t>
      </w:r>
      <w:r>
        <w:rPr>
          <w:rFonts w:hint="default" w:ascii="仿宋_GB2312" w:hAnsi="仿宋_GB2312" w:eastAsia="仿宋_GB2312" w:cs="仿宋_GB2312"/>
          <w:color w:val="000000"/>
          <w:sz w:val="32"/>
          <w:szCs w:val="32"/>
          <w:lang w:val="en-US" w:eastAsia="zh-CN"/>
        </w:rPr>
        <w:t>双随机</w:t>
      </w:r>
      <w:r>
        <w:rPr>
          <w:rFonts w:hint="eastAsia" w:ascii="仿宋_GB2312" w:hAnsi="仿宋_GB2312" w:eastAsia="仿宋_GB2312" w:cs="仿宋_GB2312"/>
          <w:color w:val="000000"/>
          <w:sz w:val="32"/>
          <w:szCs w:val="32"/>
          <w:lang w:val="en-US" w:eastAsia="zh-CN"/>
        </w:rPr>
        <w:t>”规定进行随机抽取</w:t>
      </w:r>
      <w:r>
        <w:rPr>
          <w:rFonts w:hint="default"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zh-CN"/>
        </w:rPr>
        <w:t>非特殊需要，随机抽查的单位年度内只</w:t>
      </w:r>
      <w:r>
        <w:rPr>
          <w:rFonts w:hint="default" w:ascii="仿宋_GB2312" w:hAnsi="仿宋_GB2312" w:eastAsia="仿宋_GB2312" w:cs="仿宋_GB2312"/>
          <w:color w:val="000000"/>
          <w:sz w:val="32"/>
          <w:szCs w:val="32"/>
          <w:lang w:val="en-US" w:eastAsia="zh-CN"/>
        </w:rPr>
        <w:t>进行一次</w:t>
      </w:r>
      <w:r>
        <w:rPr>
          <w:rFonts w:hint="eastAsia" w:ascii="仿宋_GB2312" w:hAnsi="仿宋_GB2312" w:eastAsia="仿宋_GB2312" w:cs="仿宋_GB2312"/>
          <w:color w:val="000000"/>
          <w:sz w:val="32"/>
          <w:szCs w:val="32"/>
          <w:lang w:val="en-US" w:eastAsia="zh-CN"/>
        </w:rPr>
        <w:t>监督</w:t>
      </w:r>
      <w:r>
        <w:rPr>
          <w:rFonts w:hint="default" w:ascii="仿宋_GB2312" w:hAnsi="仿宋_GB2312" w:eastAsia="仿宋_GB2312" w:cs="仿宋_GB2312"/>
          <w:color w:val="000000"/>
          <w:sz w:val="32"/>
          <w:szCs w:val="32"/>
          <w:lang w:val="en-US" w:eastAsia="zh-CN"/>
        </w:rPr>
        <w:t>检查。</w:t>
      </w:r>
      <w:r>
        <w:rPr>
          <w:rFonts w:hint="eastAsia" w:ascii="仿宋_GB2312" w:hAnsi="仿宋_GB2312" w:eastAsia="仿宋_GB2312" w:cs="仿宋_GB2312"/>
          <w:color w:val="000000"/>
          <w:sz w:val="32"/>
          <w:szCs w:val="32"/>
          <w:lang w:val="en-US" w:eastAsia="zh-CN"/>
        </w:rPr>
        <w:t>具体监督检查时间由各中队按季度计划进行。</w:t>
      </w:r>
    </w:p>
    <w:p w14:paraId="4B62C1A9">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工商贸和危险化学品行业按照“双随机、一公开”2026年度随机抽查计划组织开展部门之间联合执法。</w:t>
      </w:r>
    </w:p>
    <w:p w14:paraId="4B4EFA7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auto"/>
          <w:sz w:val="32"/>
          <w:szCs w:val="32"/>
          <w:lang w:val="en-US" w:eastAsia="zh-CN"/>
        </w:rPr>
        <w:t>五、</w:t>
      </w:r>
      <w:r>
        <w:rPr>
          <w:rFonts w:hint="default" w:ascii="Times New Roman" w:hAnsi="Times New Roman" w:eastAsia="黑体" w:cs="Times New Roman"/>
          <w:b w:val="0"/>
          <w:bCs w:val="0"/>
          <w:color w:val="000000" w:themeColor="text1"/>
          <w:sz w:val="32"/>
          <w:szCs w:val="32"/>
          <w:lang w:val="en-US" w:eastAsia="zh-CN"/>
          <w14:textFill>
            <w14:solidFill>
              <w14:schemeClr w14:val="tx1"/>
            </w14:solidFill>
          </w14:textFill>
        </w:rPr>
        <w:t>监督检查有关要求</w:t>
      </w:r>
    </w:p>
    <w:p w14:paraId="4DCFD324">
      <w:pPr>
        <w:keepNext w:val="0"/>
        <w:keepLines w:val="0"/>
        <w:pageBreakBefore w:val="0"/>
        <w:widowControl w:val="0"/>
        <w:kinsoku/>
        <w:wordWrap/>
        <w:overflowPunct/>
        <w:topLinePunct w:val="0"/>
        <w:autoSpaceDE/>
        <w:autoSpaceDN/>
        <w:bidi w:val="0"/>
        <w:spacing w:line="570" w:lineRule="exact"/>
        <w:ind w:left="0" w:leftChars="0" w:right="0" w:rightChars="0" w:firstLine="640" w:firstLineChars="200"/>
        <w:jc w:val="both"/>
        <w:textAlignment w:val="auto"/>
        <w:rPr>
          <w:rFonts w:hint="eastAsia" w:ascii="仿宋_GB2312" w:hAnsi="仿宋_GB2312" w:eastAsia="仿宋_GB2312" w:cs="仿宋_GB2312"/>
          <w:color w:val="auto"/>
          <w:sz w:val="32"/>
          <w:szCs w:val="32"/>
          <w:lang w:val="en-US" w:eastAsia="zh-CN"/>
        </w:rPr>
      </w:pP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（一）</w:t>
      </w:r>
      <w:r>
        <w:rPr>
          <w:rFonts w:hint="eastAsia" w:ascii="仿宋_GB2312" w:hAnsi="仿宋_GB2312" w:eastAsia="仿宋_GB2312" w:cs="仿宋_GB2312"/>
          <w:color w:val="000000"/>
          <w:sz w:val="32"/>
          <w:szCs w:val="32"/>
          <w:lang w:val="en-US" w:eastAsia="zh-CN"/>
        </w:rPr>
        <w:t>各中队</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要</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根据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县</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政府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批复</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的年度监督检查计划，统筹考虑监督检查工作日数量、专业技术力量、执法装备</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配备</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等实际情况，以及分管行业（领域）阶段性安全生产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工作</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特点和规律，编制本</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中队</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具体年度监督检查计划</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auto"/>
          <w:sz w:val="32"/>
          <w:szCs w:val="32"/>
          <w:lang w:val="en-US" w:eastAsia="zh-CN"/>
        </w:rPr>
        <w:t>全面应用应急管理部“互联网+执法”系统，</w:t>
      </w:r>
      <w:r>
        <w:rPr>
          <w:rFonts w:hint="eastAsia" w:ascii="仿宋_GB2312" w:hAnsi="仿宋_GB2312" w:eastAsia="仿宋_GB2312" w:cs="仿宋_GB2312"/>
          <w:color w:val="auto"/>
          <w:kern w:val="2"/>
          <w:sz w:val="32"/>
          <w:szCs w:val="32"/>
          <w:lang w:val="en-US" w:eastAsia="zh-CN" w:bidi="ar-SA"/>
        </w:rPr>
        <w:t>及时更新执法人员信息，及时将年度执法计划、临时执法计划、双随机计划录入系统，及时将执法检查情况录入</w:t>
      </w:r>
      <w:r>
        <w:rPr>
          <w:rFonts w:hint="eastAsia" w:ascii="仿宋_GB2312" w:hAnsi="仿宋_GB2312" w:eastAsia="仿宋_GB2312" w:cs="仿宋_GB2312"/>
          <w:color w:val="auto"/>
          <w:sz w:val="32"/>
          <w:szCs w:val="32"/>
          <w:lang w:val="en-US" w:eastAsia="zh-CN"/>
        </w:rPr>
        <w:t>“互联网+执法”</w:t>
      </w:r>
      <w:r>
        <w:rPr>
          <w:rFonts w:hint="eastAsia" w:ascii="仿宋_GB2312" w:hAnsi="仿宋_GB2312" w:eastAsia="仿宋_GB2312" w:cs="仿宋_GB2312"/>
          <w:color w:val="auto"/>
          <w:kern w:val="2"/>
          <w:sz w:val="32"/>
          <w:szCs w:val="32"/>
          <w:lang w:val="en-US" w:eastAsia="zh-CN" w:bidi="ar-SA"/>
        </w:rPr>
        <w:t>系统。</w:t>
      </w:r>
      <w:r>
        <w:rPr>
          <w:rFonts w:hint="eastAsia" w:ascii="仿宋_GB2312" w:hAnsi="仿宋_GB2312" w:eastAsia="仿宋_GB2312" w:cs="仿宋_GB2312"/>
          <w:color w:val="auto"/>
          <w:sz w:val="32"/>
          <w:szCs w:val="32"/>
          <w:lang w:val="en-US" w:eastAsia="zh-CN"/>
        </w:rPr>
        <w:t>全面落实执法标准化工作，推行“一企一策”精准执法，根据企业实际和行业重点检查事项，确定执法检查内容，制定执法检查方案，并在开展执法检查5日前将检查事项及相关依据告知企业。检查开始前要主动出示执法证件，表明身份和来意；检查过程中要按照检查方案认真检查企业安全生产管理状况；检查结束后要将发现的问题向企业通报，听取企业的意见，并指导督促企业按时整改。</w:t>
      </w:r>
    </w:p>
    <w:p w14:paraId="0332B7A1">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以典型执法案例报送工作为抓手，突出执法重点，提升执法实效。要严格按照市典型案例报送工作有关要求，聚焦重点行业领域、重大事故隐患判定标准，围绕相关行业领域重点检查事项、生产经营单位主要负责人履职、双重预防机制建设、安全设施“三同时”以及中介机构服务等重要内容，严格开展监督检查，做到执法主体合法、违法事实清楚、执法程序合法、适用法律准确、自由裁量适当、文书填写标准、案卷制作规范。要以高质量完成典型案例报送工作为契机，进一步提升全县安全生产执法工作质量，提高执法效能。</w:t>
      </w:r>
    </w:p>
    <w:p w14:paraId="7A490692">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w:t>
      </w:r>
      <w:r>
        <w:rPr>
          <w:rFonts w:hint="eastAsia" w:ascii="仿宋_GB2312" w:hAnsi="仿宋_GB2312" w:eastAsia="仿宋_GB2312" w:cs="仿宋_GB2312"/>
          <w:color w:val="000000"/>
          <w:sz w:val="32"/>
          <w:szCs w:val="32"/>
          <w:lang w:val="en-US" w:eastAsia="zh-CN"/>
        </w:rPr>
        <w:t>执法检查所出具的文书必须使用应急管理部统一制定、由市局监制带有防伪水印和编码的2020版执法文书，不得使用旧版文书或随意改变文书样式。</w:t>
      </w:r>
    </w:p>
    <w:p w14:paraId="7BA343D5">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sz w:val="32"/>
          <w:szCs w:val="32"/>
          <w:lang w:val="en-US" w:eastAsia="zh-CN"/>
        </w:rPr>
        <w:t>各中队</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应当严格按照年度监督检查计划</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开展</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执法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检查</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执法人员要能够熟练操作河北</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省</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安全生产</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执法监察系统</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河北省“双随机”执法抽查平台以及应急管理部“互联网+执法”信息平台和安全生产行政执法统计等系统，按照“谁执法、谁负责”的原则及时准确上传相关执法数据资料，并按照省、市有关要求及时将监督检查结果在相关网站进行公示。</w:t>
      </w:r>
    </w:p>
    <w:p w14:paraId="32597E1F">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（五）监督检查要严格落实我县优化营商环境相关规定，坚决杜绝多头执法、行政执法一刀切等现象发生，进一步规范安全生产行政执法工作，优化我县营商环境。</w:t>
      </w:r>
    </w:p>
    <w:p w14:paraId="51A118BD">
      <w:pPr>
        <w:keepNext w:val="0"/>
        <w:keepLines w:val="0"/>
        <w:pageBreakBefore w:val="0"/>
        <w:widowControl w:val="0"/>
        <w:kinsoku/>
        <w:wordWrap/>
        <w:overflowPunct/>
        <w:topLinePunct w:val="0"/>
        <w:autoSpaceDE/>
        <w:autoSpaceDN/>
        <w:bidi w:val="0"/>
        <w:spacing w:line="560" w:lineRule="exact"/>
        <w:ind w:left="0" w:leftChars="0" w:right="0" w:rightChars="0" w:firstLine="640" w:firstLineChars="200"/>
        <w:jc w:val="both"/>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六</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）年度监督检查计划一经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县</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政府批准，不得随意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变更</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。确因工作需要进行调整的，由</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相关中队</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提出书面申请，</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说明</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理由并附具体依据，经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分</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管局领导同意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报请局主要领导批准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后，</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交</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一中队备案</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p>
    <w:p w14:paraId="40DD8E3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color w:val="000000" w:themeColor="text1"/>
          <w:sz w:val="32"/>
          <w:szCs w:val="32"/>
          <w:lang w:eastAsia="zh-CN"/>
          <w14:textFill>
            <w14:solidFill>
              <w14:schemeClr w14:val="tx1"/>
            </w14:solidFill>
          </w14:textFill>
        </w:rPr>
        <w:t>七</w:t>
      </w:r>
      <w:r>
        <w:rPr>
          <w:rFonts w:hint="default" w:ascii="Times New Roman" w:hAnsi="Times New Roman" w:eastAsia="黑体" w:cs="Times New Roman"/>
          <w:color w:val="000000" w:themeColor="text1"/>
          <w:sz w:val="32"/>
          <w:szCs w:val="32"/>
          <w14:textFill>
            <w14:solidFill>
              <w14:schemeClr w14:val="tx1"/>
            </w14:solidFill>
          </w14:textFill>
        </w:rPr>
        <w:t>、保障措施</w:t>
      </w:r>
    </w:p>
    <w:p w14:paraId="27A52E3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（一）</w:t>
      </w:r>
      <w:r>
        <w:rPr>
          <w:rFonts w:hint="eastAsia" w:ascii="Times New Roman" w:hAnsi="Times New Roman" w:eastAsia="楷体_GB2312" w:cs="Times New Roman"/>
          <w:b w:val="0"/>
          <w:bCs w:val="0"/>
          <w:color w:val="auto"/>
          <w:sz w:val="32"/>
          <w:szCs w:val="32"/>
          <w:lang w:eastAsia="zh-CN"/>
        </w:rPr>
        <w:t>强化执法能力</w:t>
      </w:r>
      <w:r>
        <w:rPr>
          <w:rFonts w:hint="default" w:ascii="Times New Roman" w:hAnsi="Times New Roman" w:eastAsia="楷体_GB2312" w:cs="Times New Roman"/>
          <w:b w:val="0"/>
          <w:bCs w:val="0"/>
          <w:color w:val="auto"/>
          <w:sz w:val="32"/>
          <w:szCs w:val="32"/>
        </w:rPr>
        <w:t>提升</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w:t>
      </w:r>
      <w:r>
        <w:rPr>
          <w:rFonts w:hint="default" w:ascii="Times New Roman" w:hAnsi="Times New Roman" w:eastAsia="仿宋_GB2312" w:cs="Times New Roman"/>
          <w:b/>
          <w:bCs/>
          <w:color w:val="000000" w:themeColor="text1"/>
          <w:sz w:val="32"/>
          <w:szCs w:val="32"/>
          <w14:textFill>
            <w14:solidFill>
              <w14:schemeClr w14:val="tx1"/>
            </w14:solidFill>
          </w14:textFill>
        </w:rPr>
        <w:t>一是</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加强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政策理论</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学习，把思想和行动统一到中央、省市</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有关安全生产执法工作的决策</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部署上来，围绕局党</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委确定的年度重点工作</w:t>
      </w:r>
      <w:bookmarkStart w:id="0" w:name="_GoBack"/>
      <w:bookmarkEnd w:id="0"/>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切实</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增强责任意识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、担当精神</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b/>
          <w:bCs/>
          <w:color w:val="000000" w:themeColor="text1"/>
          <w:sz w:val="32"/>
          <w:szCs w:val="32"/>
          <w14:textFill>
            <w14:solidFill>
              <w14:schemeClr w14:val="tx1"/>
            </w14:solidFill>
          </w14:textFill>
        </w:rPr>
        <w:t>二是</w:t>
      </w:r>
      <w:r>
        <w:rPr>
          <w:rFonts w:hint="default" w:ascii="仿宋_GB2312" w:hAnsi="仿宋_GB2312" w:eastAsia="仿宋_GB2312" w:cs="仿宋_GB2312"/>
          <w:b w:val="0"/>
          <w:bCs w:val="0"/>
          <w:color w:val="auto"/>
          <w:sz w:val="32"/>
          <w:szCs w:val="32"/>
          <w:lang w:val="en-US" w:eastAsia="zh-CN"/>
        </w:rPr>
        <w:t>加强</w:t>
      </w:r>
      <w:r>
        <w:rPr>
          <w:rFonts w:hint="eastAsia" w:ascii="仿宋_GB2312" w:hAnsi="仿宋_GB2312" w:eastAsia="仿宋_GB2312" w:cs="仿宋_GB2312"/>
          <w:b w:val="0"/>
          <w:bCs w:val="0"/>
          <w:color w:val="auto"/>
          <w:sz w:val="32"/>
          <w:szCs w:val="32"/>
          <w:lang w:val="en-US" w:eastAsia="zh-CN"/>
        </w:rPr>
        <w:t>法律法规学习，特别是</w:t>
      </w:r>
      <w:r>
        <w:rPr>
          <w:rFonts w:hint="default" w:ascii="仿宋_GB2312" w:hAnsi="仿宋_GB2312" w:eastAsia="仿宋_GB2312" w:cs="仿宋_GB2312"/>
          <w:b w:val="0"/>
          <w:bCs w:val="0"/>
          <w:color w:val="auto"/>
          <w:sz w:val="32"/>
          <w:szCs w:val="32"/>
          <w:lang w:val="en-US" w:eastAsia="zh-CN"/>
        </w:rPr>
        <w:t>对《中华人民共和国安全生产法》</w:t>
      </w:r>
      <w:r>
        <w:rPr>
          <w:rFonts w:hint="eastAsia" w:ascii="仿宋_GB2312" w:hAnsi="仿宋_GB2312" w:eastAsia="仿宋_GB2312" w:cs="仿宋_GB2312"/>
          <w:b w:val="0"/>
          <w:bCs w:val="0"/>
          <w:color w:val="auto"/>
          <w:sz w:val="32"/>
          <w:szCs w:val="32"/>
          <w:lang w:val="en-US" w:eastAsia="zh-CN"/>
        </w:rPr>
        <w:t>《</w:t>
      </w:r>
      <w:r>
        <w:rPr>
          <w:rFonts w:hint="default" w:ascii="仿宋_GB2312" w:hAnsi="仿宋_GB2312" w:eastAsia="仿宋_GB2312" w:cs="仿宋_GB2312"/>
          <w:b w:val="0"/>
          <w:bCs w:val="0"/>
          <w:color w:val="auto"/>
          <w:sz w:val="32"/>
          <w:szCs w:val="32"/>
          <w:lang w:val="en-US" w:eastAsia="zh-CN"/>
        </w:rPr>
        <w:t>中华人民共和国</w:t>
      </w:r>
      <w:r>
        <w:rPr>
          <w:rFonts w:hint="eastAsia" w:ascii="仿宋_GB2312" w:hAnsi="仿宋_GB2312" w:eastAsia="仿宋_GB2312" w:cs="仿宋_GB2312"/>
          <w:b w:val="0"/>
          <w:bCs w:val="0"/>
          <w:color w:val="auto"/>
          <w:sz w:val="32"/>
          <w:szCs w:val="32"/>
          <w:lang w:val="en-US" w:eastAsia="zh-CN"/>
        </w:rPr>
        <w:t>行政处罚法》《河北省安全生产条例》等</w:t>
      </w:r>
      <w:r>
        <w:rPr>
          <w:rFonts w:hint="default" w:ascii="仿宋_GB2312" w:hAnsi="仿宋_GB2312" w:eastAsia="仿宋_GB2312" w:cs="仿宋_GB2312"/>
          <w:b w:val="0"/>
          <w:bCs w:val="0"/>
          <w:color w:val="auto"/>
          <w:sz w:val="32"/>
          <w:szCs w:val="32"/>
          <w:lang w:val="en-US" w:eastAsia="zh-CN"/>
        </w:rPr>
        <w:t>法律法规的学习，</w:t>
      </w:r>
      <w:r>
        <w:rPr>
          <w:rFonts w:hint="eastAsia" w:ascii="仿宋_GB2312" w:hAnsi="仿宋_GB2312" w:eastAsia="仿宋_GB2312" w:cs="仿宋_GB2312"/>
          <w:b w:val="0"/>
          <w:bCs w:val="0"/>
          <w:color w:val="auto"/>
          <w:sz w:val="32"/>
          <w:szCs w:val="32"/>
          <w:lang w:val="en-US" w:eastAsia="zh-CN"/>
        </w:rPr>
        <w:t>认真贯彻落实《应急管理系统行政执法人员依法履职管理规定》，</w:t>
      </w:r>
      <w:r>
        <w:rPr>
          <w:rFonts w:hint="default" w:ascii="仿宋_GB2312" w:hAnsi="仿宋_GB2312" w:eastAsia="仿宋_GB2312" w:cs="仿宋_GB2312"/>
          <w:b w:val="0"/>
          <w:bCs w:val="0"/>
          <w:color w:val="auto"/>
          <w:sz w:val="32"/>
          <w:szCs w:val="32"/>
          <w:lang w:val="en-US" w:eastAsia="zh-CN"/>
        </w:rPr>
        <w:t>强化</w:t>
      </w:r>
      <w:r>
        <w:rPr>
          <w:rFonts w:hint="eastAsia" w:ascii="仿宋_GB2312" w:hAnsi="仿宋_GB2312" w:eastAsia="仿宋_GB2312" w:cs="仿宋_GB2312"/>
          <w:b w:val="0"/>
          <w:bCs w:val="0"/>
          <w:color w:val="auto"/>
          <w:sz w:val="32"/>
          <w:szCs w:val="32"/>
          <w:lang w:val="en-US" w:eastAsia="zh-CN"/>
        </w:rPr>
        <w:t>执法人员法律意识和法治思维，不断增强依法履职的观念和本领</w:t>
      </w:r>
      <w:r>
        <w:rPr>
          <w:rFonts w:hint="default" w:ascii="仿宋_GB2312" w:hAnsi="仿宋_GB2312" w:eastAsia="仿宋_GB2312" w:cs="仿宋_GB2312"/>
          <w:b w:val="0"/>
          <w:bCs w:val="0"/>
          <w:color w:val="auto"/>
          <w:sz w:val="32"/>
          <w:szCs w:val="32"/>
          <w:lang w:val="en-US" w:eastAsia="zh-CN"/>
        </w:rPr>
        <w:t>。</w:t>
      </w:r>
      <w:r>
        <w:rPr>
          <w:rFonts w:hint="default" w:ascii="Times New Roman" w:hAnsi="Times New Roman" w:eastAsia="仿宋_GB2312" w:cs="Times New Roman"/>
          <w:b/>
          <w:bCs/>
          <w:color w:val="000000" w:themeColor="text1"/>
          <w:sz w:val="32"/>
          <w:szCs w:val="32"/>
          <w14:textFill>
            <w14:solidFill>
              <w14:schemeClr w14:val="tx1"/>
            </w14:solidFill>
          </w14:textFill>
        </w:rPr>
        <w:t>三是</w:t>
      </w:r>
      <w:r>
        <w:rPr>
          <w:rFonts w:hint="eastAsia" w:ascii="Times New Roman" w:hAnsi="Times New Roman" w:eastAsia="仿宋_GB2312" w:cs="Times New Roman"/>
          <w:b w:val="0"/>
          <w:bCs w:val="0"/>
          <w:color w:val="000000" w:themeColor="text1"/>
          <w:sz w:val="32"/>
          <w:szCs w:val="32"/>
          <w:lang w:eastAsia="zh-CN"/>
          <w14:textFill>
            <w14:solidFill>
              <w14:schemeClr w14:val="tx1"/>
            </w14:solidFill>
          </w14:textFill>
        </w:rPr>
        <w:t>加强专业知识学习，</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强化素质和能力</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提升</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引导执法人员加强专业技术知识学习，</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定期集中组织业务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培训，</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分期分批安排执法人员到</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重点</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企业</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进行观摩研</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习</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选派执法人员参加上级组织的业务培训，</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开拓视野，</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增长</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见</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提高</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执法</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能力</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和水平</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p>
    <w:p w14:paraId="367103B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（二）</w:t>
      </w:r>
      <w:r>
        <w:rPr>
          <w:rFonts w:hint="eastAsia" w:ascii="Times New Roman" w:hAnsi="Times New Roman" w:eastAsia="楷体_GB2312" w:cs="Times New Roman"/>
          <w:b w:val="0"/>
          <w:bCs w:val="0"/>
          <w:color w:val="auto"/>
          <w:sz w:val="32"/>
          <w:szCs w:val="32"/>
          <w:lang w:eastAsia="zh-CN"/>
        </w:rPr>
        <w:t>推进执法规范化建设</w:t>
      </w:r>
      <w:r>
        <w:rPr>
          <w:rFonts w:hint="default" w:ascii="Times New Roman" w:hAnsi="Times New Roman" w:eastAsia="楷体_GB2312" w:cs="Times New Roman"/>
          <w:b w:val="0"/>
          <w:bCs w:val="0"/>
          <w:color w:val="auto"/>
          <w:sz w:val="32"/>
          <w:szCs w:val="32"/>
        </w:rPr>
        <w:t>。</w:t>
      </w:r>
      <w:r>
        <w:rPr>
          <w:rFonts w:hint="eastAsia" w:ascii="仿宋_GB2312" w:hAnsi="仿宋_GB2312" w:eastAsia="仿宋_GB2312" w:cs="仿宋_GB2312"/>
          <w:b/>
          <w:bCs/>
          <w:color w:val="auto"/>
          <w:sz w:val="32"/>
          <w:szCs w:val="32"/>
          <w:lang w:eastAsia="zh-CN"/>
        </w:rPr>
        <w:t>一是</w:t>
      </w:r>
      <w:r>
        <w:rPr>
          <w:rFonts w:hint="eastAsia" w:ascii="仿宋_GB2312" w:hAnsi="仿宋_GB2312" w:eastAsia="仿宋_GB2312" w:cs="仿宋_GB2312"/>
          <w:b w:val="0"/>
          <w:bCs w:val="0"/>
          <w:color w:val="auto"/>
          <w:sz w:val="32"/>
          <w:szCs w:val="32"/>
          <w:lang w:val="en-US" w:eastAsia="zh-CN"/>
        </w:rPr>
        <w:t>推进行政执法标准化建设。按照《河北省应急管理厅关于印发〈</w:t>
      </w:r>
      <w:r>
        <w:rPr>
          <w:rFonts w:hint="eastAsia" w:ascii="仿宋_GB2312" w:hAnsi="仿宋_GB2312" w:eastAsia="仿宋_GB2312" w:cs="仿宋_GB2312"/>
          <w:color w:val="auto"/>
          <w:kern w:val="0"/>
          <w:sz w:val="32"/>
          <w:szCs w:val="32"/>
          <w:lang w:val="en-US" w:eastAsia="zh-CN" w:bidi="ar"/>
        </w:rPr>
        <w:t>安全生产行政执法标准化建设工作机制</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color w:val="auto"/>
          <w:kern w:val="0"/>
          <w:sz w:val="32"/>
          <w:szCs w:val="32"/>
          <w:lang w:val="en-US" w:eastAsia="zh-CN" w:bidi="ar"/>
        </w:rPr>
        <w:t>的通知</w:t>
      </w:r>
      <w:r>
        <w:rPr>
          <w:rFonts w:hint="eastAsia" w:ascii="仿宋_GB2312" w:hAnsi="仿宋_GB2312" w:eastAsia="仿宋_GB2312" w:cs="仿宋_GB2312"/>
          <w:b w:val="0"/>
          <w:bCs w:val="0"/>
          <w:color w:val="auto"/>
          <w:sz w:val="32"/>
          <w:szCs w:val="32"/>
          <w:lang w:val="en-US" w:eastAsia="zh-CN"/>
        </w:rPr>
        <w:t>》要求，进一步强化执法分析研判、一企一策、包容审慎和全过程服务等机制建设。健全完善各项</w:t>
      </w:r>
      <w:r>
        <w:rPr>
          <w:rFonts w:hint="default" w:ascii="仿宋_GB2312" w:hAnsi="仿宋_GB2312" w:eastAsia="仿宋_GB2312" w:cs="仿宋_GB2312"/>
          <w:b w:val="0"/>
          <w:bCs w:val="0"/>
          <w:color w:val="auto"/>
          <w:sz w:val="32"/>
          <w:szCs w:val="32"/>
          <w:lang w:val="en-US" w:eastAsia="zh-CN"/>
        </w:rPr>
        <w:t>执法</w:t>
      </w:r>
      <w:r>
        <w:rPr>
          <w:rFonts w:hint="eastAsia" w:ascii="仿宋_GB2312" w:hAnsi="仿宋_GB2312" w:eastAsia="仿宋_GB2312" w:cs="仿宋_GB2312"/>
          <w:b w:val="0"/>
          <w:bCs w:val="0"/>
          <w:color w:val="auto"/>
          <w:sz w:val="32"/>
          <w:szCs w:val="32"/>
          <w:lang w:val="en-US" w:eastAsia="zh-CN"/>
        </w:rPr>
        <w:t>工作台账、清单</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通过</w:t>
      </w:r>
      <w:r>
        <w:rPr>
          <w:rFonts w:hint="default" w:ascii="仿宋_GB2312" w:hAnsi="仿宋_GB2312" w:eastAsia="仿宋_GB2312" w:cs="仿宋_GB2312"/>
          <w:b w:val="0"/>
          <w:bCs w:val="0"/>
          <w:color w:val="auto"/>
          <w:sz w:val="32"/>
          <w:szCs w:val="32"/>
          <w:lang w:val="en-US" w:eastAsia="zh-CN"/>
        </w:rPr>
        <w:t>执法</w:t>
      </w:r>
      <w:r>
        <w:rPr>
          <w:rFonts w:hint="eastAsia" w:ascii="仿宋_GB2312" w:hAnsi="仿宋_GB2312" w:eastAsia="仿宋_GB2312" w:cs="仿宋_GB2312"/>
          <w:b w:val="0"/>
          <w:bCs w:val="0"/>
          <w:color w:val="auto"/>
          <w:sz w:val="32"/>
          <w:szCs w:val="32"/>
          <w:lang w:val="en-US" w:eastAsia="zh-CN"/>
        </w:rPr>
        <w:t>文书案卷</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台账清单、影像照片等资料</w:t>
      </w:r>
      <w:r>
        <w:rPr>
          <w:rFonts w:hint="default" w:ascii="仿宋_GB2312" w:hAnsi="仿宋_GB2312" w:eastAsia="仿宋_GB2312" w:cs="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lang w:val="en-US" w:eastAsia="zh-CN"/>
        </w:rPr>
        <w:t>如实</w:t>
      </w:r>
      <w:r>
        <w:rPr>
          <w:rFonts w:hint="default" w:ascii="仿宋_GB2312" w:hAnsi="仿宋_GB2312" w:eastAsia="仿宋_GB2312" w:cs="仿宋_GB2312"/>
          <w:b w:val="0"/>
          <w:bCs w:val="0"/>
          <w:color w:val="auto"/>
          <w:sz w:val="32"/>
          <w:szCs w:val="32"/>
          <w:lang w:val="en-US" w:eastAsia="zh-CN"/>
        </w:rPr>
        <w:t>记录执法工作开展情况。</w:t>
      </w:r>
      <w:r>
        <w:rPr>
          <w:rFonts w:hint="eastAsia" w:ascii="仿宋_GB2312" w:hAnsi="仿宋_GB2312" w:eastAsia="仿宋_GB2312" w:cs="仿宋_GB2312"/>
          <w:b/>
          <w:bCs/>
          <w:color w:val="auto"/>
          <w:sz w:val="32"/>
          <w:szCs w:val="32"/>
          <w:lang w:eastAsia="zh-CN"/>
        </w:rPr>
        <w:t>二是</w:t>
      </w:r>
      <w:r>
        <w:rPr>
          <w:rFonts w:hint="eastAsia" w:ascii="Times New Roman" w:hAnsi="Times New Roman" w:eastAsia="仿宋_GB2312" w:cs="Times New Roman"/>
          <w:b w:val="0"/>
          <w:bCs w:val="0"/>
          <w:color w:val="auto"/>
          <w:sz w:val="32"/>
          <w:szCs w:val="32"/>
          <w:lang w:eastAsia="zh-CN"/>
        </w:rPr>
        <w:t>落实执法信息化建设要求，全面应用应急部执法信息系统，</w:t>
      </w:r>
      <w:r>
        <w:rPr>
          <w:rFonts w:hint="eastAsia" w:ascii="仿宋_GB2312" w:hAnsi="仿宋_GB2312" w:eastAsia="仿宋_GB2312" w:cs="仿宋_GB2312"/>
          <w:color w:val="auto"/>
          <w:kern w:val="0"/>
          <w:sz w:val="32"/>
          <w:szCs w:val="32"/>
          <w:u w:val="none"/>
        </w:rPr>
        <w:t>依托现代化监管载体，构建以</w:t>
      </w:r>
      <w:r>
        <w:rPr>
          <w:rFonts w:hint="eastAsia" w:ascii="仿宋_GB2312" w:hAnsi="仿宋_GB2312" w:eastAsia="仿宋_GB2312" w:cs="仿宋_GB2312"/>
          <w:color w:val="auto"/>
          <w:kern w:val="0"/>
          <w:sz w:val="32"/>
          <w:szCs w:val="32"/>
          <w:u w:val="none"/>
          <w:lang w:eastAsia="zh-CN"/>
        </w:rPr>
        <w:t>风险隐患在线监测监控</w:t>
      </w:r>
      <w:r>
        <w:rPr>
          <w:rFonts w:hint="eastAsia" w:ascii="仿宋_GB2312" w:hAnsi="仿宋_GB2312" w:eastAsia="仿宋_GB2312" w:cs="仿宋_GB2312"/>
          <w:color w:val="auto"/>
          <w:kern w:val="0"/>
          <w:sz w:val="32"/>
          <w:szCs w:val="32"/>
          <w:u w:val="none"/>
        </w:rPr>
        <w:t>、视频监控等</w:t>
      </w:r>
      <w:r>
        <w:rPr>
          <w:rFonts w:hint="eastAsia" w:ascii="仿宋_GB2312" w:hAnsi="仿宋_GB2312" w:eastAsia="仿宋_GB2312" w:cs="仿宋_GB2312"/>
          <w:color w:val="auto"/>
          <w:kern w:val="0"/>
          <w:sz w:val="32"/>
          <w:szCs w:val="32"/>
          <w:u w:val="none"/>
          <w:lang w:eastAsia="zh-CN"/>
        </w:rPr>
        <w:t>线上</w:t>
      </w:r>
      <w:r>
        <w:rPr>
          <w:rFonts w:hint="eastAsia" w:ascii="仿宋_GB2312" w:hAnsi="仿宋_GB2312" w:eastAsia="仿宋_GB2312" w:cs="仿宋_GB2312"/>
          <w:color w:val="auto"/>
          <w:kern w:val="0"/>
          <w:sz w:val="32"/>
          <w:szCs w:val="32"/>
          <w:u w:val="none"/>
        </w:rPr>
        <w:t>设施为主，</w:t>
      </w:r>
      <w:r>
        <w:rPr>
          <w:rFonts w:hint="eastAsia" w:ascii="仿宋_GB2312" w:hAnsi="仿宋_GB2312" w:eastAsia="仿宋_GB2312" w:cs="仿宋_GB2312"/>
          <w:color w:val="auto"/>
          <w:kern w:val="0"/>
          <w:sz w:val="32"/>
          <w:szCs w:val="32"/>
          <w:u w:val="none"/>
          <w:lang w:eastAsia="zh-CN"/>
        </w:rPr>
        <w:t>线下核实、委托核实处置</w:t>
      </w:r>
      <w:r>
        <w:rPr>
          <w:rFonts w:hint="eastAsia" w:ascii="仿宋_GB2312" w:hAnsi="仿宋_GB2312" w:eastAsia="仿宋_GB2312" w:cs="仿宋_GB2312"/>
          <w:color w:val="auto"/>
          <w:kern w:val="0"/>
          <w:sz w:val="32"/>
          <w:szCs w:val="32"/>
          <w:u w:val="none"/>
        </w:rPr>
        <w:t>为辅的非现场执法监管</w:t>
      </w:r>
      <w:r>
        <w:rPr>
          <w:rFonts w:hint="eastAsia" w:ascii="仿宋_GB2312" w:hAnsi="仿宋_GB2312" w:eastAsia="仿宋_GB2312" w:cs="仿宋_GB2312"/>
          <w:color w:val="auto"/>
          <w:kern w:val="0"/>
          <w:sz w:val="32"/>
          <w:szCs w:val="32"/>
          <w:u w:val="none"/>
          <w:lang w:eastAsia="zh-CN"/>
        </w:rPr>
        <w:t>新</w:t>
      </w:r>
      <w:r>
        <w:rPr>
          <w:rFonts w:hint="eastAsia" w:ascii="仿宋_GB2312" w:hAnsi="仿宋_GB2312" w:eastAsia="仿宋_GB2312" w:cs="仿宋_GB2312"/>
          <w:color w:val="auto"/>
          <w:kern w:val="0"/>
          <w:sz w:val="32"/>
          <w:szCs w:val="32"/>
          <w:u w:val="none"/>
        </w:rPr>
        <w:t>模式，全面提升</w:t>
      </w:r>
      <w:r>
        <w:rPr>
          <w:rFonts w:hint="eastAsia" w:ascii="仿宋_GB2312" w:hAnsi="仿宋_GB2312" w:eastAsia="仿宋_GB2312" w:cs="仿宋_GB2312"/>
          <w:color w:val="auto"/>
          <w:kern w:val="0"/>
          <w:sz w:val="32"/>
          <w:szCs w:val="32"/>
          <w:u w:val="none"/>
          <w:lang w:eastAsia="zh-CN"/>
        </w:rPr>
        <w:t>安全生产</w:t>
      </w:r>
      <w:r>
        <w:rPr>
          <w:rFonts w:hint="eastAsia" w:ascii="仿宋_GB2312" w:hAnsi="仿宋_GB2312" w:eastAsia="仿宋_GB2312" w:cs="仿宋_GB2312"/>
          <w:color w:val="auto"/>
          <w:kern w:val="0"/>
          <w:sz w:val="32"/>
          <w:szCs w:val="32"/>
          <w:u w:val="none"/>
        </w:rPr>
        <w:t>执法效能。</w:t>
      </w:r>
      <w:r>
        <w:rPr>
          <w:rFonts w:hint="eastAsia" w:ascii="仿宋_GB2312" w:hAnsi="仿宋_GB2312" w:eastAsia="仿宋_GB2312" w:cs="仿宋_GB2312"/>
          <w:b/>
          <w:bCs/>
          <w:color w:val="auto"/>
          <w:sz w:val="32"/>
          <w:szCs w:val="32"/>
          <w:lang w:val="en-US" w:eastAsia="zh-CN"/>
        </w:rPr>
        <w:t>三</w:t>
      </w:r>
      <w:r>
        <w:rPr>
          <w:rFonts w:hint="default" w:ascii="仿宋_GB2312" w:hAnsi="仿宋_GB2312" w:eastAsia="仿宋_GB2312" w:cs="仿宋_GB2312"/>
          <w:b/>
          <w:bCs/>
          <w:color w:val="auto"/>
          <w:sz w:val="32"/>
          <w:szCs w:val="32"/>
          <w:lang w:eastAsia="zh-CN"/>
        </w:rPr>
        <w:t>是</w:t>
      </w:r>
      <w:r>
        <w:rPr>
          <w:rFonts w:hint="default" w:ascii="仿宋_GB2312" w:hAnsi="仿宋_GB2312" w:eastAsia="仿宋_GB2312" w:cs="仿宋_GB2312"/>
          <w:b w:val="0"/>
          <w:bCs w:val="0"/>
          <w:color w:val="auto"/>
          <w:sz w:val="32"/>
          <w:szCs w:val="32"/>
          <w:lang w:val="en-US" w:eastAsia="zh-CN"/>
        </w:rPr>
        <w:t>强化</w:t>
      </w:r>
      <w:r>
        <w:rPr>
          <w:rFonts w:hint="eastAsia" w:ascii="仿宋_GB2312" w:hAnsi="仿宋_GB2312" w:eastAsia="仿宋_GB2312" w:cs="仿宋_GB2312"/>
          <w:b w:val="0"/>
          <w:bCs w:val="0"/>
          <w:color w:val="auto"/>
          <w:sz w:val="32"/>
          <w:szCs w:val="32"/>
          <w:lang w:val="en-US" w:eastAsia="zh-CN"/>
        </w:rPr>
        <w:t>执法监督工作。对县本级办理的案件认真开展法制审核，适时开展行政执法现场监督，及时纠正执法工作走过场、执法程序不规范的情形，定期开展全市案卷评查，重点审查行政处罚案件的合法性及</w:t>
      </w:r>
      <w:r>
        <w:rPr>
          <w:rFonts w:hint="eastAsia" w:ascii="仿宋_GB2312" w:hAnsi="仿宋_GB2312" w:eastAsia="仿宋_GB2312" w:cs="仿宋_GB2312"/>
          <w:color w:val="auto"/>
          <w:sz w:val="32"/>
          <w:szCs w:val="32"/>
          <w:lang w:val="en-US" w:eastAsia="zh-CN"/>
        </w:rPr>
        <w:t>适当性，增强</w:t>
      </w:r>
      <w:r>
        <w:rPr>
          <w:rFonts w:hint="default" w:ascii="仿宋_GB2312" w:hAnsi="仿宋_GB2312" w:eastAsia="仿宋_GB2312" w:cs="仿宋_GB2312"/>
          <w:color w:val="auto"/>
          <w:sz w:val="32"/>
          <w:szCs w:val="32"/>
          <w:lang w:val="en-US" w:eastAsia="zh-CN"/>
        </w:rPr>
        <w:t>执法</w:t>
      </w:r>
      <w:r>
        <w:rPr>
          <w:rFonts w:hint="eastAsia" w:ascii="仿宋_GB2312" w:hAnsi="仿宋_GB2312" w:eastAsia="仿宋_GB2312" w:cs="仿宋_GB2312"/>
          <w:color w:val="auto"/>
          <w:sz w:val="32"/>
          <w:szCs w:val="32"/>
          <w:lang w:val="en-US" w:eastAsia="zh-CN"/>
        </w:rPr>
        <w:t>文书、案卷的规范性。</w:t>
      </w:r>
    </w:p>
    <w:p w14:paraId="282C71F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pPr>
      <w:r>
        <w:rPr>
          <w:rFonts w:hint="default" w:ascii="Times New Roman" w:hAnsi="Times New Roman" w:eastAsia="楷体_GB2312" w:cs="Times New Roman"/>
          <w:b w:val="0"/>
          <w:bCs w:val="0"/>
          <w:color w:val="000000" w:themeColor="text1"/>
          <w:sz w:val="32"/>
          <w:szCs w:val="32"/>
          <w14:textFill>
            <w14:solidFill>
              <w14:schemeClr w14:val="tx1"/>
            </w14:solidFill>
          </w14:textFill>
        </w:rPr>
        <w:t>（三）</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切实</w:t>
      </w:r>
      <w:r>
        <w:rPr>
          <w:rFonts w:hint="default" w:ascii="Times New Roman" w:hAnsi="Times New Roman" w:eastAsia="楷体_GB2312" w:cs="Times New Roman"/>
          <w:b w:val="0"/>
          <w:bCs w:val="0"/>
          <w:color w:val="000000" w:themeColor="text1"/>
          <w:sz w:val="32"/>
          <w:szCs w:val="32"/>
          <w14:textFill>
            <w14:solidFill>
              <w14:schemeClr w14:val="tx1"/>
            </w14:solidFill>
          </w14:textFill>
        </w:rPr>
        <w:t>履职尽责。</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要</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依法对生产经营单位执行有关安全生产的法律、法规和国家标准或行业标准的情况进行监督检查。</w:t>
      </w:r>
      <w:r>
        <w:rPr>
          <w:rFonts w:hint="default" w:ascii="Times New Roman" w:hAnsi="Times New Roman" w:eastAsia="仿宋_GB2312" w:cs="Times New Roman"/>
          <w:b/>
          <w:bCs/>
          <w:color w:val="000000" w:themeColor="text1"/>
          <w:sz w:val="32"/>
          <w:szCs w:val="32"/>
          <w14:textFill>
            <w14:solidFill>
              <w14:schemeClr w14:val="tx1"/>
            </w14:solidFill>
          </w14:textFill>
        </w:rPr>
        <w:t>一是</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围绕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推进落实</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企</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业</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安全生产主体责任开展执法检查。</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二</w:t>
      </w:r>
      <w:r>
        <w:rPr>
          <w:rFonts w:hint="default" w:ascii="Times New Roman" w:hAnsi="Times New Roman" w:eastAsia="仿宋_GB2312" w:cs="Times New Roman"/>
          <w:b/>
          <w:bCs/>
          <w:color w:val="000000" w:themeColor="text1"/>
          <w:sz w:val="32"/>
          <w:szCs w:val="32"/>
          <w14:textFill>
            <w14:solidFill>
              <w14:schemeClr w14:val="tx1"/>
            </w14:solidFill>
          </w14:textFill>
        </w:rPr>
        <w:t>是</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对检查中发现的安全生产违法行为，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要</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当场予以纠正或者要求其限期改正；对应当给予行政处罚的</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安全生产违法</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行为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和问题</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必须</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依法</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依规</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作出行政处罚。</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三是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各中队要保证执法工作信息共享、协调联动，及时沟通情况。</w:t>
      </w:r>
      <w:r>
        <w:rPr>
          <w:rFonts w:hint="eastAsia" w:ascii="Times New Roman" w:hAnsi="Times New Roman" w:eastAsia="仿宋_GB2312" w:cs="Times New Roman"/>
          <w:b/>
          <w:bCs/>
          <w:color w:val="000000" w:themeColor="text1"/>
          <w:sz w:val="32"/>
          <w:szCs w:val="32"/>
          <w:lang w:eastAsia="zh-CN"/>
          <w14:textFill>
            <w14:solidFill>
              <w14:schemeClr w14:val="tx1"/>
            </w14:solidFill>
          </w14:textFill>
        </w:rPr>
        <w:t>四是</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加强与其他部门间信息沟通和通报，凡是在监督检查中发现不属于</w:t>
      </w:r>
      <w:r>
        <w:rPr>
          <w:rFonts w:hint="eastAsia" w:ascii="仿宋_GB2312" w:hAnsi="仿宋_GB2312" w:eastAsia="仿宋_GB2312" w:cs="仿宋_GB2312"/>
          <w:b w:val="0"/>
          <w:bCs w:val="0"/>
          <w:color w:val="auto"/>
          <w:sz w:val="32"/>
          <w:szCs w:val="32"/>
          <w:lang w:val="en-US" w:eastAsia="zh-CN"/>
        </w:rPr>
        <w:t>本部门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监管职责范围的问题，要按照有关要求及时向其它部门通报或移交。</w:t>
      </w:r>
    </w:p>
    <w:p w14:paraId="72D6E545">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color w:val="auto"/>
          <w:sz w:val="32"/>
          <w:szCs w:val="32"/>
          <w:lang w:val="en-US" w:eastAsia="zh-CN"/>
        </w:rPr>
      </w:pP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（四）严格</w:t>
      </w:r>
      <w:r>
        <w:rPr>
          <w:rFonts w:hint="eastAsia" w:ascii="Times New Roman" w:hAnsi="Times New Roman" w:eastAsia="楷体_GB2312" w:cs="Times New Roman"/>
          <w:b w:val="0"/>
          <w:bCs w:val="0"/>
          <w:color w:val="000000" w:themeColor="text1"/>
          <w:sz w:val="32"/>
          <w:szCs w:val="32"/>
          <w:lang w:val="en-US" w:eastAsia="zh-CN"/>
          <w14:textFill>
            <w14:solidFill>
              <w14:schemeClr w14:val="tx1"/>
            </w14:solidFill>
          </w14:textFill>
        </w:rPr>
        <w:t>落实</w:t>
      </w:r>
      <w:r>
        <w:rPr>
          <w:rFonts w:hint="eastAsia" w:ascii="Times New Roman" w:hAnsi="Times New Roman" w:eastAsia="楷体_GB2312" w:cs="Times New Roman"/>
          <w:b w:val="0"/>
          <w:bCs w:val="0"/>
          <w:color w:val="000000" w:themeColor="text1"/>
          <w:sz w:val="32"/>
          <w:szCs w:val="32"/>
          <w:lang w:eastAsia="zh-CN"/>
          <w14:textFill>
            <w14:solidFill>
              <w14:schemeClr w14:val="tx1"/>
            </w14:solidFill>
          </w14:textFill>
        </w:rPr>
        <w:t>工作</w:t>
      </w:r>
      <w:r>
        <w:rPr>
          <w:rFonts w:hint="default" w:ascii="Times New Roman" w:hAnsi="Times New Roman" w:eastAsia="楷体_GB2312" w:cs="Times New Roman"/>
          <w:b w:val="0"/>
          <w:bCs w:val="0"/>
          <w:color w:val="000000" w:themeColor="text1"/>
          <w:sz w:val="32"/>
          <w:szCs w:val="32"/>
          <w:lang w:eastAsia="zh-CN"/>
          <w14:textFill>
            <w14:solidFill>
              <w14:schemeClr w14:val="tx1"/>
            </w14:solidFill>
          </w14:textFill>
        </w:rPr>
        <w:t>纪律。</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执法</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人员</w:t>
      </w:r>
      <w:r>
        <w:rPr>
          <w:rFonts w:hint="eastAsia" w:ascii="仿宋_GB2312" w:hAnsi="仿宋_GB2312" w:eastAsia="仿宋_GB2312" w:cs="仿宋_GB2312"/>
          <w:color w:val="auto"/>
          <w:sz w:val="32"/>
          <w:szCs w:val="32"/>
          <w:lang w:val="en-US" w:eastAsia="zh-CN"/>
        </w:rPr>
        <w:t>认真落实国务院《关于严格规范涉企行政检查的意见》和省、市和县关于</w:t>
      </w:r>
      <w:r>
        <w:rPr>
          <w:rFonts w:hint="eastAsia" w:ascii="仿宋_GB2312" w:hAnsi="仿宋_GB2312" w:eastAsia="仿宋_GB2312" w:cs="仿宋_GB2312"/>
          <w:sz w:val="32"/>
          <w:szCs w:val="32"/>
          <w:u w:val="none"/>
          <w:lang w:eastAsia="zh-CN"/>
        </w:rPr>
        <w:t>优化营商环境工作要求</w:t>
      </w:r>
      <w:r>
        <w:rPr>
          <w:rFonts w:hint="eastAsia" w:ascii="仿宋_GB2312" w:hAnsi="仿宋_GB2312" w:eastAsia="仿宋_GB2312" w:cs="仿宋_GB2312"/>
          <w:color w:val="auto"/>
          <w:sz w:val="32"/>
          <w:szCs w:val="32"/>
          <w:lang w:eastAsia="zh-CN"/>
        </w:rPr>
        <w:t>，进一步规范执法检查，持</w:t>
      </w:r>
      <w:r>
        <w:rPr>
          <w:rFonts w:hint="eastAsia" w:ascii="仿宋_GB2312" w:hAnsi="仿宋_GB2312" w:eastAsia="仿宋_GB2312" w:cs="仿宋_GB2312"/>
          <w:sz w:val="32"/>
          <w:szCs w:val="32"/>
          <w:u w:val="none"/>
          <w:lang w:eastAsia="zh-CN"/>
        </w:rPr>
        <w:t>续优化营商环境，</w:t>
      </w:r>
      <w:r>
        <w:rPr>
          <w:rFonts w:hint="eastAsia" w:ascii="仿宋_GB2312" w:hAnsi="仿宋_GB2312" w:eastAsia="仿宋_GB2312" w:cs="仿宋_GB2312"/>
          <w:b w:val="0"/>
          <w:bCs w:val="0"/>
          <w:sz w:val="32"/>
          <w:szCs w:val="32"/>
          <w:u w:val="none"/>
          <w:lang w:eastAsia="zh-CN"/>
        </w:rPr>
        <w:t>着力构建新型亲清政商关系，</w:t>
      </w:r>
      <w:r>
        <w:rPr>
          <w:rFonts w:hint="eastAsia" w:ascii="仿宋_GB2312" w:hAnsi="仿宋_GB2312" w:eastAsia="仿宋_GB2312" w:cs="仿宋_GB2312"/>
          <w:b w:val="0"/>
          <w:bCs w:val="0"/>
          <w:sz w:val="32"/>
          <w:szCs w:val="32"/>
        </w:rPr>
        <w:t>做到执法既有</w:t>
      </w:r>
      <w:r>
        <w:rPr>
          <w:rFonts w:hint="eastAsia" w:ascii="仿宋_GB2312" w:hAnsi="仿宋_GB2312" w:eastAsia="仿宋_GB2312" w:cs="仿宋_GB2312"/>
          <w:b w:val="0"/>
          <w:bCs w:val="0"/>
          <w:sz w:val="32"/>
          <w:szCs w:val="32"/>
          <w:lang w:eastAsia="zh-CN"/>
        </w:rPr>
        <w:t>力</w:t>
      </w:r>
      <w:r>
        <w:rPr>
          <w:rFonts w:hint="eastAsia" w:ascii="仿宋_GB2312" w:hAnsi="仿宋_GB2312" w:eastAsia="仿宋_GB2312" w:cs="仿宋_GB2312"/>
          <w:b w:val="0"/>
          <w:bCs w:val="0"/>
          <w:sz w:val="32"/>
          <w:szCs w:val="32"/>
        </w:rPr>
        <w:t>度又有温度</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color w:val="auto"/>
          <w:sz w:val="32"/>
          <w:szCs w:val="32"/>
          <w:lang w:val="en-US" w:eastAsia="zh-CN"/>
        </w:rPr>
        <w:t>执法检查时要按照着装规定穿着统一制式服装，</w:t>
      </w:r>
      <w:r>
        <w:rPr>
          <w:rFonts w:hint="eastAsia" w:ascii="仿宋_GB2312" w:hAnsi="仿宋_GB2312" w:eastAsia="仿宋_GB2312" w:cs="仿宋_GB2312"/>
          <w:color w:val="auto"/>
          <w:sz w:val="32"/>
          <w:szCs w:val="32"/>
          <w:lang w:val="en-US" w:eastAsia="zh-CN"/>
        </w:rPr>
        <w:t>规范佩戴执法标志。凡不依法履职或违反法定职责和程序不作为、乱作为、慢作为的，依法依规追究相关人员责任。</w:t>
      </w:r>
    </w:p>
    <w:p w14:paraId="0E022855">
      <w:pPr>
        <w:pStyle w:val="2"/>
        <w:ind w:left="0" w:leftChars="0" w:firstLine="0" w:firstLineChars="0"/>
        <w:rPr>
          <w:rFonts w:hint="default" w:ascii="仿宋_GB2312" w:hAnsi="仿宋_GB2312" w:eastAsia="仿宋_GB2312" w:cs="仿宋_GB2312"/>
          <w:color w:val="auto"/>
          <w:sz w:val="32"/>
          <w:szCs w:val="32"/>
          <w:lang w:val="en-US" w:eastAsia="zh-CN"/>
        </w:rPr>
      </w:pPr>
    </w:p>
    <w:p w14:paraId="34EEDA84">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p>
    <w:p w14:paraId="0B7AACE8">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b w:val="0"/>
          <w:bCs w:val="0"/>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2026</w:t>
      </w:r>
      <w:r>
        <w:rPr>
          <w:rFonts w:hint="eastAsia" w:ascii="仿宋_GB2312" w:hAnsi="仿宋_GB2312" w:eastAsia="仿宋_GB2312" w:cs="仿宋_GB2312"/>
          <w:b w:val="0"/>
          <w:bCs w:val="0"/>
          <w:color w:val="000000" w:themeColor="text1"/>
          <w:sz w:val="32"/>
          <w:szCs w:val="32"/>
          <w14:textFill>
            <w14:solidFill>
              <w14:schemeClr w14:val="tx1"/>
            </w14:solidFill>
          </w14:textFill>
        </w:rPr>
        <w:t>年重点监督检查企业名单</w:t>
      </w:r>
    </w:p>
    <w:p w14:paraId="235F6303">
      <w:pPr>
        <w:keepNext w:val="0"/>
        <w:keepLines w:val="0"/>
        <w:pageBreakBefore w:val="0"/>
        <w:widowControl w:val="0"/>
        <w:numPr>
          <w:ilvl w:val="0"/>
          <w:numId w:val="0"/>
        </w:numPr>
        <w:kinsoku/>
        <w:wordWrap/>
        <w:overflowPunct/>
        <w:topLinePunct w:val="0"/>
        <w:autoSpaceDE/>
        <w:bidi w:val="0"/>
        <w:spacing w:line="560" w:lineRule="exact"/>
        <w:ind w:firstLine="1600" w:firstLineChars="5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重点监督检查内容</w:t>
      </w:r>
    </w:p>
    <w:p w14:paraId="04F3BCF4">
      <w:pPr>
        <w:keepNext w:val="0"/>
        <w:keepLines w:val="0"/>
        <w:pageBreakBefore w:val="0"/>
        <w:widowControl w:val="0"/>
        <w:kinsoku/>
        <w:wordWrap/>
        <w:overflowPunct/>
        <w:topLinePunct w:val="0"/>
        <w:autoSpaceDE/>
        <w:autoSpaceDN/>
        <w:bidi w:val="0"/>
        <w:adjustRightInd/>
        <w:snapToGrid/>
        <w:spacing w:line="560" w:lineRule="exact"/>
        <w:ind w:right="0" w:rightChars="0" w:firstLine="1600" w:firstLineChars="500"/>
        <w:jc w:val="both"/>
        <w:textAlignment w:val="auto"/>
        <w:outlineLvl w:val="9"/>
        <w:rPr>
          <w:rFonts w:hint="eastAsia" w:ascii="黑体" w:hAnsi="黑体" w:eastAsia="黑体" w:cs="黑体"/>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2026</w:t>
      </w:r>
      <w:r>
        <w:rPr>
          <w:rFonts w:hint="eastAsia" w:ascii="仿宋_GB2312" w:hAnsi="仿宋_GB2312" w:eastAsia="仿宋_GB2312" w:cs="仿宋_GB2312"/>
          <w:color w:val="000000" w:themeColor="text1"/>
          <w:sz w:val="32"/>
          <w:szCs w:val="32"/>
          <w14:textFill>
            <w14:solidFill>
              <w14:schemeClr w14:val="tx1"/>
            </w14:solidFill>
          </w14:textFill>
        </w:rPr>
        <w:t>年</w:t>
      </w:r>
      <w:r>
        <w:rPr>
          <w:rFonts w:hint="eastAsia" w:ascii="仿宋_GB2312" w:hAnsi="仿宋_GB2312" w:eastAsia="仿宋_GB2312" w:cs="仿宋_GB2312"/>
          <w:color w:val="000000" w:themeColor="text1"/>
          <w:sz w:val="32"/>
          <w:szCs w:val="32"/>
          <w:lang w:eastAsia="zh-CN"/>
          <w14:textFill>
            <w14:solidFill>
              <w14:schemeClr w14:val="tx1"/>
            </w14:solidFill>
          </w14:textFill>
        </w:rPr>
        <w:t>监督</w:t>
      </w:r>
      <w:r>
        <w:rPr>
          <w:rFonts w:hint="eastAsia" w:ascii="仿宋_GB2312" w:hAnsi="仿宋_GB2312" w:eastAsia="仿宋_GB2312" w:cs="仿宋_GB2312"/>
          <w:color w:val="000000" w:themeColor="text1"/>
          <w:sz w:val="32"/>
          <w:szCs w:val="32"/>
          <w14:textFill>
            <w14:solidFill>
              <w14:schemeClr w14:val="tx1"/>
            </w14:solidFill>
          </w14:textFill>
        </w:rPr>
        <w:t>检查时间及任务分配表</w:t>
      </w:r>
    </w:p>
    <w:p w14:paraId="541231A1">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right="0" w:rightChars="0" w:firstLine="1600" w:firstLineChars="5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2026年一般监督检查企业名单</w:t>
      </w:r>
    </w:p>
    <w:p w14:paraId="7B683C4E">
      <w:pPr>
        <w:keepNext w:val="0"/>
        <w:keepLines w:val="0"/>
        <w:pageBreakBefore w:val="0"/>
        <w:widowControl w:val="0"/>
        <w:kinsoku/>
        <w:wordWrap/>
        <w:overflowPunct/>
        <w:topLinePunct w:val="0"/>
        <w:autoSpaceDE/>
        <w:bidi w:val="0"/>
        <w:spacing w:line="560" w:lineRule="exact"/>
        <w:ind w:firstLine="1600" w:firstLineChars="500"/>
        <w:textAlignment w:val="auto"/>
        <w:rPr>
          <w:rFonts w:hint="eastAsia" w:ascii="黑体" w:hAnsi="黑体" w:eastAsia="黑体" w:cs="黑体"/>
          <w:sz w:val="32"/>
          <w:szCs w:val="32"/>
          <w:lang w:val="en-US" w:eastAsia="zh-CN"/>
        </w:rPr>
      </w:pPr>
    </w:p>
    <w:p w14:paraId="0591A42F">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5933449A">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14CED7F8">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7649E891">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7933F7F8">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59C0EFA9">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757BCCF5">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45D47B56">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6AB60D68">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07D62EAE">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41A2D371">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707F8651">
      <w:pPr>
        <w:pStyle w:val="2"/>
        <w:rPr>
          <w:rFonts w:hint="eastAsia" w:ascii="黑体" w:hAnsi="黑体" w:eastAsia="黑体" w:cs="黑体"/>
          <w:sz w:val="32"/>
          <w:szCs w:val="32"/>
          <w:lang w:val="en-US" w:eastAsia="zh-CN"/>
        </w:rPr>
      </w:pPr>
    </w:p>
    <w:p w14:paraId="351C858C">
      <w:pPr>
        <w:pStyle w:val="2"/>
        <w:rPr>
          <w:rFonts w:hint="eastAsia" w:ascii="黑体" w:hAnsi="黑体" w:eastAsia="黑体" w:cs="黑体"/>
          <w:sz w:val="32"/>
          <w:szCs w:val="32"/>
          <w:lang w:val="en-US" w:eastAsia="zh-CN"/>
        </w:rPr>
      </w:pPr>
    </w:p>
    <w:p w14:paraId="5F09CABE">
      <w:pPr>
        <w:keepNext w:val="0"/>
        <w:keepLines w:val="0"/>
        <w:pageBreakBefore w:val="0"/>
        <w:widowControl w:val="0"/>
        <w:kinsoku/>
        <w:wordWrap/>
        <w:overflowPunct/>
        <w:topLinePunct w:val="0"/>
        <w:autoSpaceDE/>
        <w:bidi w:val="0"/>
        <w:spacing w:line="560" w:lineRule="exact"/>
        <w:textAlignment w:val="auto"/>
        <w:rPr>
          <w:rFonts w:hint="eastAsia" w:ascii="黑体" w:hAnsi="黑体" w:eastAsia="黑体" w:cs="黑体"/>
          <w:sz w:val="32"/>
          <w:szCs w:val="32"/>
          <w:lang w:val="en-US" w:eastAsia="zh-CN"/>
        </w:rPr>
      </w:pPr>
    </w:p>
    <w:p w14:paraId="0F0F1627">
      <w:pPr>
        <w:keepNext w:val="0"/>
        <w:keepLines w:val="0"/>
        <w:pageBreakBefore w:val="0"/>
        <w:widowControl w:val="0"/>
        <w:kinsoku/>
        <w:wordWrap/>
        <w:overflowPunct/>
        <w:topLinePunct w:val="0"/>
        <w:autoSpaceDE/>
        <w:bidi w:val="0"/>
        <w:spacing w:line="560" w:lineRule="exact"/>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附件1</w:t>
      </w:r>
    </w:p>
    <w:p w14:paraId="0CD0BE5F">
      <w:pPr>
        <w:spacing w:line="560" w:lineRule="exact"/>
        <w:jc w:val="center"/>
        <w:rPr>
          <w:rFonts w:hint="eastAsia" w:ascii="方正小标宋简体" w:hAnsi="方正小标宋简体" w:eastAsia="方正小标宋简体" w:cs="方正小标宋简体"/>
          <w:b w:val="0"/>
          <w:bCs w:val="0"/>
          <w:color w:val="000000"/>
          <w:sz w:val="44"/>
          <w:szCs w:val="44"/>
        </w:rPr>
      </w:pPr>
      <w:r>
        <w:rPr>
          <w:rFonts w:hint="eastAsia" w:ascii="方正小标宋简体" w:hAnsi="方正小标宋简体" w:eastAsia="方正小标宋简体" w:cs="方正小标宋简体"/>
          <w:b w:val="0"/>
          <w:bCs w:val="0"/>
          <w:color w:val="000000"/>
          <w:sz w:val="44"/>
          <w:szCs w:val="44"/>
        </w:rPr>
        <w:t>20</w:t>
      </w:r>
      <w:r>
        <w:rPr>
          <w:rFonts w:hint="eastAsia" w:ascii="方正小标宋简体" w:hAnsi="方正小标宋简体" w:eastAsia="方正小标宋简体" w:cs="方正小标宋简体"/>
          <w:b w:val="0"/>
          <w:bCs w:val="0"/>
          <w:color w:val="000000"/>
          <w:sz w:val="44"/>
          <w:szCs w:val="44"/>
          <w:lang w:val="en-US" w:eastAsia="zh-CN"/>
        </w:rPr>
        <w:t>26</w:t>
      </w:r>
      <w:r>
        <w:rPr>
          <w:rFonts w:hint="eastAsia" w:ascii="方正小标宋简体" w:hAnsi="方正小标宋简体" w:eastAsia="方正小标宋简体" w:cs="方正小标宋简体"/>
          <w:b w:val="0"/>
          <w:bCs w:val="0"/>
          <w:color w:val="000000"/>
          <w:sz w:val="44"/>
          <w:szCs w:val="44"/>
        </w:rPr>
        <w:t>年重点监督检查企业名单</w:t>
      </w:r>
    </w:p>
    <w:p w14:paraId="3EA21221">
      <w:pPr>
        <w:spacing w:line="560" w:lineRule="exact"/>
        <w:jc w:val="center"/>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b w:val="0"/>
          <w:bCs w:val="0"/>
          <w:color w:val="000000"/>
          <w:sz w:val="44"/>
          <w:szCs w:val="44"/>
          <w:lang w:eastAsia="zh-CN"/>
        </w:rPr>
        <w:t>（</w:t>
      </w:r>
      <w:r>
        <w:rPr>
          <w:rFonts w:hint="eastAsia" w:ascii="方正小标宋简体" w:hAnsi="方正小标宋简体" w:eastAsia="方正小标宋简体" w:cs="方正小标宋简体"/>
          <w:b w:val="0"/>
          <w:bCs w:val="0"/>
          <w:color w:val="000000"/>
          <w:sz w:val="44"/>
          <w:szCs w:val="44"/>
          <w:lang w:val="en-US" w:eastAsia="zh-CN"/>
        </w:rPr>
        <w:t>20家</w:t>
      </w:r>
      <w:r>
        <w:rPr>
          <w:rFonts w:hint="eastAsia" w:ascii="方正小标宋简体" w:hAnsi="方正小标宋简体" w:eastAsia="方正小标宋简体" w:cs="方正小标宋简体"/>
          <w:b w:val="0"/>
          <w:bCs w:val="0"/>
          <w:color w:val="000000"/>
          <w:sz w:val="44"/>
          <w:szCs w:val="44"/>
          <w:lang w:eastAsia="zh-CN"/>
        </w:rPr>
        <w:t>）</w:t>
      </w:r>
    </w:p>
    <w:p w14:paraId="25DEDF1B">
      <w:pPr>
        <w:spacing w:line="560" w:lineRule="exact"/>
        <w:jc w:val="center"/>
        <w:rPr>
          <w:rFonts w:hint="default" w:ascii="Times New Roman" w:hAnsi="Times New Roman" w:eastAsia="方正小标宋简体" w:cs="Times New Roman"/>
          <w:color w:val="000000"/>
          <w:sz w:val="36"/>
          <w:szCs w:val="36"/>
        </w:rPr>
      </w:pPr>
    </w:p>
    <w:p w14:paraId="0B101F27">
      <w:pPr>
        <w:pStyle w:val="9"/>
        <w:spacing w:line="560" w:lineRule="exact"/>
        <w:ind w:firstLine="640" w:firstLineChars="200"/>
        <w:rPr>
          <w:rFonts w:hint="eastAsia" w:ascii="仿宋_GB2312" w:hAnsi="仿宋_GB2312" w:eastAsia="黑体" w:cs="仿宋_GB2312"/>
          <w:sz w:val="32"/>
          <w:szCs w:val="32"/>
          <w:lang w:eastAsia="zh-CN"/>
        </w:rPr>
      </w:pPr>
      <w:r>
        <w:rPr>
          <w:rFonts w:hint="eastAsia" w:ascii="黑体" w:hAnsi="黑体" w:eastAsia="黑体" w:cs="黑体"/>
          <w:sz w:val="32"/>
          <w:szCs w:val="32"/>
          <w:lang w:val="en-US" w:eastAsia="zh-CN"/>
        </w:rPr>
        <w:t>一、危险化学品企业（7家）</w:t>
      </w:r>
    </w:p>
    <w:p w14:paraId="502CF696">
      <w:pPr>
        <w:widowControl/>
        <w:shd w:val="clear" w:color="auto" w:fill="FFFFFF"/>
        <w:spacing w:line="560" w:lineRule="exact"/>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1.行唐县只里供销社加油站</w:t>
      </w:r>
    </w:p>
    <w:p w14:paraId="0AE8C61C">
      <w:pPr>
        <w:widowControl/>
        <w:shd w:val="clear" w:color="auto" w:fill="FFFFFF"/>
        <w:spacing w:line="560" w:lineRule="exact"/>
        <w:ind w:firstLine="64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pacing w:val="0"/>
          <w:sz w:val="32"/>
          <w:szCs w:val="32"/>
          <w:lang w:val="en-US" w:eastAsia="zh-CN"/>
        </w:rPr>
        <w:t>行唐县七里峰加油站</w:t>
      </w:r>
    </w:p>
    <w:p w14:paraId="76379B5C">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3.行唐县路通加油站</w:t>
      </w:r>
    </w:p>
    <w:p w14:paraId="3768D714">
      <w:pPr>
        <w:widowControl/>
        <w:shd w:val="clear" w:color="auto" w:fill="FFFFFF"/>
        <w:spacing w:line="560" w:lineRule="exact"/>
        <w:ind w:firstLine="64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4.行唐县顺发加油站</w:t>
      </w:r>
    </w:p>
    <w:p w14:paraId="2FA853A6">
      <w:pPr>
        <w:widowControl/>
        <w:shd w:val="clear" w:color="auto" w:fill="FFFFFF"/>
        <w:spacing w:line="560" w:lineRule="exact"/>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5.行唐县龙禹石化加油站</w:t>
      </w:r>
    </w:p>
    <w:p w14:paraId="7638F68C">
      <w:pPr>
        <w:widowControl/>
        <w:shd w:val="clear" w:color="auto" w:fill="FFFFFF"/>
        <w:spacing w:line="560" w:lineRule="exact"/>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6.行唐县南桥兴华加油站</w:t>
      </w:r>
    </w:p>
    <w:p w14:paraId="6DDE8662">
      <w:pPr>
        <w:widowControl/>
        <w:shd w:val="clear" w:color="auto" w:fill="FFFFFF"/>
        <w:spacing w:line="560" w:lineRule="exact"/>
        <w:ind w:firstLine="640"/>
        <w:jc w:val="lef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7.行唐县富达加油站</w:t>
      </w:r>
    </w:p>
    <w:p w14:paraId="7CD5B7C4">
      <w:pPr>
        <w:spacing w:line="560" w:lineRule="exact"/>
        <w:ind w:firstLine="640" w:firstLineChars="200"/>
        <w:jc w:val="left"/>
        <w:rPr>
          <w:rFonts w:hint="default" w:ascii="黑体" w:hAnsi="黑体" w:eastAsia="黑体" w:cs="黑体"/>
          <w:b w:val="0"/>
          <w:bCs w:val="0"/>
          <w:color w:val="000000"/>
          <w:sz w:val="32"/>
          <w:szCs w:val="32"/>
          <w:lang w:val="en-US" w:eastAsia="zh-CN"/>
        </w:rPr>
      </w:pPr>
      <w:r>
        <w:rPr>
          <w:rFonts w:hint="eastAsia" w:ascii="黑体" w:hAnsi="黑体" w:eastAsia="黑体" w:cs="黑体"/>
          <w:sz w:val="32"/>
          <w:szCs w:val="32"/>
          <w:lang w:val="en-US" w:eastAsia="zh-CN"/>
        </w:rPr>
        <w:t>二、</w:t>
      </w:r>
      <w:r>
        <w:rPr>
          <w:rFonts w:hint="eastAsia" w:ascii="黑体" w:hAnsi="黑体" w:eastAsia="黑体" w:cs="黑体"/>
          <w:b w:val="0"/>
          <w:bCs w:val="0"/>
          <w:color w:val="000000"/>
          <w:sz w:val="32"/>
          <w:szCs w:val="32"/>
          <w:lang w:val="en-US" w:eastAsia="zh-CN"/>
        </w:rPr>
        <w:t>粉尘涉爆企业（2家）</w:t>
      </w:r>
    </w:p>
    <w:p w14:paraId="426B0777">
      <w:pPr>
        <w:widowControl/>
        <w:shd w:val="clear" w:color="auto" w:fill="FFFFFF"/>
        <w:spacing w:line="560" w:lineRule="exact"/>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1.河北华宇小蜜蜂家具有限公司</w:t>
      </w:r>
    </w:p>
    <w:p w14:paraId="124E9BA1">
      <w:pPr>
        <w:widowControl/>
        <w:shd w:val="clear" w:color="auto" w:fill="FFFFFF"/>
        <w:spacing w:line="560" w:lineRule="exact"/>
        <w:ind w:firstLine="64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2.石家庄金卓轩家具有限公司</w:t>
      </w:r>
    </w:p>
    <w:p w14:paraId="3D79AE3B">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黑体" w:hAnsi="黑体" w:eastAsia="黑体" w:cs="黑体"/>
          <w:b w:val="0"/>
          <w:bCs w:val="0"/>
          <w:color w:val="000000"/>
          <w:sz w:val="32"/>
          <w:szCs w:val="32"/>
          <w:lang w:val="en-US" w:eastAsia="zh-CN"/>
        </w:rPr>
        <w:t>三、轻工企业（2家）</w:t>
      </w:r>
    </w:p>
    <w:p w14:paraId="0A0393FD">
      <w:pPr>
        <w:widowControl/>
        <w:shd w:val="clear" w:color="auto" w:fill="FFFFFF"/>
        <w:spacing w:line="560" w:lineRule="exact"/>
        <w:ind w:firstLine="640"/>
        <w:jc w:val="lef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1.石家庄君乐宝太行乳业有限公司</w:t>
      </w:r>
    </w:p>
    <w:p w14:paraId="7820069C">
      <w:pPr>
        <w:widowControl/>
        <w:shd w:val="clear" w:color="auto" w:fill="FFFFFF"/>
        <w:spacing w:line="560" w:lineRule="exact"/>
        <w:ind w:firstLine="640"/>
        <w:jc w:val="left"/>
        <w:rPr>
          <w:rFonts w:hint="eastAsia" w:ascii="黑体" w:hAnsi="黑体" w:eastAsia="黑体" w:cs="黑体"/>
          <w:b w:val="0"/>
          <w:bCs w:val="0"/>
          <w:color w:val="000000"/>
          <w:sz w:val="32"/>
          <w:szCs w:val="32"/>
          <w:lang w:val="en-US" w:eastAsia="zh-CN"/>
        </w:rPr>
      </w:pPr>
      <w:r>
        <w:rPr>
          <w:rFonts w:hint="eastAsia" w:ascii="仿宋" w:hAnsi="仿宋" w:eastAsia="仿宋" w:cs="仿宋"/>
          <w:sz w:val="32"/>
          <w:szCs w:val="32"/>
          <w:lang w:val="en-US" w:eastAsia="zh-CN"/>
        </w:rPr>
        <w:t>2.河北迈尔斯通电子材料有限公司</w:t>
      </w:r>
    </w:p>
    <w:p w14:paraId="5D953428">
      <w:pPr>
        <w:widowControl/>
        <w:shd w:val="clear" w:color="auto" w:fill="FFFFFF"/>
        <w:spacing w:line="560" w:lineRule="exact"/>
        <w:ind w:firstLine="640"/>
        <w:jc w:val="left"/>
        <w:rPr>
          <w:rFonts w:hint="default"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四、建材企业（2家）</w:t>
      </w:r>
    </w:p>
    <w:p w14:paraId="6C251783">
      <w:pPr>
        <w:widowControl/>
        <w:shd w:val="clear" w:color="auto" w:fill="FFFFFF"/>
        <w:spacing w:line="560" w:lineRule="exact"/>
        <w:ind w:firstLine="64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1.石家庄玉晶玻璃有限公司</w:t>
      </w:r>
    </w:p>
    <w:p w14:paraId="0060AE23">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2.德高（石家庄）建材有限公司</w:t>
      </w:r>
    </w:p>
    <w:p w14:paraId="1A626BFD">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黑体" w:hAnsi="黑体" w:eastAsia="黑体" w:cs="黑体"/>
          <w:b w:val="0"/>
          <w:bCs w:val="0"/>
          <w:color w:val="000000"/>
          <w:sz w:val="32"/>
          <w:szCs w:val="32"/>
          <w:lang w:val="en-US" w:eastAsia="zh-CN"/>
        </w:rPr>
        <w:t>五、机械企业（7家）</w:t>
      </w:r>
    </w:p>
    <w:p w14:paraId="127BE92E">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1.强大泵业集团行唐泵业有限公司</w:t>
      </w:r>
    </w:p>
    <w:p w14:paraId="190BF858">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2.河北振东制动器有限公司</w:t>
      </w:r>
    </w:p>
    <w:p w14:paraId="732CC15D">
      <w:pPr>
        <w:widowControl/>
        <w:shd w:val="clear" w:color="auto" w:fill="FFFFFF"/>
        <w:spacing w:line="560" w:lineRule="exact"/>
        <w:ind w:firstLine="640"/>
        <w:jc w:val="left"/>
        <w:rPr>
          <w:rFonts w:hint="default"/>
          <w:lang w:val="en-US" w:eastAsia="zh-CN"/>
        </w:rPr>
      </w:pPr>
      <w:r>
        <w:rPr>
          <w:rFonts w:hint="eastAsia" w:ascii="仿宋_GB2312" w:hAnsi="仿宋_GB2312" w:eastAsia="仿宋_GB2312" w:cs="仿宋_GB2312"/>
          <w:b w:val="0"/>
          <w:bCs w:val="0"/>
          <w:sz w:val="32"/>
          <w:szCs w:val="32"/>
          <w:lang w:val="en-US" w:eastAsia="zh-CN"/>
        </w:rPr>
        <w:t>3.上利石集团（石家庄）泵业科技有限公司</w:t>
      </w:r>
    </w:p>
    <w:p w14:paraId="2C0352EE">
      <w:pPr>
        <w:widowControl/>
        <w:shd w:val="clear" w:color="auto" w:fill="FFFFFF"/>
        <w:spacing w:line="560" w:lineRule="exact"/>
        <w:ind w:firstLine="640"/>
        <w:jc w:val="left"/>
        <w:rPr>
          <w:rFonts w:hint="default"/>
          <w:lang w:val="en-US" w:eastAsia="zh-CN"/>
        </w:rPr>
      </w:pPr>
      <w:r>
        <w:rPr>
          <w:rFonts w:hint="eastAsia" w:ascii="仿宋_GB2312" w:hAnsi="仿宋_GB2312" w:eastAsia="仿宋_GB2312" w:cs="仿宋_GB2312"/>
          <w:b w:val="0"/>
          <w:bCs w:val="0"/>
          <w:sz w:val="32"/>
          <w:szCs w:val="32"/>
          <w:lang w:val="en-US" w:eastAsia="zh-CN"/>
        </w:rPr>
        <w:t>4.行唐县龙鑫机械制造有限公司</w:t>
      </w:r>
    </w:p>
    <w:p w14:paraId="7784AADB">
      <w:pPr>
        <w:widowControl/>
        <w:shd w:val="clear" w:color="auto" w:fill="FFFFFF"/>
        <w:spacing w:line="560" w:lineRule="exact"/>
        <w:ind w:firstLine="64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5.行唐县正佳机械有限公司</w:t>
      </w:r>
    </w:p>
    <w:p w14:paraId="0E0D3BAD">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6.</w:t>
      </w:r>
      <w:r>
        <w:rPr>
          <w:rFonts w:hint="eastAsia" w:ascii="仿宋_GB2312" w:hAnsi="仿宋_GB2312" w:eastAsia="仿宋_GB2312" w:cs="仿宋_GB2312"/>
          <w:sz w:val="32"/>
          <w:szCs w:val="32"/>
          <w:lang w:val="en-US" w:eastAsia="zh-CN"/>
        </w:rPr>
        <w:t>石家庄搏亿金刚石工具有限公司</w:t>
      </w:r>
    </w:p>
    <w:p w14:paraId="6D71F162">
      <w:pPr>
        <w:widowControl/>
        <w:shd w:val="clear" w:color="auto" w:fill="FFFFFF"/>
        <w:spacing w:line="560" w:lineRule="exact"/>
        <w:ind w:firstLine="640"/>
        <w:jc w:val="left"/>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7.河北杰凯工具有限公司</w:t>
      </w:r>
    </w:p>
    <w:p w14:paraId="5241333B">
      <w:pPr>
        <w:widowControl/>
        <w:shd w:val="clear" w:color="auto" w:fill="FFFFFF"/>
        <w:spacing w:line="560" w:lineRule="exact"/>
        <w:ind w:firstLine="640"/>
        <w:jc w:val="left"/>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以上企业每</w:t>
      </w:r>
      <w:r>
        <w:rPr>
          <w:rFonts w:hint="eastAsia" w:ascii="仿宋_GB2312" w:hAnsi="仿宋_GB2312" w:eastAsia="仿宋_GB2312" w:cs="仿宋_GB2312"/>
          <w:b w:val="0"/>
          <w:bCs w:val="0"/>
          <w:sz w:val="32"/>
          <w:szCs w:val="32"/>
          <w:lang w:val="en-US" w:eastAsia="zh-CN"/>
        </w:rPr>
        <w:t>年度至少</w:t>
      </w:r>
      <w:r>
        <w:rPr>
          <w:rFonts w:hint="eastAsia" w:ascii="仿宋_GB2312" w:hAnsi="仿宋_GB2312" w:eastAsia="仿宋_GB2312" w:cs="仿宋_GB2312"/>
          <w:b w:val="0"/>
          <w:bCs w:val="0"/>
          <w:sz w:val="32"/>
          <w:szCs w:val="32"/>
        </w:rPr>
        <w:t>检查1次。</w:t>
      </w:r>
    </w:p>
    <w:p w14:paraId="3EC0ABA0">
      <w:pPr>
        <w:rPr>
          <w:rFonts w:hint="eastAsia"/>
          <w:lang w:eastAsia="zh-CN"/>
        </w:rPr>
        <w:sectPr>
          <w:footerReference r:id="rId3" w:type="default"/>
          <w:pgSz w:w="11850" w:h="16783"/>
          <w:pgMar w:top="2098" w:right="1474" w:bottom="1984" w:left="1587"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p w14:paraId="4654DE19">
      <w:pPr>
        <w:keepNext w:val="0"/>
        <w:keepLines w:val="0"/>
        <w:pageBreakBefore w:val="0"/>
        <w:widowControl w:val="0"/>
        <w:kinsoku/>
        <w:wordWrap/>
        <w:overflowPunct/>
        <w:topLinePunct w:val="0"/>
        <w:autoSpaceDE/>
        <w:bidi w:val="0"/>
        <w:spacing w:line="560" w:lineRule="exact"/>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6882924F">
      <w:pPr>
        <w:pStyle w:val="8"/>
        <w:keepNext w:val="0"/>
        <w:keepLines w:val="0"/>
        <w:pageBreakBefore w:val="0"/>
        <w:widowControl w:val="0"/>
        <w:kinsoku/>
        <w:wordWrap/>
        <w:overflowPunct/>
        <w:topLinePunct w:val="0"/>
        <w:autoSpaceDE/>
        <w:bidi w:val="0"/>
        <w:spacing w:line="560" w:lineRule="exact"/>
        <w:ind w:firstLine="420" w:firstLineChars="200"/>
        <w:jc w:val="both"/>
        <w:textAlignment w:val="auto"/>
        <w:rPr>
          <w:rFonts w:hint="eastAsia"/>
        </w:rPr>
      </w:pPr>
    </w:p>
    <w:p w14:paraId="5D89855B">
      <w:pPr>
        <w:keepNext w:val="0"/>
        <w:keepLines w:val="0"/>
        <w:pageBreakBefore w:val="0"/>
        <w:widowControl w:val="0"/>
        <w:kinsoku/>
        <w:wordWrap/>
        <w:overflowPunct/>
        <w:topLinePunct w:val="0"/>
        <w:autoSpaceDE/>
        <w:bidi w:val="0"/>
        <w:adjustRightInd w:val="0"/>
        <w:snapToGrid w:val="0"/>
        <w:spacing w:line="560" w:lineRule="exact"/>
        <w:jc w:val="center"/>
        <w:textAlignment w:val="auto"/>
        <w:rPr>
          <w:rFonts w:eastAsia="方正小标宋简体"/>
          <w:sz w:val="11"/>
          <w:szCs w:val="11"/>
        </w:rPr>
      </w:pPr>
      <w:r>
        <w:rPr>
          <w:rFonts w:eastAsia="方正小标宋简体"/>
          <w:sz w:val="44"/>
          <w:szCs w:val="32"/>
        </w:rPr>
        <w:t>重点监督检查内容</w:t>
      </w:r>
    </w:p>
    <w:p w14:paraId="28E66D28">
      <w:pPr>
        <w:keepNext w:val="0"/>
        <w:keepLines w:val="0"/>
        <w:pageBreakBefore w:val="0"/>
        <w:widowControl w:val="0"/>
        <w:kinsoku/>
        <w:wordWrap/>
        <w:overflowPunct/>
        <w:topLinePunct w:val="0"/>
        <w:autoSpaceDE/>
        <w:bidi w:val="0"/>
        <w:adjustRightInd w:val="0"/>
        <w:snapToGrid w:val="0"/>
        <w:spacing w:line="560" w:lineRule="exact"/>
        <w:ind w:firstLine="220" w:firstLineChars="200"/>
        <w:jc w:val="both"/>
        <w:textAlignment w:val="auto"/>
        <w:rPr>
          <w:rFonts w:hint="eastAsia" w:eastAsia="方正小标宋简体"/>
          <w:sz w:val="11"/>
          <w:szCs w:val="11"/>
        </w:rPr>
      </w:pPr>
    </w:p>
    <w:p w14:paraId="161963C8">
      <w:pPr>
        <w:keepNext w:val="0"/>
        <w:keepLines w:val="0"/>
        <w:pageBreakBefore w:val="0"/>
        <w:widowControl w:val="0"/>
        <w:kinsoku/>
        <w:wordWrap/>
        <w:overflowPunct/>
        <w:topLinePunct w:val="0"/>
        <w:autoSpaceDE/>
        <w:bidi w:val="0"/>
        <w:adjustRightInd w:val="0"/>
        <w:snapToGrid w:val="0"/>
        <w:spacing w:line="560" w:lineRule="exact"/>
        <w:ind w:firstLine="640" w:firstLineChars="200"/>
        <w:jc w:val="both"/>
        <w:textAlignment w:val="auto"/>
        <w:rPr>
          <w:rFonts w:eastAsia="黑体"/>
          <w:sz w:val="32"/>
          <w:szCs w:val="32"/>
        </w:rPr>
      </w:pPr>
      <w:r>
        <w:rPr>
          <w:rFonts w:eastAsia="黑体"/>
          <w:sz w:val="32"/>
          <w:szCs w:val="32"/>
        </w:rPr>
        <w:t>一、通用部分</w:t>
      </w:r>
    </w:p>
    <w:p w14:paraId="379CB56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1.是否按照规定取得安全生产等相关许可；</w:t>
      </w:r>
    </w:p>
    <w:p w14:paraId="11D1F29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2.是否具备有关法律法规和国家标准、行业标准或者地方标准规定的安全生产条件；</w:t>
      </w:r>
    </w:p>
    <w:p w14:paraId="04C5B75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3.是否严格执行相关标准和安全操作规程，是否存在“三违”现象；</w:t>
      </w:r>
    </w:p>
    <w:p w14:paraId="79F96D2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4.是否建立健全全员安全生产责任制；</w:t>
      </w:r>
    </w:p>
    <w:p w14:paraId="7053DCC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5.主要负责人是否依法履行安全生产工作职责、落实安全生产事项；</w:t>
      </w:r>
    </w:p>
    <w:p w14:paraId="52EC1EA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6.是否按规定提取、使用安全生产费用；</w:t>
      </w:r>
    </w:p>
    <w:p w14:paraId="4FB5762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7.是否按规定设置安全生产管理机构或者配备专职安全生产管理人员；</w:t>
      </w:r>
    </w:p>
    <w:p w14:paraId="52B79C1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8.主要负责人、安全生产管理人员是否经考核合格并依法履行安全生产职责；</w:t>
      </w:r>
    </w:p>
    <w:p w14:paraId="741B6C9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9.是否按规定进行安全生产教育培训，特种作业人员是否取得相应资格；</w:t>
      </w:r>
    </w:p>
    <w:p w14:paraId="62FA442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10.是否按照规定开展建设项目“三同时”及安全评价；</w:t>
      </w:r>
    </w:p>
    <w:p w14:paraId="2B5D216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11.是否按规定在有较大危险因素的生产经营场所和有关设施设备上设置明显的安全警示标志；</w:t>
      </w:r>
    </w:p>
    <w:p w14:paraId="2BC0CB5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12.安全设备是否按要求检测、维护、保养，并正常运转；</w:t>
      </w:r>
    </w:p>
    <w:p w14:paraId="425DD21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13.生产、经营、运输、储存、使用危险物品或者处置废弃危险物品的，是否执行有关法律法规、国家标准或行业标准，是否建立专门的安全管理制度、采取可靠的安全措施；</w:t>
      </w:r>
    </w:p>
    <w:p w14:paraId="58FD432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14.是否按规定对重大危险源进行管理；</w:t>
      </w:r>
    </w:p>
    <w:p w14:paraId="1693E80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15.是否建立安全生产风险管控和隐患排查治理双重预防机制并有效实施，及时发现并消除事故隐患；</w:t>
      </w:r>
    </w:p>
    <w:p w14:paraId="53BDD5D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16.是否存在“二合一”“多合一”情况或锁闭、封堵安全出口情况；</w:t>
      </w:r>
    </w:p>
    <w:p w14:paraId="223373D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17.对爆破、吊装、有限空间等危险作业是否履行相关审批程序，并按规定安排专人进行现场管理；</w:t>
      </w:r>
    </w:p>
    <w:p w14:paraId="279AC3C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18.是否按规定提供符合国家标准的劳动防护用品并督促从业人员按要求佩戴（使用）；</w:t>
      </w:r>
    </w:p>
    <w:p w14:paraId="18D7928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19.是否按规定组织开展安全检查并及时消除事故隐患；</w:t>
      </w:r>
    </w:p>
    <w:p w14:paraId="6103EFA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20.在同一作业区域内进行生产经营活动的生产经营单位，是否按规定签订安全生产管理协议，并指派专人进行现场安全管理；</w:t>
      </w:r>
    </w:p>
    <w:p w14:paraId="3E2D937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21.是否按规定发包、出租生产经营项目；</w:t>
      </w:r>
    </w:p>
    <w:p w14:paraId="123A2D8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color w:val="000000" w:themeColor="text1"/>
          <w:sz w:val="32"/>
          <w:szCs w:val="32"/>
          <w:lang w:val="en"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22.是否按规定制修定相关应急救援预案并演练，建立应急救援队伍，配备并经常性维护保养应急救援装备（物资）</w:t>
      </w:r>
      <w:r>
        <w:rPr>
          <w:rFonts w:hint="default" w:ascii="仿宋_GB2312" w:hAnsi="仿宋_GB2312" w:eastAsia="仿宋_GB2312" w:cs="仿宋_GB2312"/>
          <w:color w:val="000000" w:themeColor="text1"/>
          <w:sz w:val="32"/>
          <w:szCs w:val="32"/>
          <w:lang w:val="en" w:eastAsia="zh-CN"/>
          <w14:textFill>
            <w14:solidFill>
              <w14:schemeClr w14:val="tx1"/>
            </w14:solidFill>
          </w14:textFill>
        </w:rPr>
        <w:t>;</w:t>
      </w:r>
    </w:p>
    <w:p w14:paraId="0DE55FA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23.有关生产经营单位是否按规定投保安责险；</w:t>
      </w:r>
    </w:p>
    <w:p w14:paraId="3B6F010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24.是否按规定开展标准化达标创建活动；</w:t>
      </w:r>
    </w:p>
    <w:p w14:paraId="0C66C4C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color w:val="000000" w:themeColor="text1"/>
          <w:sz w:val="32"/>
          <w:szCs w:val="32"/>
          <w:lang w:val="en"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5</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.相关安全生产技术服务机构、安全培训机构是否按规定开展技术服务或组织培训活动</w:t>
      </w:r>
      <w:r>
        <w:rPr>
          <w:rFonts w:hint="default" w:ascii="仿宋_GB2312" w:hAnsi="仿宋_GB2312" w:eastAsia="仿宋_GB2312" w:cs="仿宋_GB2312"/>
          <w:color w:val="000000" w:themeColor="text1"/>
          <w:sz w:val="32"/>
          <w:szCs w:val="32"/>
          <w:lang w:val="en" w:eastAsia="zh-CN"/>
          <w14:textFill>
            <w14:solidFill>
              <w14:schemeClr w14:val="tx1"/>
            </w14:solidFill>
          </w14:textFill>
        </w:rPr>
        <w:t>;</w:t>
      </w:r>
    </w:p>
    <w:p w14:paraId="16628F0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color w:val="000000" w:themeColor="text1"/>
          <w:sz w:val="32"/>
          <w:szCs w:val="32"/>
          <w:lang w:val="en"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6</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.处于建设阶段的相关项目，建设单位、施工单位、监理单位是否取得相关证照、资质</w:t>
      </w:r>
      <w:r>
        <w:rPr>
          <w:rFonts w:hint="default" w:ascii="仿宋_GB2312" w:hAnsi="仿宋_GB2312" w:eastAsia="仿宋_GB2312" w:cs="仿宋_GB2312"/>
          <w:color w:val="000000" w:themeColor="text1"/>
          <w:sz w:val="32"/>
          <w:szCs w:val="32"/>
          <w:lang w:val="en" w:eastAsia="zh-CN"/>
          <w14:textFill>
            <w14:solidFill>
              <w14:schemeClr w14:val="tx1"/>
            </w14:solidFill>
          </w14:textFill>
        </w:rPr>
        <w:t>;</w:t>
      </w:r>
    </w:p>
    <w:p w14:paraId="1687C7A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.停产、停建的项目或单位，是否按照相关规定实际处于停产、停建状态。 </w:t>
      </w:r>
    </w:p>
    <w:p w14:paraId="2D1251E1">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黑体" w:hAnsi="黑体" w:eastAsia="黑体" w:cs="黑体"/>
          <w:sz w:val="32"/>
          <w:szCs w:val="32"/>
          <w:lang w:eastAsia="zh-CN"/>
        </w:rPr>
      </w:pPr>
      <w:r>
        <w:rPr>
          <w:rFonts w:hint="eastAsia" w:eastAsia="黑体"/>
          <w:bCs/>
          <w:sz w:val="32"/>
          <w:szCs w:val="32"/>
          <w:lang w:eastAsia="zh-CN"/>
        </w:rPr>
        <w:t>二</w:t>
      </w:r>
      <w:r>
        <w:rPr>
          <w:rFonts w:eastAsia="黑体"/>
          <w:bCs/>
          <w:sz w:val="32"/>
          <w:szCs w:val="32"/>
        </w:rPr>
        <w:t>、</w:t>
      </w:r>
      <w:r>
        <w:rPr>
          <w:rFonts w:hint="eastAsia" w:ascii="黑体" w:hAnsi="黑体" w:eastAsia="黑体" w:cs="黑体"/>
          <w:sz w:val="32"/>
          <w:szCs w:val="32"/>
          <w:lang w:eastAsia="zh-CN"/>
        </w:rPr>
        <w:t>危险化学品</w:t>
      </w:r>
    </w:p>
    <w:p w14:paraId="76E7C526">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（一）危险化学品安全生产许可证情况</w:t>
      </w:r>
    </w:p>
    <w:p w14:paraId="75A5C33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1.安全生产许可证取得情况；</w:t>
      </w:r>
    </w:p>
    <w:p w14:paraId="7969E65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2.安全生产许可证延期情况；</w:t>
      </w:r>
    </w:p>
    <w:p w14:paraId="4E890F7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3.安全生产许可证变更情况；</w:t>
      </w:r>
    </w:p>
    <w:p w14:paraId="2901B02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仿宋_GB2312" w:hAnsi="仿宋_GB2312" w:eastAsia="仿宋_GB2312" w:cs="仿宋_GB2312"/>
          <w:color w:val="000000"/>
          <w:sz w:val="32"/>
          <w:szCs w:val="32"/>
          <w:lang w:val="en" w:eastAsia="zh-CN"/>
        </w:rPr>
      </w:pPr>
      <w:r>
        <w:rPr>
          <w:rFonts w:hint="eastAsia" w:ascii="仿宋_GB2312" w:hAnsi="仿宋_GB2312" w:eastAsia="仿宋_GB2312" w:cs="仿宋_GB2312"/>
          <w:color w:val="000000"/>
          <w:sz w:val="32"/>
          <w:szCs w:val="32"/>
          <w:lang w:val="en-US" w:eastAsia="zh-CN"/>
        </w:rPr>
        <w:t>4.转让、冒用安全生产许可证或者使用伪造的安全生产许可证情况。</w:t>
      </w:r>
    </w:p>
    <w:p w14:paraId="30B6E1B5">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（二）危险化学品经营许可证情况</w:t>
      </w:r>
    </w:p>
    <w:p w14:paraId="57FC1D4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1.经营许可证取得情况；</w:t>
      </w:r>
    </w:p>
    <w:p w14:paraId="1675678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2.经营许可证延期情况；</w:t>
      </w:r>
    </w:p>
    <w:p w14:paraId="4B3B3B8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3.经营许可证变更情况；</w:t>
      </w:r>
    </w:p>
    <w:p w14:paraId="38C61C7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4.伪造、变造或者出租、出借、转让经营许可证，或者使用伪造、变造的经营许可证情况。</w:t>
      </w:r>
    </w:p>
    <w:p w14:paraId="55E80E36">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（三）人员管理情况</w:t>
      </w:r>
    </w:p>
    <w:p w14:paraId="608D9E6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1.安全生产管理机构人员设置配备及规章制度制定与执行情况；</w:t>
      </w:r>
    </w:p>
    <w:p w14:paraId="7E3598D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2.从业人员安全生产教育和培训情况；</w:t>
      </w:r>
    </w:p>
    <w:p w14:paraId="7E25C5F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3.特种作业人员持证上岗情况；</w:t>
      </w:r>
    </w:p>
    <w:p w14:paraId="1B4D6DE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4.选用承包商符合资质情况；对承包商的安全生产工作统一协调、管理情况。</w:t>
      </w:r>
    </w:p>
    <w:p w14:paraId="748E845D">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（四）工艺管理情况</w:t>
      </w:r>
    </w:p>
    <w:p w14:paraId="3C1B370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1.操作规程和工艺控制指标的制定情况；</w:t>
      </w:r>
    </w:p>
    <w:p w14:paraId="512D817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2.安全设备的安装、使用、检测、维修、改造和报废符合国家标准或行业标准情况；工艺、设备符合国家规定情况；</w:t>
      </w:r>
    </w:p>
    <w:p w14:paraId="46A0519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3.有毒有害、可燃气体泄漏检测报警系统按照标准设置、使用或定期检测校验情况；以及报警信号发送至有操作人员常驻的控制室、现场操作室进行报警情况。</w:t>
      </w:r>
    </w:p>
    <w:p w14:paraId="3BA02701">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（五）涉及危险化工工艺、重点监管危险化学品的装置设置自动化控制系统，涉及危险化工工艺的大型化工装置设置紧急停车系统情况。</w:t>
      </w:r>
    </w:p>
    <w:p w14:paraId="1AB81447">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val="en-US" w:eastAsia="zh-CN"/>
        </w:rPr>
        <w:t>（六）</w:t>
      </w:r>
      <w:r>
        <w:rPr>
          <w:rFonts w:hint="eastAsia" w:ascii="楷体_GB2312" w:hAnsi="楷体_GB2312" w:eastAsia="楷体_GB2312" w:cs="楷体_GB2312"/>
          <w:b w:val="0"/>
          <w:bCs w:val="0"/>
          <w:sz w:val="32"/>
          <w:szCs w:val="32"/>
          <w:lang w:eastAsia="zh-CN"/>
        </w:rPr>
        <w:t>安全管理情况</w:t>
      </w:r>
    </w:p>
    <w:p w14:paraId="62EF09C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1.危险化学品生产装置、罐区等设施与周边的距离情况；</w:t>
      </w:r>
    </w:p>
    <w:p w14:paraId="21177EB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2.危险化学品按照标准分区、分类、分库存放，避免超量、超品种储存及相互禁忌物质混放混存情况；</w:t>
      </w:r>
    </w:p>
    <w:p w14:paraId="7472CD4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3.动火作业按规定进行可燃气体分析；受限空间作业按规定进行可燃气体、氧含量和有毒气体分析；作业过程避免无人监护情况；</w:t>
      </w:r>
    </w:p>
    <w:p w14:paraId="579FB0B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4.危险化学品生产企业提供化学品安全技术说明书，在包装（包括外包装件）上粘贴、拴挂化学品安全标签情况；</w:t>
      </w:r>
    </w:p>
    <w:p w14:paraId="21868EB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5.企业制定重大危险源管理制度，按照GB18218辨识并确定重大危险源，建立重大危险源档案情况；</w:t>
      </w:r>
    </w:p>
    <w:p w14:paraId="6839056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6.企业按照AQ3036及有关规定设置重大危险源安全监控报警系统，重大危险源涉及的压力、温度、液位、泄漏报警等重要参数的测量要有远传和连续记录情况；</w:t>
      </w:r>
    </w:p>
    <w:p w14:paraId="4E14142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7.涉及毒性气体、液化气体、剧毒液体的一级或者二级重大危险源，配备独立的安全仪表系统（SIS）情况；</w:t>
      </w:r>
    </w:p>
    <w:p w14:paraId="328BD50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8.危险化学品重大危险源的安全生产状况定期检查，采取措施消除事故隐患情况；</w:t>
      </w:r>
    </w:p>
    <w:p w14:paraId="5CE46D9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9.企业将重大危险源及相关安全措施、应急措施报送当地县级以上人民政府应急管理部门备案情况；</w:t>
      </w:r>
    </w:p>
    <w:p w14:paraId="3578475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10.有毒气体的区域配备便携式检测仪、空气呼吸器等器材和设备情况；</w:t>
      </w:r>
    </w:p>
    <w:p w14:paraId="6EB73B0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pPr>
      <w:r>
        <w:rPr>
          <w:rFonts w:hint="eastAsia" w:ascii="仿宋_GB2312" w:hAnsi="仿宋_GB2312" w:eastAsia="仿宋_GB2312" w:cs="仿宋_GB2312"/>
          <w:color w:val="000000"/>
          <w:sz w:val="32"/>
          <w:szCs w:val="32"/>
          <w:lang w:val="en-US" w:eastAsia="zh-CN"/>
        </w:rPr>
        <w:t>11.在有较大危险因素的生产经营场所和有关设施、设备上设置明显的安全警示标志情况。</w:t>
      </w:r>
    </w:p>
    <w:p w14:paraId="0E3E71EA">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eastAsia="黑体"/>
          <w:bCs/>
          <w:sz w:val="32"/>
          <w:szCs w:val="32"/>
        </w:rPr>
      </w:pPr>
      <w:r>
        <w:rPr>
          <w:rFonts w:hint="eastAsia" w:eastAsia="黑体"/>
          <w:bCs/>
          <w:sz w:val="32"/>
          <w:szCs w:val="32"/>
          <w:lang w:val="en-US" w:eastAsia="zh-CN"/>
        </w:rPr>
        <w:t>三</w:t>
      </w:r>
      <w:r>
        <w:rPr>
          <w:rFonts w:eastAsia="黑体"/>
          <w:bCs/>
          <w:sz w:val="32"/>
          <w:szCs w:val="32"/>
        </w:rPr>
        <w:t>、工商贸行业</w:t>
      </w:r>
    </w:p>
    <w:p w14:paraId="3EEBA82F">
      <w:pPr>
        <w:keepNext w:val="0"/>
        <w:keepLines w:val="0"/>
        <w:pageBreakBefore w:val="0"/>
        <w:widowControl w:val="0"/>
        <w:tabs>
          <w:tab w:val="left" w:pos="7185"/>
        </w:tabs>
        <w:kinsoku/>
        <w:wordWrap/>
        <w:overflowPunct/>
        <w:topLinePunct w:val="0"/>
        <w:autoSpaceDE/>
        <w:bidi w:val="0"/>
        <w:adjustRightInd w:val="0"/>
        <w:snapToGrid w:val="0"/>
        <w:spacing w:line="560" w:lineRule="exact"/>
        <w:ind w:firstLine="640" w:firstLineChars="200"/>
        <w:jc w:val="both"/>
        <w:textAlignment w:val="auto"/>
        <w:rPr>
          <w:rFonts w:hint="eastAsia" w:ascii="仿宋_GB2312" w:hAnsi="仿宋_GB2312" w:eastAsia="仿宋_GB2312" w:cs="仿宋_GB2312"/>
          <w:sz w:val="32"/>
          <w:szCs w:val="32"/>
          <w:lang w:val="en-US" w:eastAsia="zh"/>
        </w:rPr>
      </w:pPr>
      <w:r>
        <w:rPr>
          <w:rFonts w:hint="eastAsia" w:ascii="楷体_GB2312" w:hAnsi="楷体_GB2312" w:eastAsia="楷体_GB2312" w:cs="楷体_GB2312"/>
          <w:b w:val="0"/>
          <w:bCs w:val="0"/>
          <w:sz w:val="32"/>
          <w:szCs w:val="32"/>
          <w:lang w:val="en-US" w:eastAsia="zh-CN"/>
        </w:rPr>
        <w:t>（一）</w:t>
      </w:r>
      <w:r>
        <w:rPr>
          <w:rFonts w:hint="eastAsia" w:ascii="楷体_GB2312" w:hAnsi="楷体_GB2312" w:eastAsia="楷体_GB2312" w:cs="楷体_GB2312"/>
          <w:b w:val="0"/>
          <w:bCs w:val="0"/>
          <w:sz w:val="32"/>
          <w:szCs w:val="32"/>
          <w:lang w:val="en-US" w:eastAsia="zh"/>
        </w:rPr>
        <w:t>冶金企业方面</w:t>
      </w:r>
      <w:r>
        <w:rPr>
          <w:rFonts w:hint="eastAsia" w:ascii="楷体_GB2312" w:hAnsi="楷体_GB2312" w:eastAsia="楷体_GB2312" w:cs="楷体_GB2312"/>
          <w:b w:val="0"/>
          <w:bCs w:val="0"/>
          <w:sz w:val="32"/>
          <w:szCs w:val="32"/>
        </w:rPr>
        <w:tab/>
      </w:r>
    </w:p>
    <w:p w14:paraId="6934B05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人员管理情况</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对冶金企业内的金属冶炼企业，按照《安全生产监督检查综合事项》第3项、第4项、第5项执行</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。安全生产管理机构人员设置配备及规章制度制定与执行情况，从业人员安全生产教育和培训情况，特种作业人员持证上岗情况。</w:t>
      </w:r>
    </w:p>
    <w:p w14:paraId="75343CA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1.1 高危行业生产经营单位设置机构、配备专职人员；其他生产经营单位设置机构、配备专兼职人员。</w:t>
      </w:r>
    </w:p>
    <w:p w14:paraId="5177ADA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1.2 危险物品生产经营单位建立专门的安全管理制度，采取可靠的安全措施。</w:t>
      </w:r>
    </w:p>
    <w:p w14:paraId="0A30A14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1.3 主要负责人和安全管理人员安全生产知识和管理能力及考核。</w:t>
      </w:r>
    </w:p>
    <w:p w14:paraId="01E08A7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1.4 从业人员安全生产教育培训。</w:t>
      </w:r>
    </w:p>
    <w:p w14:paraId="3B98457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1.5 从业人员“四新”培训。</w:t>
      </w:r>
    </w:p>
    <w:p w14:paraId="23AD0B0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1.6 培训时间。</w:t>
      </w:r>
    </w:p>
    <w:p w14:paraId="60F50EA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1.7告知从业人员安全生产事项。</w:t>
      </w:r>
    </w:p>
    <w:p w14:paraId="06B78E8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1.8 危险物品作业人员实习上岗。</w:t>
      </w:r>
    </w:p>
    <w:p w14:paraId="0FF1F8F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1.9 特种作业人员培训取证。</w:t>
      </w:r>
    </w:p>
    <w:p w14:paraId="1FC39D0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1.10 特种作业人员证书真实性。</w:t>
      </w:r>
    </w:p>
    <w:p w14:paraId="7F52429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建设项目安全评价及建设项目安全设施“三同时”情况</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对冶金企业内的金属冶炼企业，按照《安全生产监督检查综合事项》第6项执行</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77B5E63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2.1 高危建设项目安全评价。</w:t>
      </w:r>
    </w:p>
    <w:p w14:paraId="7A91BFD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2.2 高危建设项目安全设施设计审查。</w:t>
      </w:r>
    </w:p>
    <w:p w14:paraId="09F64F3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2.3 高危建设项目安全设施设计重新审查。</w:t>
      </w:r>
    </w:p>
    <w:p w14:paraId="63D66C39">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2.4 高危建设项目安全设施按照批准的设计施工。</w:t>
      </w:r>
    </w:p>
    <w:p w14:paraId="603C2BF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2.5 高危建设项目安全设施竣工验收。</w:t>
      </w:r>
    </w:p>
    <w:p w14:paraId="5867135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2.6 其他建设项目安全设施“三同时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3FBF79F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3.人员密集场所设置情况。操作室、会议室、交接班室、活动室、休息室、更衣室等场所</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应避免</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设置在铁水、钢水与液渣吊运影响的范围内。</w:t>
      </w:r>
    </w:p>
    <w:p w14:paraId="62C6D2A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4.起重机情况。炼钢厂在吊运铁水、钢水或液渣时，使用固定式龙门钩的铸造起重机；炼铁厂铸铁车间吊运铁水、液渣起重机符合冶金起重机的相关要求。</w:t>
      </w:r>
    </w:p>
    <w:p w14:paraId="2A9C225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5.吊运铁水、钢水与液渣起重机的重要部件情况。吊运铁水、钢水与液渣起重机龙门钩横梁焊缝、耳轴销和吊钩、钢丝绳及其端头固定零件，定期进行检查，发现问题应及时整改。</w:t>
      </w:r>
    </w:p>
    <w:p w14:paraId="772A1FB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6.容器耳轴检测情况。盛装铁水、钢水与液渣的罐（包、盆）等容器耳轴应按国家标准规定要求定期进行探伤检测。</w:t>
      </w:r>
    </w:p>
    <w:p w14:paraId="1862A30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7.防积水情况。冶炼、熔炼、精炼生产区域的安全坑内及熔体泄漏、喷溅影响范围内存在积水，放置有易燃易爆物品。</w:t>
      </w:r>
    </w:p>
    <w:p w14:paraId="5B40806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8.应急排放和储存情况。钢铁铸造（连铸、模铸）流程应规范设置钢水罐、溢流槽等高温熔融金属紧急排放和应急储存设施。</w:t>
      </w:r>
    </w:p>
    <w:p w14:paraId="5CF85C9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9.设备本体检查与检测情况。炉、窑、槽、罐类设备本体及附属设施应定期检查，出现严重焊缝开裂、腐蚀、破损、衬砖损坏、壳体发红及明显弯曲变形等应报修或报废，不能继续使用。</w:t>
      </w:r>
    </w:p>
    <w:p w14:paraId="4F224E7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10.水冷元件情况。氧枪等水冷元件未配置出水温度与进出水流量差检测、报警装置及温度监测，与炉体倾动、氧气开闭等联锁。</w:t>
      </w:r>
    </w:p>
    <w:p w14:paraId="7DD7606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11.煤气柜防火间距情况。煤气柜与有关建筑物、设施等的防护间距符合有关标准规定。</w:t>
      </w:r>
    </w:p>
    <w:p w14:paraId="35B4777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12.煤气区域报警装置情况。高炉、转炉、钢水连铸、加热炉和煤气柜等煤气区域的有人值守的主控室、操作室和人员休息室等人员较集中的地方以及在可能发生煤气泄漏、聚集的场所，设置固定式一氧化碳监测报警装置。</w:t>
      </w:r>
    </w:p>
    <w:p w14:paraId="6D5CBC4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13.煤气设施煤气管道隔断和吹扫情况。高炉、转炉、加热炉、煤气柜、除尘器等设施的煤气管道设置可靠隔离装置和吹扫设施。</w:t>
      </w:r>
    </w:p>
    <w:p w14:paraId="3FD087D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14.煤气管道隔断情况。煤气分配主管上支管引接处，设置可靠的切断装置；车间内各类燃气管线，在车间入口应设置总管切断阀。</w:t>
      </w:r>
    </w:p>
    <w:p w14:paraId="3E0CBED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15.淘汰落后情况。使用国家明令禁止使用的设备、材料和工艺的现象。</w:t>
      </w:r>
    </w:p>
    <w:p w14:paraId="090EDDA0">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
        </w:rPr>
      </w:pPr>
      <w:r>
        <w:rPr>
          <w:rFonts w:hint="eastAsia" w:ascii="楷体_GB2312" w:hAnsi="楷体_GB2312" w:eastAsia="楷体_GB2312" w:cs="楷体_GB2312"/>
          <w:b w:val="0"/>
          <w:bCs w:val="0"/>
          <w:sz w:val="32"/>
          <w:szCs w:val="32"/>
          <w:lang w:val="en-US" w:eastAsia="zh-CN"/>
        </w:rPr>
        <w:t>（二）</w:t>
      </w:r>
      <w:r>
        <w:rPr>
          <w:rFonts w:hint="eastAsia" w:ascii="楷体_GB2312" w:hAnsi="楷体_GB2312" w:eastAsia="楷体_GB2312" w:cs="楷体_GB2312"/>
          <w:b w:val="0"/>
          <w:bCs w:val="0"/>
          <w:sz w:val="32"/>
          <w:szCs w:val="32"/>
          <w:lang w:val="en-US" w:eastAsia="zh"/>
        </w:rPr>
        <w:t>建材企业方面</w:t>
      </w:r>
    </w:p>
    <w:p w14:paraId="61B9CE37">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1.</w:t>
      </w:r>
      <w:r>
        <w:rPr>
          <w:rFonts w:hint="eastAsia" w:ascii="仿宋_GB2312" w:hAnsi="仿宋_GB2312" w:eastAsia="仿宋_GB2312" w:cs="仿宋_GB2312"/>
          <w:sz w:val="32"/>
          <w:szCs w:val="32"/>
        </w:rPr>
        <w:t>水泥筒型库清库作业外包情况</w:t>
      </w:r>
      <w:r>
        <w:rPr>
          <w:rFonts w:hint="eastAsia" w:ascii="仿宋_GB2312" w:hAnsi="仿宋_GB2312" w:eastAsia="仿宋_GB2312" w:cs="仿宋_GB2312"/>
          <w:sz w:val="32"/>
          <w:szCs w:val="32"/>
          <w:lang w:eastAsia="zh"/>
        </w:rPr>
        <w:t>。</w:t>
      </w:r>
      <w:r>
        <w:rPr>
          <w:rFonts w:hint="eastAsia" w:ascii="仿宋_GB2312" w:hAnsi="仿宋_GB2312" w:eastAsia="仿宋_GB2312" w:cs="仿宋_GB2312"/>
          <w:sz w:val="32"/>
          <w:szCs w:val="32"/>
        </w:rPr>
        <w:t>水泥工厂筒型储存库人工清库作业外包给具</w:t>
      </w:r>
      <w:r>
        <w:rPr>
          <w:rFonts w:hint="eastAsia" w:ascii="仿宋_GB2312" w:hAnsi="仿宋_GB2312" w:eastAsia="仿宋_GB2312" w:cs="仿宋_GB2312"/>
          <w:sz w:val="32"/>
          <w:szCs w:val="32"/>
          <w:lang w:eastAsia="zh-CN"/>
        </w:rPr>
        <w:t>有</w:t>
      </w:r>
      <w:r>
        <w:rPr>
          <w:rFonts w:hint="eastAsia" w:ascii="仿宋_GB2312" w:hAnsi="仿宋_GB2312" w:eastAsia="仿宋_GB2312" w:cs="仿宋_GB2312"/>
          <w:sz w:val="32"/>
          <w:szCs w:val="32"/>
        </w:rPr>
        <w:t>专业承包资质的承包方，签订安全管理协议</w:t>
      </w:r>
      <w:r>
        <w:rPr>
          <w:rFonts w:hint="eastAsia" w:ascii="仿宋_GB2312" w:hAnsi="仿宋_GB2312" w:eastAsia="仿宋_GB2312" w:cs="仿宋_GB2312"/>
          <w:sz w:val="32"/>
          <w:szCs w:val="32"/>
          <w:lang w:eastAsia="zh"/>
        </w:rPr>
        <w:t>。</w:t>
      </w:r>
    </w:p>
    <w:p w14:paraId="0E1E99B4">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2.</w:t>
      </w:r>
      <w:r>
        <w:rPr>
          <w:rFonts w:hint="eastAsia" w:ascii="仿宋_GB2312" w:hAnsi="仿宋_GB2312" w:eastAsia="仿宋_GB2312" w:cs="仿宋_GB2312"/>
          <w:sz w:val="32"/>
          <w:szCs w:val="32"/>
        </w:rPr>
        <w:t>水泥工厂监测、报警、灭火及防爆装置的设置情况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煤磨进出口设温度监测装置；在煤粉仓、收尘器上设监测报警装置；煤磨、煤粉仓、煤磨收尘器设置气体灭火系统</w:t>
      </w:r>
      <w:r>
        <w:rPr>
          <w:rFonts w:hint="eastAsia" w:ascii="仿宋_GB2312" w:hAnsi="仿宋_GB2312" w:eastAsia="仿宋_GB2312" w:cs="仿宋_GB2312"/>
          <w:sz w:val="32"/>
          <w:szCs w:val="32"/>
          <w:lang w:eastAsia="zh"/>
        </w:rPr>
        <w:t>。</w:t>
      </w:r>
    </w:p>
    <w:p w14:paraId="38A5D589">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3.</w:t>
      </w:r>
      <w:r>
        <w:rPr>
          <w:rFonts w:hint="eastAsia" w:ascii="仿宋_GB2312" w:hAnsi="仿宋_GB2312" w:eastAsia="仿宋_GB2312" w:cs="仿宋_GB2312"/>
          <w:sz w:val="32"/>
          <w:szCs w:val="32"/>
        </w:rPr>
        <w:t>燃气窑炉防火、防爆、防一氧化碳中毒措施情况</w:t>
      </w:r>
      <w:r>
        <w:rPr>
          <w:rFonts w:hint="eastAsia" w:ascii="仿宋_GB2312" w:hAnsi="仿宋_GB2312" w:eastAsia="仿宋_GB2312" w:cs="仿宋_GB2312"/>
          <w:sz w:val="32"/>
          <w:szCs w:val="32"/>
          <w:lang w:eastAsia="zh"/>
        </w:rPr>
        <w:t>。</w:t>
      </w:r>
      <w:r>
        <w:rPr>
          <w:rFonts w:hint="eastAsia" w:ascii="仿宋_GB2312" w:hAnsi="仿宋_GB2312" w:eastAsia="仿宋_GB2312" w:cs="仿宋_GB2312"/>
          <w:sz w:val="32"/>
          <w:szCs w:val="32"/>
        </w:rPr>
        <w:t>燃气窑炉设置燃气低压警报器和快速切断阀；发生炉煤气的熔窑烟道采取煤气换向防爆措施；煤气危险区域关键部位设置一氧化碳监测装置</w:t>
      </w:r>
      <w:r>
        <w:rPr>
          <w:rFonts w:hint="eastAsia" w:ascii="仿宋_GB2312" w:hAnsi="仿宋_GB2312" w:eastAsia="仿宋_GB2312" w:cs="仿宋_GB2312"/>
          <w:sz w:val="32"/>
          <w:szCs w:val="32"/>
          <w:lang w:eastAsia="zh"/>
        </w:rPr>
        <w:t>。</w:t>
      </w:r>
    </w:p>
    <w:p w14:paraId="085CE007">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4.</w:t>
      </w:r>
      <w:r>
        <w:rPr>
          <w:rFonts w:hint="eastAsia" w:ascii="仿宋_GB2312" w:hAnsi="仿宋_GB2312" w:eastAsia="仿宋_GB2312" w:cs="仿宋_GB2312"/>
          <w:sz w:val="32"/>
          <w:szCs w:val="32"/>
        </w:rPr>
        <w:t>高温熔炉冷却及报警装置的设置情况</w:t>
      </w:r>
      <w:r>
        <w:rPr>
          <w:rFonts w:hint="eastAsia" w:ascii="仿宋_GB2312" w:hAnsi="仿宋_GB2312" w:eastAsia="仿宋_GB2312" w:cs="仿宋_GB2312"/>
          <w:sz w:val="32"/>
          <w:szCs w:val="32"/>
          <w:lang w:eastAsia="zh"/>
        </w:rPr>
        <w:t>。</w:t>
      </w:r>
      <w:r>
        <w:rPr>
          <w:rFonts w:hint="eastAsia" w:ascii="仿宋_GB2312" w:hAnsi="仿宋_GB2312" w:eastAsia="仿宋_GB2312" w:cs="仿宋_GB2312"/>
          <w:sz w:val="32"/>
          <w:szCs w:val="32"/>
        </w:rPr>
        <w:t>玻璃窑炉、纤维制品三相电弧炉、电熔制品电炉等高温熔炉的冷却保护系统满足冷却要求，设置停机报警装置</w:t>
      </w:r>
      <w:r>
        <w:rPr>
          <w:rFonts w:hint="eastAsia" w:ascii="仿宋_GB2312" w:hAnsi="仿宋_GB2312" w:eastAsia="仿宋_GB2312" w:cs="仿宋_GB2312"/>
          <w:sz w:val="32"/>
          <w:szCs w:val="32"/>
          <w:lang w:eastAsia="zh"/>
        </w:rPr>
        <w:t>。</w:t>
      </w:r>
    </w:p>
    <w:p w14:paraId="71DC77F0">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5.</w:t>
      </w:r>
      <w:r>
        <w:rPr>
          <w:rFonts w:hint="eastAsia" w:ascii="仿宋_GB2312" w:hAnsi="仿宋_GB2312" w:eastAsia="仿宋_GB2312" w:cs="仿宋_GB2312"/>
          <w:sz w:val="32"/>
          <w:szCs w:val="32"/>
        </w:rPr>
        <w:t>进入筒型储库、磨机等有限空间作业控制措施落实情况</w:t>
      </w:r>
      <w:r>
        <w:rPr>
          <w:rFonts w:hint="eastAsia" w:ascii="仿宋_GB2312" w:hAnsi="仿宋_GB2312" w:eastAsia="仿宋_GB2312" w:cs="仿宋_GB2312"/>
          <w:sz w:val="32"/>
          <w:szCs w:val="32"/>
          <w:lang w:eastAsia="zh"/>
        </w:rPr>
        <w:t>。</w:t>
      </w:r>
      <w:r>
        <w:rPr>
          <w:rFonts w:hint="eastAsia" w:ascii="仿宋_GB2312" w:hAnsi="仿宋_GB2312" w:eastAsia="仿宋_GB2312" w:cs="仿宋_GB2312"/>
          <w:sz w:val="32"/>
          <w:szCs w:val="32"/>
        </w:rPr>
        <w:t>对可能存在的设备意外启动、热气涌入等风险进行评估，制定有效控制措施，并经审批后作业</w:t>
      </w:r>
      <w:r>
        <w:rPr>
          <w:rFonts w:hint="eastAsia" w:ascii="仿宋_GB2312" w:hAnsi="仿宋_GB2312" w:eastAsia="仿宋_GB2312" w:cs="仿宋_GB2312"/>
          <w:sz w:val="32"/>
          <w:szCs w:val="32"/>
          <w:lang w:eastAsia="zh"/>
        </w:rPr>
        <w:t>。</w:t>
      </w:r>
    </w:p>
    <w:p w14:paraId="0A5CB754">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6.</w:t>
      </w:r>
      <w:r>
        <w:rPr>
          <w:rFonts w:hint="eastAsia" w:ascii="仿宋_GB2312" w:hAnsi="仿宋_GB2312" w:eastAsia="仿宋_GB2312" w:cs="仿宋_GB2312"/>
          <w:sz w:val="32"/>
          <w:szCs w:val="32"/>
        </w:rPr>
        <w:t>煤气发生炉及煤气输送系统的防火、防爆等装置的设置情况</w:t>
      </w:r>
      <w:r>
        <w:rPr>
          <w:rFonts w:hint="eastAsia" w:ascii="仿宋_GB2312" w:hAnsi="仿宋_GB2312" w:eastAsia="仿宋_GB2312" w:cs="仿宋_GB2312"/>
          <w:sz w:val="32"/>
          <w:szCs w:val="32"/>
          <w:lang w:eastAsia="zh"/>
        </w:rPr>
        <w:t>。</w:t>
      </w:r>
      <w:r>
        <w:rPr>
          <w:rFonts w:hint="eastAsia" w:ascii="仿宋_GB2312" w:hAnsi="仿宋_GB2312" w:eastAsia="仿宋_GB2312" w:cs="仿宋_GB2312"/>
          <w:sz w:val="32"/>
          <w:szCs w:val="32"/>
        </w:rPr>
        <w:t>煤气发生炉的进口空气管道上，设有阀门、止回阀和蒸汽吹扫装置；煤气发生炉空气总管末端设有泄爆装置和放散管；设报警装置</w:t>
      </w:r>
      <w:r>
        <w:rPr>
          <w:rFonts w:hint="eastAsia" w:ascii="仿宋_GB2312" w:hAnsi="仿宋_GB2312" w:eastAsia="仿宋_GB2312" w:cs="仿宋_GB2312"/>
          <w:sz w:val="32"/>
          <w:szCs w:val="32"/>
          <w:lang w:eastAsia="zh"/>
        </w:rPr>
        <w:t>。</w:t>
      </w:r>
    </w:p>
    <w:p w14:paraId="678CA401">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lang w:eastAsia="zh"/>
        </w:rPr>
      </w:pPr>
      <w:r>
        <w:rPr>
          <w:rFonts w:hint="eastAsia" w:ascii="仿宋_GB2312" w:hAnsi="仿宋_GB2312" w:eastAsia="仿宋_GB2312" w:cs="仿宋_GB2312"/>
          <w:sz w:val="32"/>
          <w:szCs w:val="32"/>
          <w:lang w:val="en-US" w:eastAsia="zh"/>
        </w:rPr>
        <w:t>7.</w:t>
      </w:r>
      <w:r>
        <w:rPr>
          <w:rFonts w:hint="eastAsia" w:ascii="仿宋_GB2312" w:hAnsi="仿宋_GB2312" w:eastAsia="仿宋_GB2312" w:cs="仿宋_GB2312"/>
          <w:sz w:val="32"/>
          <w:szCs w:val="32"/>
        </w:rPr>
        <w:t>输送设备防护、急停等隔离的情况</w:t>
      </w:r>
      <w:r>
        <w:rPr>
          <w:rFonts w:hint="eastAsia" w:ascii="仿宋_GB2312" w:hAnsi="仿宋_GB2312" w:eastAsia="仿宋_GB2312" w:cs="仿宋_GB2312"/>
          <w:sz w:val="32"/>
          <w:szCs w:val="32"/>
          <w:lang w:eastAsia="zh"/>
        </w:rPr>
        <w:t>。</w:t>
      </w:r>
      <w:r>
        <w:rPr>
          <w:rFonts w:hint="eastAsia" w:ascii="仿宋_GB2312" w:hAnsi="仿宋_GB2312" w:eastAsia="仿宋_GB2312" w:cs="仿宋_GB2312"/>
          <w:sz w:val="32"/>
          <w:szCs w:val="32"/>
        </w:rPr>
        <w:t>带式输送机的头部、尾部、拉紧部位和输送带改向部位及夹角等部位设防护装置；滚筒、托辊设防护；各种机械传动装置的外露部分设防护，露出的轴承加护盖</w:t>
      </w:r>
      <w:r>
        <w:rPr>
          <w:rFonts w:hint="eastAsia" w:ascii="仿宋_GB2312" w:hAnsi="仿宋_GB2312" w:eastAsia="仿宋_GB2312" w:cs="仿宋_GB2312"/>
          <w:sz w:val="32"/>
          <w:szCs w:val="32"/>
          <w:lang w:eastAsia="zh"/>
        </w:rPr>
        <w:t>。</w:t>
      </w:r>
    </w:p>
    <w:p w14:paraId="3B129FE0">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
        </w:rPr>
      </w:pPr>
      <w:r>
        <w:rPr>
          <w:rFonts w:hint="eastAsia" w:ascii="楷体_GB2312" w:hAnsi="楷体_GB2312" w:eastAsia="楷体_GB2312" w:cs="楷体_GB2312"/>
          <w:b w:val="0"/>
          <w:bCs w:val="0"/>
          <w:sz w:val="32"/>
          <w:szCs w:val="32"/>
          <w:lang w:val="en-US" w:eastAsia="zh-CN"/>
        </w:rPr>
        <w:t>（三）</w:t>
      </w:r>
      <w:r>
        <w:rPr>
          <w:rFonts w:hint="eastAsia" w:ascii="楷体_GB2312" w:hAnsi="楷体_GB2312" w:eastAsia="楷体_GB2312" w:cs="楷体_GB2312"/>
          <w:b w:val="0"/>
          <w:bCs w:val="0"/>
          <w:sz w:val="32"/>
          <w:szCs w:val="32"/>
          <w:lang w:val="en-US" w:eastAsia="zh"/>
        </w:rPr>
        <w:t>机械企业方面</w:t>
      </w:r>
    </w:p>
    <w:p w14:paraId="081190C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1.高温熔融金属作业防护情况</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4C7F214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1.1 会议室、活动室、休息室、更衣室等场所严禁设置在熔炼炉、熔融金属吊运和浇注影响范围内</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29632CB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 吊运熔融金属的起重机应符合冶金铸造起重机技术条件,驱动装置中应设置两套制动器。吊运浇注包的龙门钩横梁、耳轴销和吊钩等零件,应进行定期探伤检查</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54D3B6E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1.3 铸造熔炼炉炉底、炉坑及浇注坑等作业坑严禁存在潮湿、积水状况，或者存放易燃易爆物品</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000C94C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1.4 铸造熔炼炉冷却水系统应配置温度、进出水流量检测及报警装置,设置防止冷却水进入炉内的安全设施</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6482D44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安全风险较高场所监测报警装置和防爆装置设置情况</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23F2BE8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2.1 天然气（煤气）加热炉燃烧器操作部位应设置可燃气体泄漏报警装置，燃烧系统应设置防突然熄火或防点火失败的安全装置</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50F7798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2.2 涂装调漆间和喷漆室应规范设置可燃气体报警装置和防爆电气设备设施</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138DCBD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有机溶剂清理清除情况</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使用易燃易爆稀释剂（如天拿水）清洗设备设施应采取有效措施及时清除集聚在地沟、地坑等有限空间内的可燃气体</w:t>
      </w:r>
      <w:r>
        <w:rPr>
          <w:rFonts w:hint="eastAsia" w:ascii="仿宋_GB2312" w:hAnsi="仿宋_GB2312" w:eastAsia="仿宋_GB2312" w:cs="仿宋_GB2312"/>
          <w:color w:val="000000" w:themeColor="text1"/>
          <w:sz w:val="32"/>
          <w:szCs w:val="32"/>
          <w:lang w:val="en-US" w:eastAsia="zh"/>
          <w14:textFill>
            <w14:solidFill>
              <w14:schemeClr w14:val="tx1"/>
            </w14:solidFill>
          </w14:textFill>
        </w:rPr>
        <w:t>。</w:t>
      </w:r>
    </w:p>
    <w:p w14:paraId="698F923A">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
        </w:rPr>
      </w:pPr>
      <w:r>
        <w:rPr>
          <w:rFonts w:hint="eastAsia" w:ascii="楷体_GB2312" w:hAnsi="楷体_GB2312" w:eastAsia="楷体_GB2312" w:cs="楷体_GB2312"/>
          <w:b w:val="0"/>
          <w:bCs w:val="0"/>
          <w:sz w:val="32"/>
          <w:szCs w:val="32"/>
          <w:lang w:val="en-US" w:eastAsia="zh-CN"/>
        </w:rPr>
        <w:t>（四）</w:t>
      </w:r>
      <w:r>
        <w:rPr>
          <w:rFonts w:hint="eastAsia" w:ascii="楷体_GB2312" w:hAnsi="楷体_GB2312" w:eastAsia="楷体_GB2312" w:cs="楷体_GB2312"/>
          <w:b w:val="0"/>
          <w:bCs w:val="0"/>
          <w:sz w:val="32"/>
          <w:szCs w:val="32"/>
          <w:lang w:val="en-US" w:eastAsia="zh"/>
        </w:rPr>
        <w:t>轻工企业方面</w:t>
      </w:r>
    </w:p>
    <w:p w14:paraId="6D2BCD4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1.高温设备安全保护措施配备情况。食品制造企业涉及烘制、油炸等设施设备，应采取防过热自动报警切断装置和隔热防护措施。</w:t>
      </w:r>
    </w:p>
    <w:p w14:paraId="4FE0D8B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2.安全风险较高场所监测报警装置和防爆装置设置情况。</w:t>
      </w:r>
    </w:p>
    <w:p w14:paraId="58EFBF7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
          <w14:textFill>
            <w14:solidFill>
              <w14:schemeClr w14:val="tx1"/>
            </w14:solidFill>
          </w14:textFill>
        </w:rPr>
      </w:pPr>
      <w:r>
        <w:rPr>
          <w:rFonts w:hint="eastAsia" w:ascii="仿宋_GB2312" w:hAnsi="仿宋_GB2312" w:eastAsia="仿宋_GB2312" w:cs="仿宋_GB2312"/>
          <w:color w:val="000000" w:themeColor="text1"/>
          <w:sz w:val="32"/>
          <w:szCs w:val="32"/>
          <w:lang w:val="en-US" w:eastAsia="zh"/>
          <w14:textFill>
            <w14:solidFill>
              <w14:schemeClr w14:val="tx1"/>
            </w14:solidFill>
          </w14:textFill>
        </w:rPr>
        <w:t>2.1 喷涂车间、调漆间应规范设置通风装置和防爆电气设备设施。</w:t>
      </w:r>
    </w:p>
    <w:p w14:paraId="4F635370">
      <w:pPr>
        <w:keepNext w:val="0"/>
        <w:keepLines w:val="0"/>
        <w:pageBreakBefore w:val="0"/>
        <w:widowControl w:val="0"/>
        <w:kinsoku/>
        <w:wordWrap/>
        <w:overflowPunct/>
        <w:topLinePunct w:val="0"/>
        <w:autoSpaceDE/>
        <w:autoSpaceDN w:val="0"/>
        <w:bidi w:val="0"/>
        <w:adjustRightInd w:val="0"/>
        <w:snapToGrid w:val="0"/>
        <w:spacing w:line="560" w:lineRule="exact"/>
        <w:ind w:firstLine="640" w:firstLineChars="200"/>
        <w:jc w:val="both"/>
        <w:textAlignment w:val="auto"/>
        <w:rPr>
          <w:rFonts w:hint="eastAsia" w:ascii="楷体_GB2312" w:hAnsi="楷体_GB2312" w:eastAsia="楷体_GB2312" w:cs="楷体_GB2312"/>
          <w:b w:val="0"/>
          <w:bCs w:val="0"/>
          <w:sz w:val="32"/>
          <w:szCs w:val="32"/>
          <w:lang w:val="en-US" w:eastAsia="zh"/>
        </w:rPr>
      </w:pPr>
      <w:r>
        <w:rPr>
          <w:rFonts w:hint="eastAsia" w:ascii="楷体_GB2312" w:hAnsi="楷体_GB2312" w:eastAsia="楷体_GB2312" w:cs="楷体_GB2312"/>
          <w:b w:val="0"/>
          <w:bCs w:val="0"/>
          <w:sz w:val="32"/>
          <w:szCs w:val="32"/>
          <w:lang w:val="en-US" w:eastAsia="zh-CN"/>
        </w:rPr>
        <w:t>（五）</w:t>
      </w:r>
      <w:r>
        <w:rPr>
          <w:rFonts w:hint="eastAsia" w:ascii="楷体_GB2312" w:hAnsi="楷体_GB2312" w:eastAsia="楷体_GB2312" w:cs="楷体_GB2312"/>
          <w:b w:val="0"/>
          <w:bCs w:val="0"/>
          <w:sz w:val="32"/>
          <w:szCs w:val="32"/>
          <w:lang w:val="en-US" w:eastAsia="zh"/>
        </w:rPr>
        <w:t>涉有限空间作业企业方面</w:t>
      </w:r>
    </w:p>
    <w:p w14:paraId="436EB47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1.未按照规定制定有限空间作业方案或者方案未经审批擅自作业。</w:t>
      </w:r>
    </w:p>
    <w:p w14:paraId="36378D2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2.未在有限空间作业场所设置明显的安全警示标志。</w:t>
      </w:r>
    </w:p>
    <w:p w14:paraId="5A7F52E3">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3.未向作业人员提供符合国家标准或者行业标准的安全帽、全身式安全带、三脚架、安全绳，以及与作业环境危险有害因素相适应的检测报警仪器、正压式呼吸器等劳动防护用品。</w:t>
      </w:r>
    </w:p>
    <w:p w14:paraId="19E64D9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sectPr>
          <w:footerReference r:id="rId4" w:type="default"/>
          <w:pgSz w:w="11850" w:h="16783"/>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4.未对承包单位的有限空间作业统一协调、管理。</w:t>
      </w:r>
    </w:p>
    <w:p w14:paraId="659D696E">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附件</w:t>
      </w:r>
      <w:r>
        <w:rPr>
          <w:rFonts w:hint="eastAsia" w:ascii="黑体" w:hAnsi="黑体" w:eastAsia="黑体" w:cs="黑体"/>
          <w:color w:val="000000" w:themeColor="text1"/>
          <w:sz w:val="32"/>
          <w:szCs w:val="32"/>
          <w:lang w:val="en-US" w:eastAsia="zh-CN"/>
          <w14:textFill>
            <w14:solidFill>
              <w14:schemeClr w14:val="tx1"/>
            </w14:solidFill>
          </w14:textFill>
        </w:rPr>
        <w:t>3</w:t>
      </w:r>
    </w:p>
    <w:p w14:paraId="3521A8A4">
      <w:pPr>
        <w:pStyle w:val="8"/>
        <w:keepNext w:val="0"/>
        <w:keepLines w:val="0"/>
        <w:pageBreakBefore w:val="0"/>
        <w:widowControl w:val="0"/>
        <w:kinsoku/>
        <w:wordWrap/>
        <w:overflowPunct/>
        <w:topLinePunct w:val="0"/>
        <w:autoSpaceDE/>
        <w:bidi w:val="0"/>
        <w:spacing w:line="560" w:lineRule="exact"/>
        <w:ind w:firstLine="420" w:firstLineChars="200"/>
        <w:jc w:val="both"/>
        <w:textAlignment w:val="auto"/>
        <w:rPr>
          <w:rFonts w:hint="default"/>
          <w:lang w:eastAsia="zh-CN"/>
        </w:rPr>
      </w:pPr>
    </w:p>
    <w:p w14:paraId="2293920A">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lang w:val="en-US" w:eastAsia="zh-CN"/>
          <w14:textFill>
            <w14:solidFill>
              <w14:schemeClr w14:val="tx1"/>
            </w14:solidFill>
          </w14:textFill>
        </w:rPr>
        <w:t>2026</w:t>
      </w: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年</w:t>
      </w:r>
      <w:r>
        <w:rPr>
          <w:rFonts w:hint="eastAsia" w:ascii="方正小标宋简体" w:hAnsi="方正小标宋简体" w:eastAsia="方正小标宋简体" w:cs="方正小标宋简体"/>
          <w:color w:val="000000" w:themeColor="text1"/>
          <w:sz w:val="44"/>
          <w:szCs w:val="44"/>
          <w:lang w:eastAsia="zh-CN"/>
          <w14:textFill>
            <w14:solidFill>
              <w14:schemeClr w14:val="tx1"/>
            </w14:solidFill>
          </w14:textFill>
        </w:rPr>
        <w:t>监督</w:t>
      </w: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检查时间及任务分配表</w:t>
      </w:r>
    </w:p>
    <w:p w14:paraId="687234F3">
      <w:pPr>
        <w:keepNext w:val="0"/>
        <w:keepLines w:val="0"/>
        <w:pageBreakBefore w:val="0"/>
        <w:widowControl w:val="0"/>
        <w:kinsoku/>
        <w:wordWrap/>
        <w:overflowPunct/>
        <w:topLinePunct w:val="0"/>
        <w:autoSpaceDE/>
        <w:bidi w:val="0"/>
        <w:spacing w:line="560" w:lineRule="exact"/>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单位：家（次）</w:t>
      </w:r>
    </w:p>
    <w:tbl>
      <w:tblPr>
        <w:tblStyle w:val="6"/>
        <w:tblW w:w="141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20"/>
        <w:gridCol w:w="1145"/>
        <w:gridCol w:w="1145"/>
        <w:gridCol w:w="1"/>
        <w:gridCol w:w="1144"/>
        <w:gridCol w:w="1145"/>
        <w:gridCol w:w="2"/>
        <w:gridCol w:w="1143"/>
        <w:gridCol w:w="1145"/>
        <w:gridCol w:w="3"/>
        <w:gridCol w:w="1142"/>
        <w:gridCol w:w="1150"/>
        <w:gridCol w:w="834"/>
      </w:tblGrid>
      <w:tr w14:paraId="3FC3A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4120" w:type="dxa"/>
            <w:vMerge w:val="restart"/>
            <w:vAlign w:val="center"/>
          </w:tcPr>
          <w:p w14:paraId="72A2BF1E">
            <w:pPr>
              <w:keepNext w:val="0"/>
              <w:keepLines w:val="0"/>
              <w:pageBreakBefore w:val="0"/>
              <w:widowControl w:val="0"/>
              <w:kinsoku/>
              <w:wordWrap/>
              <w:overflowPunct/>
              <w:topLinePunct w:val="0"/>
              <w:autoSpaceDE/>
              <w:bidi w:val="0"/>
              <w:spacing w:line="560" w:lineRule="exact"/>
              <w:jc w:val="center"/>
              <w:textAlignment w:val="auto"/>
              <w:rPr>
                <w:rFonts w:hint="eastAsia" w:ascii="黑体" w:hAnsi="黑体" w:eastAsia="黑体" w:cs="黑体"/>
                <w:b w:val="0"/>
                <w:bCs w:val="0"/>
                <w:sz w:val="21"/>
                <w:szCs w:val="21"/>
                <w:vertAlign w:val="baseline"/>
                <w:lang w:val="en-US" w:eastAsia="zh-CN"/>
              </w:rPr>
            </w:pPr>
            <w:r>
              <w:rPr>
                <w:rFonts w:hint="eastAsia" w:ascii="黑体" w:hAnsi="黑体" w:eastAsia="黑体" w:cs="黑体"/>
                <w:b w:val="0"/>
                <w:bCs w:val="0"/>
                <w:sz w:val="21"/>
                <w:szCs w:val="21"/>
                <w:vertAlign w:val="baseline"/>
                <w:lang w:val="en-US" w:eastAsia="zh-CN"/>
              </w:rPr>
              <w:t>行  业</w:t>
            </w:r>
          </w:p>
        </w:tc>
        <w:tc>
          <w:tcPr>
            <w:tcW w:w="2291" w:type="dxa"/>
            <w:gridSpan w:val="3"/>
            <w:vAlign w:val="center"/>
          </w:tcPr>
          <w:p w14:paraId="7AA2A2F0">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第一季度</w:t>
            </w:r>
          </w:p>
        </w:tc>
        <w:tc>
          <w:tcPr>
            <w:tcW w:w="2291" w:type="dxa"/>
            <w:gridSpan w:val="3"/>
            <w:vAlign w:val="center"/>
          </w:tcPr>
          <w:p w14:paraId="0E7F8C9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第二季度</w:t>
            </w:r>
          </w:p>
        </w:tc>
        <w:tc>
          <w:tcPr>
            <w:tcW w:w="2291" w:type="dxa"/>
            <w:gridSpan w:val="3"/>
            <w:vAlign w:val="center"/>
          </w:tcPr>
          <w:p w14:paraId="5F082D3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第三季度</w:t>
            </w:r>
          </w:p>
        </w:tc>
        <w:tc>
          <w:tcPr>
            <w:tcW w:w="2292" w:type="dxa"/>
            <w:gridSpan w:val="2"/>
            <w:vAlign w:val="center"/>
          </w:tcPr>
          <w:p w14:paraId="655C3CC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第四季度</w:t>
            </w:r>
          </w:p>
        </w:tc>
        <w:tc>
          <w:tcPr>
            <w:tcW w:w="834" w:type="dxa"/>
            <w:vMerge w:val="restart"/>
            <w:vAlign w:val="center"/>
          </w:tcPr>
          <w:p w14:paraId="3E7EEBC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vertAlign w:val="baseline"/>
                <w:lang w:eastAsia="zh-CN"/>
              </w:rPr>
            </w:pPr>
            <w:r>
              <w:rPr>
                <w:rFonts w:hint="eastAsia" w:ascii="黑体" w:hAnsi="黑体" w:eastAsia="黑体" w:cs="黑体"/>
                <w:sz w:val="21"/>
                <w:szCs w:val="21"/>
                <w:vertAlign w:val="baseline"/>
                <w:lang w:eastAsia="zh-CN"/>
              </w:rPr>
              <w:t>小计</w:t>
            </w:r>
          </w:p>
        </w:tc>
      </w:tr>
      <w:tr w14:paraId="44923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4120" w:type="dxa"/>
            <w:vMerge w:val="continue"/>
            <w:vAlign w:val="center"/>
          </w:tcPr>
          <w:p w14:paraId="7838DA1F">
            <w:pPr>
              <w:keepNext w:val="0"/>
              <w:keepLines w:val="0"/>
              <w:pageBreakBefore w:val="0"/>
              <w:widowControl w:val="0"/>
              <w:kinsoku/>
              <w:wordWrap/>
              <w:overflowPunct/>
              <w:topLinePunct w:val="0"/>
              <w:autoSpaceDE/>
              <w:bidi w:val="0"/>
              <w:spacing w:line="560" w:lineRule="exact"/>
              <w:ind w:firstLine="420" w:firstLineChars="200"/>
              <w:jc w:val="both"/>
              <w:textAlignment w:val="auto"/>
              <w:rPr>
                <w:rFonts w:hint="eastAsia" w:ascii="黑体" w:hAnsi="黑体" w:eastAsia="黑体" w:cs="黑体"/>
                <w:b w:val="0"/>
                <w:bCs w:val="0"/>
                <w:sz w:val="21"/>
                <w:szCs w:val="21"/>
                <w:vertAlign w:val="baseline"/>
              </w:rPr>
            </w:pPr>
          </w:p>
        </w:tc>
        <w:tc>
          <w:tcPr>
            <w:tcW w:w="1145" w:type="dxa"/>
            <w:vAlign w:val="center"/>
          </w:tcPr>
          <w:p w14:paraId="32D6C80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重</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点</w:t>
            </w:r>
          </w:p>
          <w:p w14:paraId="18F3F220">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检查企业</w:t>
            </w:r>
          </w:p>
        </w:tc>
        <w:tc>
          <w:tcPr>
            <w:tcW w:w="1145" w:type="dxa"/>
            <w:vAlign w:val="center"/>
          </w:tcPr>
          <w:p w14:paraId="5AE6F3C7">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一</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般</w:t>
            </w:r>
          </w:p>
          <w:p w14:paraId="14A7BD9D">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检查企业</w:t>
            </w:r>
          </w:p>
        </w:tc>
        <w:tc>
          <w:tcPr>
            <w:tcW w:w="1145" w:type="dxa"/>
            <w:gridSpan w:val="2"/>
            <w:vAlign w:val="center"/>
          </w:tcPr>
          <w:p w14:paraId="1B58513B">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重</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点</w:t>
            </w:r>
          </w:p>
          <w:p w14:paraId="4AAEDC62">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eastAsia" w:ascii="黑体" w:hAnsi="黑体" w:eastAsia="黑体" w:cs="黑体"/>
                <w:b w:val="0"/>
                <w:bCs w:val="0"/>
                <w:sz w:val="21"/>
                <w:szCs w:val="21"/>
                <w:vertAlign w:val="baseline"/>
              </w:rPr>
            </w:pPr>
            <w:r>
              <w:rPr>
                <w:rFonts w:hint="eastAsia" w:ascii="黑体" w:hAnsi="黑体" w:eastAsia="黑体" w:cs="黑体"/>
                <w:b w:val="0"/>
                <w:bCs w:val="0"/>
                <w:sz w:val="21"/>
                <w:szCs w:val="21"/>
                <w:vertAlign w:val="baseline"/>
                <w:lang w:eastAsia="zh-CN"/>
              </w:rPr>
              <w:t>检查企业</w:t>
            </w:r>
          </w:p>
        </w:tc>
        <w:tc>
          <w:tcPr>
            <w:tcW w:w="1145" w:type="dxa"/>
            <w:vAlign w:val="center"/>
          </w:tcPr>
          <w:p w14:paraId="1B42C9D5">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一</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般</w:t>
            </w:r>
          </w:p>
          <w:p w14:paraId="3DCE78D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rPr>
            </w:pPr>
            <w:r>
              <w:rPr>
                <w:rFonts w:hint="eastAsia" w:ascii="黑体" w:hAnsi="黑体" w:eastAsia="黑体" w:cs="黑体"/>
                <w:b w:val="0"/>
                <w:bCs w:val="0"/>
                <w:sz w:val="21"/>
                <w:szCs w:val="21"/>
                <w:vertAlign w:val="baseline"/>
                <w:lang w:eastAsia="zh-CN"/>
              </w:rPr>
              <w:t>检查企业</w:t>
            </w:r>
          </w:p>
        </w:tc>
        <w:tc>
          <w:tcPr>
            <w:tcW w:w="1145" w:type="dxa"/>
            <w:gridSpan w:val="2"/>
            <w:vAlign w:val="center"/>
          </w:tcPr>
          <w:p w14:paraId="3BA79219">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重</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点</w:t>
            </w:r>
          </w:p>
          <w:p w14:paraId="59020443">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eastAsia" w:ascii="黑体" w:hAnsi="黑体" w:eastAsia="黑体" w:cs="黑体"/>
                <w:b w:val="0"/>
                <w:bCs w:val="0"/>
                <w:sz w:val="21"/>
                <w:szCs w:val="21"/>
                <w:vertAlign w:val="baseline"/>
              </w:rPr>
            </w:pPr>
            <w:r>
              <w:rPr>
                <w:rFonts w:hint="eastAsia" w:ascii="黑体" w:hAnsi="黑体" w:eastAsia="黑体" w:cs="黑体"/>
                <w:b w:val="0"/>
                <w:bCs w:val="0"/>
                <w:sz w:val="21"/>
                <w:szCs w:val="21"/>
                <w:vertAlign w:val="baseline"/>
                <w:lang w:eastAsia="zh-CN"/>
              </w:rPr>
              <w:t>检查企业</w:t>
            </w:r>
          </w:p>
        </w:tc>
        <w:tc>
          <w:tcPr>
            <w:tcW w:w="1145" w:type="dxa"/>
            <w:vAlign w:val="center"/>
          </w:tcPr>
          <w:p w14:paraId="78B959B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一</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般</w:t>
            </w:r>
          </w:p>
          <w:p w14:paraId="178EF204">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rPr>
            </w:pPr>
            <w:r>
              <w:rPr>
                <w:rFonts w:hint="eastAsia" w:ascii="黑体" w:hAnsi="黑体" w:eastAsia="黑体" w:cs="黑体"/>
                <w:b w:val="0"/>
                <w:bCs w:val="0"/>
                <w:sz w:val="21"/>
                <w:szCs w:val="21"/>
                <w:vertAlign w:val="baseline"/>
                <w:lang w:eastAsia="zh-CN"/>
              </w:rPr>
              <w:t>检查企业</w:t>
            </w:r>
          </w:p>
        </w:tc>
        <w:tc>
          <w:tcPr>
            <w:tcW w:w="1145" w:type="dxa"/>
            <w:gridSpan w:val="2"/>
            <w:vAlign w:val="center"/>
          </w:tcPr>
          <w:p w14:paraId="40941CC3">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重</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点</w:t>
            </w:r>
          </w:p>
          <w:p w14:paraId="194D0DEA">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eastAsia" w:ascii="黑体" w:hAnsi="黑体" w:eastAsia="黑体" w:cs="黑体"/>
                <w:b w:val="0"/>
                <w:bCs w:val="0"/>
                <w:sz w:val="21"/>
                <w:szCs w:val="21"/>
                <w:vertAlign w:val="baseline"/>
              </w:rPr>
            </w:pPr>
            <w:r>
              <w:rPr>
                <w:rFonts w:hint="eastAsia" w:ascii="黑体" w:hAnsi="黑体" w:eastAsia="黑体" w:cs="黑体"/>
                <w:b w:val="0"/>
                <w:bCs w:val="0"/>
                <w:sz w:val="21"/>
                <w:szCs w:val="21"/>
                <w:vertAlign w:val="baseline"/>
                <w:lang w:eastAsia="zh-CN"/>
              </w:rPr>
              <w:t>检查企业</w:t>
            </w:r>
          </w:p>
        </w:tc>
        <w:tc>
          <w:tcPr>
            <w:tcW w:w="1150" w:type="dxa"/>
            <w:vAlign w:val="center"/>
          </w:tcPr>
          <w:p w14:paraId="1CD84A78">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lang w:eastAsia="zh-CN"/>
              </w:rPr>
            </w:pPr>
            <w:r>
              <w:rPr>
                <w:rFonts w:hint="eastAsia" w:ascii="黑体" w:hAnsi="黑体" w:eastAsia="黑体" w:cs="黑体"/>
                <w:b w:val="0"/>
                <w:bCs w:val="0"/>
                <w:sz w:val="21"/>
                <w:szCs w:val="21"/>
                <w:vertAlign w:val="baseline"/>
                <w:lang w:eastAsia="zh-CN"/>
              </w:rPr>
              <w:t>一</w:t>
            </w:r>
            <w:r>
              <w:rPr>
                <w:rFonts w:hint="eastAsia" w:ascii="黑体" w:hAnsi="黑体" w:eastAsia="黑体" w:cs="黑体"/>
                <w:b w:val="0"/>
                <w:bCs w:val="0"/>
                <w:sz w:val="21"/>
                <w:szCs w:val="21"/>
                <w:vertAlign w:val="baseline"/>
                <w:lang w:val="en-US" w:eastAsia="zh-CN"/>
              </w:rPr>
              <w:t xml:space="preserve">  </w:t>
            </w:r>
            <w:r>
              <w:rPr>
                <w:rFonts w:hint="eastAsia" w:ascii="黑体" w:hAnsi="黑体" w:eastAsia="黑体" w:cs="黑体"/>
                <w:b w:val="0"/>
                <w:bCs w:val="0"/>
                <w:sz w:val="21"/>
                <w:szCs w:val="21"/>
                <w:vertAlign w:val="baseline"/>
                <w:lang w:eastAsia="zh-CN"/>
              </w:rPr>
              <w:t>般</w:t>
            </w:r>
          </w:p>
          <w:p w14:paraId="57271FBF">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hint="eastAsia" w:ascii="黑体" w:hAnsi="黑体" w:eastAsia="黑体" w:cs="黑体"/>
                <w:b w:val="0"/>
                <w:bCs w:val="0"/>
                <w:sz w:val="21"/>
                <w:szCs w:val="21"/>
                <w:vertAlign w:val="baseline"/>
              </w:rPr>
            </w:pPr>
            <w:r>
              <w:rPr>
                <w:rFonts w:hint="eastAsia" w:ascii="黑体" w:hAnsi="黑体" w:eastAsia="黑体" w:cs="黑体"/>
                <w:b w:val="0"/>
                <w:bCs w:val="0"/>
                <w:sz w:val="21"/>
                <w:szCs w:val="21"/>
                <w:vertAlign w:val="baseline"/>
                <w:lang w:eastAsia="zh-CN"/>
              </w:rPr>
              <w:t>检查企业</w:t>
            </w:r>
          </w:p>
        </w:tc>
        <w:tc>
          <w:tcPr>
            <w:tcW w:w="834" w:type="dxa"/>
            <w:vMerge w:val="continue"/>
            <w:vAlign w:val="center"/>
          </w:tcPr>
          <w:p w14:paraId="18DEA8F9">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vertAlign w:val="baseline"/>
              </w:rPr>
            </w:pPr>
          </w:p>
        </w:tc>
      </w:tr>
      <w:tr w14:paraId="72138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4120" w:type="dxa"/>
            <w:vAlign w:val="center"/>
          </w:tcPr>
          <w:p w14:paraId="0862EDE3">
            <w:pPr>
              <w:keepNext w:val="0"/>
              <w:keepLines w:val="0"/>
              <w:pageBreakBefore w:val="0"/>
              <w:widowControl w:val="0"/>
              <w:kinsoku/>
              <w:wordWrap/>
              <w:overflowPunct/>
              <w:topLinePunct w:val="0"/>
              <w:autoSpaceDE/>
              <w:bidi w:val="0"/>
              <w:spacing w:line="560" w:lineRule="exact"/>
              <w:jc w:val="center"/>
              <w:textAlignment w:val="auto"/>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执法一中队</w:t>
            </w:r>
          </w:p>
        </w:tc>
        <w:tc>
          <w:tcPr>
            <w:tcW w:w="1145" w:type="dxa"/>
            <w:vAlign w:val="center"/>
          </w:tcPr>
          <w:p w14:paraId="5BCEF26C">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2</w:t>
            </w:r>
          </w:p>
        </w:tc>
        <w:tc>
          <w:tcPr>
            <w:tcW w:w="1145" w:type="dxa"/>
            <w:vAlign w:val="center"/>
          </w:tcPr>
          <w:p w14:paraId="0D0BE016">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1145" w:type="dxa"/>
            <w:gridSpan w:val="2"/>
            <w:vAlign w:val="center"/>
          </w:tcPr>
          <w:p w14:paraId="48F4EE1B">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1</w:t>
            </w:r>
          </w:p>
        </w:tc>
        <w:tc>
          <w:tcPr>
            <w:tcW w:w="1145" w:type="dxa"/>
            <w:vAlign w:val="center"/>
          </w:tcPr>
          <w:p w14:paraId="4B8FC120">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1145" w:type="dxa"/>
            <w:gridSpan w:val="2"/>
            <w:vAlign w:val="center"/>
          </w:tcPr>
          <w:p w14:paraId="0616D483">
            <w:pPr>
              <w:keepNext w:val="0"/>
              <w:keepLines w:val="0"/>
              <w:widowControl/>
              <w:suppressLineNumbers w:val="0"/>
              <w:jc w:val="center"/>
              <w:textAlignment w:val="center"/>
              <w:rPr>
                <w:rFonts w:hint="eastAsia" w:ascii="楷体_GB2312" w:hAnsi="楷体_GB2312" w:eastAsia="楷体_GB2312" w:cs="楷体_GB2312"/>
                <w:sz w:val="28"/>
                <w:szCs w:val="28"/>
                <w:vertAlign w:val="baseline"/>
                <w:lang w:val="en-US" w:eastAsia="zh"/>
              </w:rPr>
            </w:pPr>
            <w:r>
              <w:rPr>
                <w:rFonts w:hint="eastAsia" w:ascii="楷体_GB2312" w:hAnsi="楷体_GB2312" w:eastAsia="楷体_GB2312" w:cs="楷体_GB2312"/>
                <w:sz w:val="28"/>
                <w:szCs w:val="28"/>
                <w:vertAlign w:val="baseline"/>
                <w:lang w:val="en-US" w:eastAsia="zh-CN"/>
              </w:rPr>
              <w:t>2</w:t>
            </w:r>
          </w:p>
        </w:tc>
        <w:tc>
          <w:tcPr>
            <w:tcW w:w="1145" w:type="dxa"/>
            <w:vAlign w:val="center"/>
          </w:tcPr>
          <w:p w14:paraId="2C8AC179">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1145" w:type="dxa"/>
            <w:gridSpan w:val="2"/>
            <w:vAlign w:val="center"/>
          </w:tcPr>
          <w:p w14:paraId="648BF93B">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2</w:t>
            </w:r>
          </w:p>
        </w:tc>
        <w:tc>
          <w:tcPr>
            <w:tcW w:w="1150" w:type="dxa"/>
            <w:vAlign w:val="center"/>
          </w:tcPr>
          <w:p w14:paraId="74544995">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834" w:type="dxa"/>
            <w:vAlign w:val="center"/>
          </w:tcPr>
          <w:p w14:paraId="5D3F87E2">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7</w:t>
            </w:r>
          </w:p>
        </w:tc>
      </w:tr>
      <w:tr w14:paraId="2FD74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4120" w:type="dxa"/>
            <w:vAlign w:val="center"/>
          </w:tcPr>
          <w:p w14:paraId="082DB9C3">
            <w:pPr>
              <w:keepNext w:val="0"/>
              <w:keepLines w:val="0"/>
              <w:pageBreakBefore w:val="0"/>
              <w:widowControl w:val="0"/>
              <w:kinsoku/>
              <w:wordWrap/>
              <w:overflowPunct/>
              <w:topLinePunct w:val="0"/>
              <w:autoSpaceDE/>
              <w:bidi w:val="0"/>
              <w:spacing w:line="560" w:lineRule="exact"/>
              <w:jc w:val="center"/>
              <w:textAlignment w:val="auto"/>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执法二中队</w:t>
            </w:r>
          </w:p>
        </w:tc>
        <w:tc>
          <w:tcPr>
            <w:tcW w:w="1145" w:type="dxa"/>
            <w:vAlign w:val="center"/>
          </w:tcPr>
          <w:p w14:paraId="631EC2D6">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vAlign w:val="center"/>
          </w:tcPr>
          <w:p w14:paraId="5E1B6DD8">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gridSpan w:val="2"/>
            <w:vAlign w:val="center"/>
          </w:tcPr>
          <w:p w14:paraId="1C71FFA4">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vAlign w:val="center"/>
          </w:tcPr>
          <w:p w14:paraId="725D1884">
            <w:pPr>
              <w:keepNext w:val="0"/>
              <w:keepLines w:val="0"/>
              <w:widowControl/>
              <w:suppressLineNumbers w:val="0"/>
              <w:jc w:val="center"/>
              <w:textAlignment w:val="center"/>
              <w:rPr>
                <w:rFonts w:hint="eastAsia"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gridSpan w:val="2"/>
            <w:vAlign w:val="center"/>
          </w:tcPr>
          <w:p w14:paraId="6437E655">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vAlign w:val="center"/>
          </w:tcPr>
          <w:p w14:paraId="0277B675">
            <w:pPr>
              <w:keepNext w:val="0"/>
              <w:keepLines w:val="0"/>
              <w:widowControl/>
              <w:suppressLineNumbers w:val="0"/>
              <w:jc w:val="center"/>
              <w:textAlignment w:val="center"/>
              <w:rPr>
                <w:rFonts w:hint="eastAsia"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gridSpan w:val="2"/>
            <w:vAlign w:val="center"/>
          </w:tcPr>
          <w:p w14:paraId="518F3A33">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0</w:t>
            </w:r>
          </w:p>
        </w:tc>
        <w:tc>
          <w:tcPr>
            <w:tcW w:w="1150" w:type="dxa"/>
            <w:vAlign w:val="center"/>
          </w:tcPr>
          <w:p w14:paraId="4B58ACC6">
            <w:pPr>
              <w:keepNext w:val="0"/>
              <w:keepLines w:val="0"/>
              <w:widowControl/>
              <w:suppressLineNumbers w:val="0"/>
              <w:jc w:val="center"/>
              <w:textAlignment w:val="center"/>
              <w:rPr>
                <w:rFonts w:hint="eastAsia"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834" w:type="dxa"/>
            <w:vAlign w:val="center"/>
          </w:tcPr>
          <w:p w14:paraId="5D1133B1">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7</w:t>
            </w:r>
          </w:p>
        </w:tc>
      </w:tr>
      <w:tr w14:paraId="7E353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4120" w:type="dxa"/>
            <w:vAlign w:val="center"/>
          </w:tcPr>
          <w:p w14:paraId="036203AD">
            <w:pPr>
              <w:keepNext w:val="0"/>
              <w:keepLines w:val="0"/>
              <w:pageBreakBefore w:val="0"/>
              <w:widowControl w:val="0"/>
              <w:kinsoku/>
              <w:wordWrap/>
              <w:overflowPunct/>
              <w:topLinePunct w:val="0"/>
              <w:autoSpaceDE/>
              <w:bidi w:val="0"/>
              <w:spacing w:line="560" w:lineRule="exact"/>
              <w:jc w:val="center"/>
              <w:textAlignment w:val="auto"/>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执法三中队</w:t>
            </w:r>
          </w:p>
        </w:tc>
        <w:tc>
          <w:tcPr>
            <w:tcW w:w="1145" w:type="dxa"/>
            <w:vAlign w:val="center"/>
          </w:tcPr>
          <w:p w14:paraId="1EC93520">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vAlign w:val="center"/>
          </w:tcPr>
          <w:p w14:paraId="28465F66">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gridSpan w:val="2"/>
            <w:vAlign w:val="center"/>
          </w:tcPr>
          <w:p w14:paraId="0430F581">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vAlign w:val="center"/>
          </w:tcPr>
          <w:p w14:paraId="198E8CA5">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gridSpan w:val="2"/>
            <w:vAlign w:val="center"/>
          </w:tcPr>
          <w:p w14:paraId="1E3E53D2">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vAlign w:val="center"/>
          </w:tcPr>
          <w:p w14:paraId="183B7BA8">
            <w:pPr>
              <w:keepNext w:val="0"/>
              <w:keepLines w:val="0"/>
              <w:widowControl/>
              <w:suppressLineNumbers w:val="0"/>
              <w:jc w:val="center"/>
              <w:textAlignment w:val="center"/>
              <w:rPr>
                <w:rFonts w:hint="eastAsia"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45" w:type="dxa"/>
            <w:gridSpan w:val="2"/>
            <w:vAlign w:val="center"/>
          </w:tcPr>
          <w:p w14:paraId="788C4CB6">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1</w:t>
            </w:r>
          </w:p>
        </w:tc>
        <w:tc>
          <w:tcPr>
            <w:tcW w:w="1150" w:type="dxa"/>
            <w:vAlign w:val="center"/>
          </w:tcPr>
          <w:p w14:paraId="7BFAB968">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0</w:t>
            </w:r>
          </w:p>
        </w:tc>
        <w:tc>
          <w:tcPr>
            <w:tcW w:w="834" w:type="dxa"/>
            <w:vAlign w:val="center"/>
          </w:tcPr>
          <w:p w14:paraId="04E44F4C">
            <w:pPr>
              <w:keepNext w:val="0"/>
              <w:keepLines w:val="0"/>
              <w:widowControl/>
              <w:suppressLineNumbers w:val="0"/>
              <w:jc w:val="center"/>
              <w:textAlignment w:val="center"/>
              <w:rPr>
                <w:rFonts w:hint="default" w:ascii="楷体_GB2312" w:hAnsi="楷体_GB2312" w:eastAsia="楷体_GB2312" w:cs="楷体_GB2312"/>
                <w:color w:val="auto"/>
                <w:sz w:val="28"/>
                <w:szCs w:val="28"/>
                <w:vertAlign w:val="baseline"/>
                <w:lang w:val="en-US" w:eastAsia="zh-CN"/>
              </w:rPr>
            </w:pPr>
            <w:r>
              <w:rPr>
                <w:rFonts w:hint="eastAsia" w:ascii="楷体_GB2312" w:hAnsi="楷体_GB2312" w:eastAsia="楷体_GB2312" w:cs="楷体_GB2312"/>
                <w:color w:val="auto"/>
                <w:sz w:val="28"/>
                <w:szCs w:val="28"/>
                <w:vertAlign w:val="baseline"/>
                <w:lang w:val="en-US" w:eastAsia="zh-CN"/>
              </w:rPr>
              <w:t>7</w:t>
            </w:r>
          </w:p>
        </w:tc>
      </w:tr>
      <w:tr w14:paraId="64F6F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4120" w:type="dxa"/>
            <w:vAlign w:val="center"/>
          </w:tcPr>
          <w:p w14:paraId="0A557C60">
            <w:pPr>
              <w:keepNext w:val="0"/>
              <w:keepLines w:val="0"/>
              <w:pageBreakBefore w:val="0"/>
              <w:widowControl w:val="0"/>
              <w:kinsoku/>
              <w:wordWrap/>
              <w:overflowPunct/>
              <w:topLinePunct w:val="0"/>
              <w:autoSpaceDE/>
              <w:bidi w:val="0"/>
              <w:spacing w:line="560" w:lineRule="exact"/>
              <w:jc w:val="center"/>
              <w:textAlignment w:val="auto"/>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执法四中队</w:t>
            </w:r>
          </w:p>
        </w:tc>
        <w:tc>
          <w:tcPr>
            <w:tcW w:w="1145" w:type="dxa"/>
            <w:vAlign w:val="center"/>
          </w:tcPr>
          <w:p w14:paraId="3F255815">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2</w:t>
            </w:r>
          </w:p>
        </w:tc>
        <w:tc>
          <w:tcPr>
            <w:tcW w:w="1145" w:type="dxa"/>
            <w:vAlign w:val="center"/>
          </w:tcPr>
          <w:p w14:paraId="3E649A08">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1145" w:type="dxa"/>
            <w:gridSpan w:val="2"/>
            <w:vAlign w:val="center"/>
          </w:tcPr>
          <w:p w14:paraId="0F7986E1">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2</w:t>
            </w:r>
          </w:p>
        </w:tc>
        <w:tc>
          <w:tcPr>
            <w:tcW w:w="1145" w:type="dxa"/>
            <w:vAlign w:val="center"/>
          </w:tcPr>
          <w:p w14:paraId="275BC6AD">
            <w:pPr>
              <w:keepNext w:val="0"/>
              <w:keepLines w:val="0"/>
              <w:widowControl/>
              <w:suppressLineNumbers w:val="0"/>
              <w:jc w:val="center"/>
              <w:textAlignment w:val="center"/>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1145" w:type="dxa"/>
            <w:gridSpan w:val="2"/>
            <w:vAlign w:val="center"/>
          </w:tcPr>
          <w:p w14:paraId="38E8F0E2">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1</w:t>
            </w:r>
          </w:p>
        </w:tc>
        <w:tc>
          <w:tcPr>
            <w:tcW w:w="1145" w:type="dxa"/>
            <w:vAlign w:val="center"/>
          </w:tcPr>
          <w:p w14:paraId="5B9186A4">
            <w:pPr>
              <w:keepNext w:val="0"/>
              <w:keepLines w:val="0"/>
              <w:widowControl/>
              <w:suppressLineNumbers w:val="0"/>
              <w:jc w:val="center"/>
              <w:textAlignment w:val="center"/>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1145" w:type="dxa"/>
            <w:gridSpan w:val="2"/>
            <w:vAlign w:val="center"/>
          </w:tcPr>
          <w:p w14:paraId="1FD608DA">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2</w:t>
            </w:r>
          </w:p>
        </w:tc>
        <w:tc>
          <w:tcPr>
            <w:tcW w:w="1150" w:type="dxa"/>
            <w:vAlign w:val="center"/>
          </w:tcPr>
          <w:p w14:paraId="1CFE6BA0">
            <w:pPr>
              <w:keepNext w:val="0"/>
              <w:keepLines w:val="0"/>
              <w:widowControl/>
              <w:suppressLineNumbers w:val="0"/>
              <w:jc w:val="center"/>
              <w:textAlignment w:val="center"/>
              <w:rPr>
                <w:rFonts w:hint="eastAsia"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0</w:t>
            </w:r>
          </w:p>
        </w:tc>
        <w:tc>
          <w:tcPr>
            <w:tcW w:w="834" w:type="dxa"/>
            <w:vAlign w:val="center"/>
          </w:tcPr>
          <w:p w14:paraId="15E0AB98">
            <w:pPr>
              <w:keepNext w:val="0"/>
              <w:keepLines w:val="0"/>
              <w:widowControl/>
              <w:suppressLineNumbers w:val="0"/>
              <w:jc w:val="center"/>
              <w:textAlignment w:val="center"/>
              <w:rPr>
                <w:rFonts w:hint="default" w:ascii="楷体_GB2312" w:hAnsi="楷体_GB2312" w:eastAsia="楷体_GB2312" w:cs="楷体_GB2312"/>
                <w:sz w:val="28"/>
                <w:szCs w:val="28"/>
                <w:vertAlign w:val="baseline"/>
                <w:lang w:val="en-US" w:eastAsia="zh-CN"/>
              </w:rPr>
            </w:pPr>
            <w:r>
              <w:rPr>
                <w:rFonts w:hint="eastAsia" w:ascii="楷体_GB2312" w:hAnsi="楷体_GB2312" w:eastAsia="楷体_GB2312" w:cs="楷体_GB2312"/>
                <w:sz w:val="28"/>
                <w:szCs w:val="28"/>
                <w:vertAlign w:val="baseline"/>
                <w:lang w:val="en-US" w:eastAsia="zh-CN"/>
              </w:rPr>
              <w:t>7</w:t>
            </w:r>
          </w:p>
        </w:tc>
      </w:tr>
      <w:tr w14:paraId="24FDF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jc w:val="center"/>
        </w:trPr>
        <w:tc>
          <w:tcPr>
            <w:tcW w:w="14119" w:type="dxa"/>
            <w:gridSpan w:val="13"/>
            <w:vAlign w:val="center"/>
          </w:tcPr>
          <w:p w14:paraId="4FE7FE1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eastAsia="zh-CN"/>
              </w:rPr>
              <w:t>备注：重点检查企业</w:t>
            </w:r>
            <w:r>
              <w:rPr>
                <w:rFonts w:hint="eastAsia" w:ascii="仿宋_GB2312" w:hAnsi="仿宋_GB2312" w:eastAsia="仿宋_GB2312" w:cs="仿宋_GB2312"/>
                <w:sz w:val="32"/>
                <w:szCs w:val="32"/>
                <w:vertAlign w:val="baseline"/>
                <w:lang w:val="en-US" w:eastAsia="zh-CN"/>
              </w:rPr>
              <w:t>20家，一般检查8家。</w:t>
            </w:r>
          </w:p>
        </w:tc>
      </w:tr>
    </w:tbl>
    <w:p w14:paraId="36F8B8CE">
      <w:pPr>
        <w:keepNext w:val="0"/>
        <w:keepLines w:val="0"/>
        <w:pageBreakBefore w:val="0"/>
        <w:widowControl w:val="0"/>
        <w:kinsoku/>
        <w:wordWrap/>
        <w:overflowPunct/>
        <w:topLinePunct w:val="0"/>
        <w:autoSpaceDE/>
        <w:bidi w:val="0"/>
        <w:spacing w:line="560" w:lineRule="exact"/>
        <w:ind w:firstLine="640" w:firstLineChars="200"/>
        <w:jc w:val="both"/>
        <w:textAlignment w:val="auto"/>
        <w:rPr>
          <w:rFonts w:hint="eastAsia" w:ascii="仿宋_GB2312" w:hAnsi="仿宋_GB2312" w:eastAsia="仿宋_GB2312" w:cs="仿宋_GB2312"/>
          <w:sz w:val="32"/>
          <w:szCs w:val="32"/>
        </w:rPr>
        <w:sectPr>
          <w:footerReference r:id="rId5" w:type="default"/>
          <w:pgSz w:w="16783" w:h="11850" w:orient="landscape"/>
          <w:pgMar w:top="1587" w:right="2098" w:bottom="1474" w:left="1984"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14:paraId="4A9C4496">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黑体" w:hAnsi="黑体" w:eastAsia="黑体" w:cs="黑体"/>
          <w:color w:val="000000" w:themeColor="text1"/>
          <w:sz w:val="44"/>
          <w:szCs w:val="44"/>
          <w:lang w:val="en-US" w:eastAsia="zh-CN"/>
          <w14:textFill>
            <w14:solidFill>
              <w14:schemeClr w14:val="tx1"/>
            </w14:solidFill>
          </w14:textFill>
        </w:rPr>
      </w:pPr>
      <w:r>
        <w:rPr>
          <w:rFonts w:hint="eastAsia" w:ascii="黑体" w:hAnsi="黑体" w:eastAsia="黑体" w:cs="黑体"/>
          <w:color w:val="000000" w:themeColor="text1"/>
          <w:sz w:val="32"/>
          <w:szCs w:val="32"/>
          <w:lang w:eastAsia="zh-CN"/>
          <w14:textFill>
            <w14:solidFill>
              <w14:schemeClr w14:val="tx1"/>
            </w14:solidFill>
          </w14:textFill>
        </w:rPr>
        <w:t>附件</w:t>
      </w:r>
      <w:r>
        <w:rPr>
          <w:rFonts w:hint="eastAsia" w:ascii="黑体" w:hAnsi="黑体" w:eastAsia="黑体" w:cs="黑体"/>
          <w:color w:val="000000" w:themeColor="text1"/>
          <w:sz w:val="32"/>
          <w:szCs w:val="32"/>
          <w:lang w:val="en-US" w:eastAsia="zh-CN"/>
          <w14:textFill>
            <w14:solidFill>
              <w14:schemeClr w14:val="tx1"/>
            </w14:solidFill>
          </w14:textFill>
        </w:rPr>
        <w:t>4</w:t>
      </w:r>
    </w:p>
    <w:p w14:paraId="71D97F69">
      <w:pPr>
        <w:pStyle w:val="2"/>
        <w:ind w:left="0" w:leftChars="0" w:firstLine="0" w:firstLineChars="0"/>
        <w:rPr>
          <w:rFonts w:hint="eastAsia" w:ascii="黑体" w:hAnsi="黑体" w:eastAsia="黑体" w:cs="黑体"/>
          <w:color w:val="000000" w:themeColor="text1"/>
          <w:sz w:val="44"/>
          <w:szCs w:val="44"/>
          <w:lang w:val="en-US" w:eastAsia="zh-CN"/>
          <w14:textFill>
            <w14:solidFill>
              <w14:schemeClr w14:val="tx1"/>
            </w14:solidFill>
          </w14:textFill>
        </w:rPr>
      </w:pPr>
    </w:p>
    <w:p w14:paraId="4415BADC">
      <w:pPr>
        <w:spacing w:line="560" w:lineRule="exact"/>
        <w:jc w:val="center"/>
        <w:rPr>
          <w:rFonts w:hint="eastAsia" w:ascii="方正小标宋简体" w:hAnsi="方正小标宋简体" w:eastAsia="方正小标宋简体" w:cs="方正小标宋简体"/>
          <w:b w:val="0"/>
          <w:bCs w:val="0"/>
          <w:color w:val="000000"/>
          <w:sz w:val="44"/>
          <w:szCs w:val="44"/>
        </w:rPr>
      </w:pPr>
      <w:r>
        <w:rPr>
          <w:rFonts w:hint="eastAsia" w:ascii="方正小标宋简体" w:hAnsi="方正小标宋简体" w:eastAsia="方正小标宋简体" w:cs="方正小标宋简体"/>
          <w:b w:val="0"/>
          <w:bCs w:val="0"/>
          <w:color w:val="000000"/>
          <w:sz w:val="44"/>
          <w:szCs w:val="44"/>
        </w:rPr>
        <w:t>20</w:t>
      </w:r>
      <w:r>
        <w:rPr>
          <w:rFonts w:hint="eastAsia" w:ascii="方正小标宋简体" w:hAnsi="方正小标宋简体" w:eastAsia="方正小标宋简体" w:cs="方正小标宋简体"/>
          <w:b w:val="0"/>
          <w:bCs w:val="0"/>
          <w:color w:val="000000"/>
          <w:sz w:val="44"/>
          <w:szCs w:val="44"/>
          <w:lang w:val="en-US" w:eastAsia="zh-CN"/>
        </w:rPr>
        <w:t>26</w:t>
      </w:r>
      <w:r>
        <w:rPr>
          <w:rFonts w:hint="eastAsia" w:ascii="方正小标宋简体" w:hAnsi="方正小标宋简体" w:eastAsia="方正小标宋简体" w:cs="方正小标宋简体"/>
          <w:b w:val="0"/>
          <w:bCs w:val="0"/>
          <w:color w:val="000000"/>
          <w:sz w:val="44"/>
          <w:szCs w:val="44"/>
        </w:rPr>
        <w:t>年</w:t>
      </w:r>
      <w:r>
        <w:rPr>
          <w:rFonts w:hint="eastAsia" w:ascii="方正小标宋简体" w:hAnsi="方正小标宋简体" w:eastAsia="方正小标宋简体" w:cs="方正小标宋简体"/>
          <w:b w:val="0"/>
          <w:bCs w:val="0"/>
          <w:color w:val="000000"/>
          <w:sz w:val="44"/>
          <w:szCs w:val="44"/>
          <w:lang w:val="en-US" w:eastAsia="zh-CN"/>
        </w:rPr>
        <w:t>一般</w:t>
      </w:r>
      <w:r>
        <w:rPr>
          <w:rFonts w:hint="eastAsia" w:ascii="方正小标宋简体" w:hAnsi="方正小标宋简体" w:eastAsia="方正小标宋简体" w:cs="方正小标宋简体"/>
          <w:b w:val="0"/>
          <w:bCs w:val="0"/>
          <w:color w:val="000000"/>
          <w:sz w:val="44"/>
          <w:szCs w:val="44"/>
        </w:rPr>
        <w:t>监督检查企业名单</w:t>
      </w:r>
    </w:p>
    <w:p w14:paraId="33F8BA99">
      <w:pPr>
        <w:spacing w:line="560" w:lineRule="exact"/>
        <w:jc w:val="center"/>
        <w:rPr>
          <w:rFonts w:hint="eastAsia" w:ascii="方正小标宋简体" w:hAnsi="方正小标宋简体" w:eastAsia="方正小标宋简体" w:cs="方正小标宋简体"/>
          <w:b w:val="0"/>
          <w:bCs w:val="0"/>
          <w:color w:val="000000"/>
          <w:sz w:val="44"/>
          <w:szCs w:val="44"/>
          <w:lang w:eastAsia="zh-CN"/>
        </w:rPr>
      </w:pPr>
      <w:r>
        <w:rPr>
          <w:rFonts w:hint="eastAsia" w:ascii="方正小标宋简体" w:hAnsi="方正小标宋简体" w:eastAsia="方正小标宋简体" w:cs="方正小标宋简体"/>
          <w:b w:val="0"/>
          <w:bCs w:val="0"/>
          <w:color w:val="000000"/>
          <w:sz w:val="44"/>
          <w:szCs w:val="44"/>
          <w:lang w:eastAsia="zh-CN"/>
        </w:rPr>
        <w:t>（</w:t>
      </w:r>
      <w:r>
        <w:rPr>
          <w:rFonts w:hint="eastAsia" w:ascii="方正小标宋简体" w:hAnsi="方正小标宋简体" w:eastAsia="方正小标宋简体" w:cs="方正小标宋简体"/>
          <w:b w:val="0"/>
          <w:bCs w:val="0"/>
          <w:color w:val="000000"/>
          <w:sz w:val="44"/>
          <w:szCs w:val="44"/>
          <w:lang w:val="en-US" w:eastAsia="zh-CN"/>
        </w:rPr>
        <w:t>8家</w:t>
      </w:r>
      <w:r>
        <w:rPr>
          <w:rFonts w:hint="eastAsia" w:ascii="方正小标宋简体" w:hAnsi="方正小标宋简体" w:eastAsia="方正小标宋简体" w:cs="方正小标宋简体"/>
          <w:b w:val="0"/>
          <w:bCs w:val="0"/>
          <w:color w:val="000000"/>
          <w:sz w:val="44"/>
          <w:szCs w:val="44"/>
          <w:lang w:eastAsia="zh-CN"/>
        </w:rPr>
        <w:t>）</w:t>
      </w:r>
    </w:p>
    <w:p w14:paraId="4217456A">
      <w:pPr>
        <w:spacing w:line="560" w:lineRule="exact"/>
        <w:ind w:firstLine="640" w:firstLineChars="200"/>
        <w:jc w:val="left"/>
        <w:rPr>
          <w:rFonts w:hint="eastAsia" w:ascii="黑体" w:hAnsi="黑体" w:eastAsia="黑体" w:cs="黑体"/>
          <w:b w:val="0"/>
          <w:bCs w:val="0"/>
          <w:color w:val="000000"/>
          <w:sz w:val="32"/>
          <w:szCs w:val="32"/>
          <w:lang w:val="en-US" w:eastAsia="zh-CN"/>
        </w:rPr>
      </w:pPr>
    </w:p>
    <w:p w14:paraId="58C98CB5">
      <w:pPr>
        <w:keepNext w:val="0"/>
        <w:keepLines w:val="0"/>
        <w:pageBreakBefore w:val="0"/>
        <w:kinsoku/>
        <w:wordWrap/>
        <w:overflowPunct/>
        <w:topLinePunct w:val="0"/>
        <w:autoSpaceDE/>
        <w:autoSpaceDN/>
        <w:bidi w:val="0"/>
        <w:adjustRightInd/>
        <w:snapToGrid/>
        <w:spacing w:line="520" w:lineRule="exact"/>
        <w:ind w:firstLine="640" w:firstLineChars="200"/>
        <w:jc w:val="left"/>
        <w:textAlignment w:val="auto"/>
        <w:rPr>
          <w:rFonts w:hint="default"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一、轻工企业（3家）</w:t>
      </w:r>
    </w:p>
    <w:p w14:paraId="61EC7E9B">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1.石家庄明旺乳业有限公司</w:t>
      </w:r>
    </w:p>
    <w:p w14:paraId="5A34864C">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2.河北融达包装制品有限公司</w:t>
      </w:r>
    </w:p>
    <w:p w14:paraId="527A3240">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3.奥垠行唐蜡业有限公司</w:t>
      </w:r>
    </w:p>
    <w:p w14:paraId="0EF3F426">
      <w:pPr>
        <w:keepNext w:val="0"/>
        <w:keepLines w:val="0"/>
        <w:pageBreakBefore w:val="0"/>
        <w:numPr>
          <w:ilvl w:val="0"/>
          <w:numId w:val="0"/>
        </w:numPr>
        <w:kinsoku/>
        <w:wordWrap/>
        <w:overflowPunct/>
        <w:topLinePunct w:val="0"/>
        <w:autoSpaceDE/>
        <w:autoSpaceDN/>
        <w:bidi w:val="0"/>
        <w:adjustRightInd/>
        <w:snapToGrid/>
        <w:spacing w:line="520" w:lineRule="exact"/>
        <w:ind w:left="640" w:leftChars="0"/>
        <w:jc w:val="both"/>
        <w:textAlignment w:val="auto"/>
        <w:rPr>
          <w:rFonts w:hint="default" w:ascii="黑体" w:hAnsi="黑体" w:eastAsia="黑体" w:cs="黑体"/>
          <w:b w:val="0"/>
          <w:bCs w:val="0"/>
          <w:color w:val="000000"/>
          <w:sz w:val="32"/>
          <w:szCs w:val="32"/>
          <w:lang w:val="en-US" w:eastAsia="zh-CN"/>
        </w:rPr>
      </w:pPr>
      <w:r>
        <w:rPr>
          <w:rFonts w:hint="eastAsia" w:ascii="黑体" w:hAnsi="黑体" w:eastAsia="黑体" w:cs="黑体"/>
          <w:b w:val="0"/>
          <w:bCs w:val="0"/>
          <w:color w:val="000000"/>
          <w:sz w:val="32"/>
          <w:szCs w:val="32"/>
          <w:lang w:val="en-US" w:eastAsia="zh-CN"/>
        </w:rPr>
        <w:t>二、建材企业（5家）</w:t>
      </w:r>
    </w:p>
    <w:p w14:paraId="4952F705">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1.河北晨光水泥有限责任公司</w:t>
      </w:r>
    </w:p>
    <w:p w14:paraId="5200E4B2">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2.河北美筑节能科技有限公司</w:t>
      </w:r>
    </w:p>
    <w:p w14:paraId="2F72C2B5">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3.石家庄迎新节能科技有限公司</w:t>
      </w:r>
    </w:p>
    <w:p w14:paraId="5BC4F3CE">
      <w:pPr>
        <w:keepNext w:val="0"/>
        <w:keepLines w:val="0"/>
        <w:pageBreakBefore w:val="0"/>
        <w:widowControl/>
        <w:shd w:val="clear" w:color="auto" w:fill="FFFFFF"/>
        <w:kinsoku/>
        <w:wordWrap/>
        <w:overflowPunct/>
        <w:topLinePunct w:val="0"/>
        <w:autoSpaceDE/>
        <w:autoSpaceDN/>
        <w:bidi w:val="0"/>
        <w:adjustRightInd/>
        <w:snapToGrid/>
        <w:spacing w:line="520" w:lineRule="exact"/>
        <w:ind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4.石家庄首玻镜业有限公司</w:t>
      </w:r>
    </w:p>
    <w:p w14:paraId="3CB15427">
      <w:pPr>
        <w:pStyle w:val="2"/>
        <w:keepNext w:val="0"/>
        <w:keepLines w:val="0"/>
        <w:pageBreakBefore w:val="0"/>
        <w:kinsoku/>
        <w:wordWrap/>
        <w:overflowPunct/>
        <w:topLinePunct w:val="0"/>
        <w:autoSpaceDE/>
        <w:autoSpaceDN/>
        <w:bidi w:val="0"/>
        <w:adjustRightInd/>
        <w:snapToGrid/>
        <w:spacing w:line="520" w:lineRule="exact"/>
        <w:ind w:left="0" w:leftChars="0" w:firstLine="640" w:firstLineChars="200"/>
        <w:textAlignment w:val="auto"/>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5.河北长城水泥有限公司</w:t>
      </w:r>
    </w:p>
    <w:p w14:paraId="3B3C9547">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以上生产经营单位</w:t>
      </w:r>
      <w:r>
        <w:rPr>
          <w:rFonts w:hint="default" w:ascii="仿宋_GB2312" w:hAnsi="仿宋_GB2312" w:eastAsia="仿宋_GB2312" w:cs="仿宋_GB2312"/>
          <w:color w:val="000000"/>
          <w:sz w:val="32"/>
          <w:szCs w:val="32"/>
          <w:lang w:val="en-US" w:eastAsia="zh-CN"/>
        </w:rPr>
        <w:t>由</w:t>
      </w:r>
      <w:r>
        <w:rPr>
          <w:rFonts w:hint="eastAsia" w:ascii="仿宋_GB2312" w:hAnsi="仿宋_GB2312" w:eastAsia="仿宋_GB2312" w:cs="仿宋_GB2312"/>
          <w:color w:val="000000"/>
          <w:sz w:val="32"/>
          <w:szCs w:val="32"/>
          <w:lang w:val="en-US" w:eastAsia="zh-CN"/>
        </w:rPr>
        <w:t>各中队按照“</w:t>
      </w:r>
      <w:r>
        <w:rPr>
          <w:rFonts w:hint="default" w:ascii="仿宋_GB2312" w:hAnsi="仿宋_GB2312" w:eastAsia="仿宋_GB2312" w:cs="仿宋_GB2312"/>
          <w:color w:val="000000"/>
          <w:sz w:val="32"/>
          <w:szCs w:val="32"/>
          <w:lang w:val="en-US" w:eastAsia="zh-CN"/>
        </w:rPr>
        <w:t>双随机</w:t>
      </w:r>
      <w:r>
        <w:rPr>
          <w:rFonts w:hint="eastAsia" w:ascii="仿宋_GB2312" w:hAnsi="仿宋_GB2312" w:eastAsia="仿宋_GB2312" w:cs="仿宋_GB2312"/>
          <w:color w:val="000000"/>
          <w:sz w:val="32"/>
          <w:szCs w:val="32"/>
          <w:lang w:val="en-US" w:eastAsia="zh-CN"/>
        </w:rPr>
        <w:t>”规定进行随机抽取</w:t>
      </w:r>
      <w:r>
        <w:rPr>
          <w:rFonts w:hint="default"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zh-CN"/>
        </w:rPr>
        <w:t>非特殊需要，随机抽查的单位年度内只</w:t>
      </w:r>
      <w:r>
        <w:rPr>
          <w:rFonts w:hint="default" w:ascii="仿宋_GB2312" w:hAnsi="仿宋_GB2312" w:eastAsia="仿宋_GB2312" w:cs="仿宋_GB2312"/>
          <w:color w:val="000000"/>
          <w:sz w:val="32"/>
          <w:szCs w:val="32"/>
          <w:lang w:val="en-US" w:eastAsia="zh-CN"/>
        </w:rPr>
        <w:t>进行一次</w:t>
      </w:r>
      <w:r>
        <w:rPr>
          <w:rFonts w:hint="eastAsia" w:ascii="仿宋_GB2312" w:hAnsi="仿宋_GB2312" w:eastAsia="仿宋_GB2312" w:cs="仿宋_GB2312"/>
          <w:color w:val="000000"/>
          <w:sz w:val="32"/>
          <w:szCs w:val="32"/>
          <w:lang w:val="en-US" w:eastAsia="zh-CN"/>
        </w:rPr>
        <w:t>监督</w:t>
      </w:r>
      <w:r>
        <w:rPr>
          <w:rFonts w:hint="default" w:ascii="仿宋_GB2312" w:hAnsi="仿宋_GB2312" w:eastAsia="仿宋_GB2312" w:cs="仿宋_GB2312"/>
          <w:color w:val="000000"/>
          <w:sz w:val="32"/>
          <w:szCs w:val="32"/>
          <w:lang w:val="en-US" w:eastAsia="zh-CN"/>
        </w:rPr>
        <w:t>检查</w:t>
      </w:r>
      <w:r>
        <w:rPr>
          <w:rFonts w:hint="eastAsia" w:ascii="仿宋_GB2312" w:hAnsi="仿宋_GB2312" w:eastAsia="仿宋_GB2312" w:cs="仿宋_GB2312"/>
          <w:color w:val="000000"/>
          <w:sz w:val="32"/>
          <w:szCs w:val="32"/>
          <w:lang w:val="en-US" w:eastAsia="zh-CN"/>
        </w:rPr>
        <w:t>。</w:t>
      </w:r>
    </w:p>
    <w:p w14:paraId="10D582A8"/>
    <w:p w14:paraId="6C333C2A"/>
    <w:sectPr>
      <w:footerReference r:id="rId6" w:type="default"/>
      <w:pgSz w:w="11850" w:h="16783"/>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AB04B">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-303530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8F2836">
                          <w:pPr>
                            <w:pStyle w:val="3"/>
                            <w:rPr>
                              <w:rFonts w:hint="eastAsia" w:asciiTheme="minorEastAsia" w:hAnsiTheme="minorEastAsia" w:eastAsiaTheme="minorEastAsia" w:cstheme="minorEastAsia"/>
                              <w:sz w:val="24"/>
                              <w:szCs w:val="24"/>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33</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23.9pt;height:144pt;width:144pt;mso-position-horizontal:outside;mso-position-horizontal-relative:margin;mso-wrap-style:none;z-index:251661312;mso-width-relative:page;mso-height-relative:page;" filled="f" stroked="f" coordsize="21600,21600" o:gfxdata="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MevljrVAAAACAEAAA8AAAAAAAAAAQAgAAAAIgAAAGRycy9kb3ducmV2LnhtbFBL&#10;AQIUABQAAAAIAIdO4kC6jDgrMgIAAGEEAAAOAAAAAAAAAAEAIAAAACQBAABkcnMvZTJvRG9jLnht&#10;bFBLBQYAAAAABgAGAFkBAADIBQAAAAA=&#10;">
              <v:fill on="f" focussize="0,0"/>
              <v:stroke on="f" weight="0.5pt"/>
              <v:imagedata o:title=""/>
              <o:lock v:ext="edit" aspectratio="f"/>
              <v:textbox inset="0mm,0mm,0mm,0mm" style="mso-fit-shape-to-text:t;">
                <w:txbxContent>
                  <w:p w14:paraId="0D8F2836">
                    <w:pPr>
                      <w:pStyle w:val="3"/>
                      <w:rPr>
                        <w:rFonts w:hint="eastAsia" w:asciiTheme="minorEastAsia" w:hAnsiTheme="minorEastAsia" w:eastAsiaTheme="minorEastAsia" w:cstheme="minorEastAsia"/>
                        <w:sz w:val="24"/>
                        <w:szCs w:val="24"/>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33</w:t>
                    </w:r>
                    <w:r>
                      <w:rPr>
                        <w:rFonts w:hint="eastAsia" w:ascii="宋体" w:hAnsi="宋体" w:eastAsia="宋体" w:cs="宋体"/>
                        <w:sz w:val="28"/>
                        <w:szCs w:val="28"/>
                        <w:lang w:eastAsia="zh-CN"/>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976A49B">
                          <w:pPr>
                            <w:snapToGrid w:val="0"/>
                            <w:rPr>
                              <w:rFonts w:asciiTheme="minorEastAsia" w:hAnsiTheme="minorEastAsia" w:cstheme="minorEastAsia"/>
                              <w:sz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fill on="f" focussize="0,0"/>
              <v:stroke on="f" weight="0.5pt"/>
              <v:imagedata o:title=""/>
              <o:lock v:ext="edit" aspectratio="f"/>
              <v:textbox inset="0mm,0mm,0mm,0mm" style="mso-fit-shape-to-text:t;">
                <w:txbxContent>
                  <w:p w14:paraId="4976A49B">
                    <w:pPr>
                      <w:snapToGrid w:val="0"/>
                      <w:rPr>
                        <w:rFonts w:asciiTheme="minorEastAsia" w:hAnsiTheme="minorEastAsia" w:cstheme="minorEastAsia"/>
                        <w:sz w:val="24"/>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6F951">
    <w:pPr>
      <w:pStyle w:val="3"/>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B433B97">
                          <w:pPr>
                            <w:snapToGrid w:val="0"/>
                            <w:rPr>
                              <w:rFonts w:asciiTheme="minorEastAsia" w:hAnsiTheme="minorEastAsia" w:cstheme="minorEastAsia"/>
                              <w:sz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5B433B97">
                    <w:pPr>
                      <w:snapToGrid w:val="0"/>
                      <w:rPr>
                        <w:rFonts w:asciiTheme="minorEastAsia" w:hAnsiTheme="minorEastAsia" w:cstheme="minorEastAsia"/>
                        <w:sz w:val="24"/>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E9D72">
    <w:pPr>
      <w:pStyle w:val="3"/>
    </w:pPr>
    <w: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F280B18">
                          <w:pPr>
                            <w:snapToGrid w:val="0"/>
                            <w:rPr>
                              <w:rFonts w:asciiTheme="minorEastAsia" w:hAnsiTheme="minorEastAsia" w:cstheme="minorEastAsia"/>
                              <w:sz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14:paraId="4F280B18">
                    <w:pPr>
                      <w:snapToGrid w:val="0"/>
                      <w:rPr>
                        <w:rFonts w:asciiTheme="minorEastAsia" w:hAnsiTheme="minorEastAsia" w:cstheme="minorEastAsia"/>
                        <w:sz w:val="24"/>
                      </w:rPr>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D1A5F">
    <w:pPr>
      <w:pStyle w:val="3"/>
    </w:pPr>
    <w: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B1D8500">
                          <w:pPr>
                            <w:snapToGrid w:val="0"/>
                            <w:rPr>
                              <w:rFonts w:asciiTheme="minorEastAsia" w:hAnsiTheme="minorEastAsia" w:cstheme="minorEastAsia"/>
                              <w:sz w:val="24"/>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7B1D8500">
                    <w:pPr>
                      <w:snapToGrid w:val="0"/>
                      <w:rPr>
                        <w:rFonts w:asciiTheme="minorEastAsia" w:hAnsiTheme="minorEastAsia" w:cstheme="minorEastAsia"/>
                        <w:sz w:val="24"/>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6F3FAD"/>
    <w:multiLevelType w:val="singleLevel"/>
    <w:tmpl w:val="8E6F3FAD"/>
    <w:lvl w:ilvl="0" w:tentative="0">
      <w:start w:val="3"/>
      <w:numFmt w:val="chineseCounting"/>
      <w:suff w:val="nothing"/>
      <w:lvlText w:val="（%1）"/>
      <w:lvlJc w:val="left"/>
      <w:rPr>
        <w:rFonts w:hint="eastAsia"/>
      </w:rPr>
    </w:lvl>
  </w:abstractNum>
  <w:abstractNum w:abstractNumId="1">
    <w:nsid w:val="5AD06D49"/>
    <w:multiLevelType w:val="singleLevel"/>
    <w:tmpl w:val="5AD06D49"/>
    <w:lvl w:ilvl="0" w:tentative="0">
      <w:start w:val="4"/>
      <w:numFmt w:val="decimal"/>
      <w:suff w:val="space"/>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2C4F04"/>
    <w:rsid w:val="00235016"/>
    <w:rsid w:val="00380750"/>
    <w:rsid w:val="00496FA7"/>
    <w:rsid w:val="00521911"/>
    <w:rsid w:val="006B0443"/>
    <w:rsid w:val="009C63DA"/>
    <w:rsid w:val="00DB10E6"/>
    <w:rsid w:val="00E317F8"/>
    <w:rsid w:val="00E92BAB"/>
    <w:rsid w:val="01286E63"/>
    <w:rsid w:val="013D225A"/>
    <w:rsid w:val="01405372"/>
    <w:rsid w:val="01631748"/>
    <w:rsid w:val="016B6A45"/>
    <w:rsid w:val="0189774D"/>
    <w:rsid w:val="01AA2217"/>
    <w:rsid w:val="01B737E4"/>
    <w:rsid w:val="01C0700C"/>
    <w:rsid w:val="021548C9"/>
    <w:rsid w:val="021A3C8C"/>
    <w:rsid w:val="023C775B"/>
    <w:rsid w:val="02422798"/>
    <w:rsid w:val="025C678C"/>
    <w:rsid w:val="026C6EF1"/>
    <w:rsid w:val="026F729F"/>
    <w:rsid w:val="02700C72"/>
    <w:rsid w:val="0274598B"/>
    <w:rsid w:val="027A371D"/>
    <w:rsid w:val="02943350"/>
    <w:rsid w:val="02995773"/>
    <w:rsid w:val="029F6782"/>
    <w:rsid w:val="02A07C4B"/>
    <w:rsid w:val="02BF3A57"/>
    <w:rsid w:val="02C23B0C"/>
    <w:rsid w:val="033571EC"/>
    <w:rsid w:val="034333A3"/>
    <w:rsid w:val="034336D7"/>
    <w:rsid w:val="035844C2"/>
    <w:rsid w:val="03861D04"/>
    <w:rsid w:val="038B0BBD"/>
    <w:rsid w:val="03AA3306"/>
    <w:rsid w:val="03AE654C"/>
    <w:rsid w:val="03B95553"/>
    <w:rsid w:val="03BF43E3"/>
    <w:rsid w:val="03E34129"/>
    <w:rsid w:val="03E90E62"/>
    <w:rsid w:val="03F10246"/>
    <w:rsid w:val="03FD2255"/>
    <w:rsid w:val="042D733B"/>
    <w:rsid w:val="04577F1A"/>
    <w:rsid w:val="04696CA2"/>
    <w:rsid w:val="049631B3"/>
    <w:rsid w:val="04CE40E7"/>
    <w:rsid w:val="04CE6C95"/>
    <w:rsid w:val="04DF1BC2"/>
    <w:rsid w:val="04FD3BB1"/>
    <w:rsid w:val="05000977"/>
    <w:rsid w:val="050B2FA0"/>
    <w:rsid w:val="050F14E3"/>
    <w:rsid w:val="052351DC"/>
    <w:rsid w:val="053561AF"/>
    <w:rsid w:val="057D323F"/>
    <w:rsid w:val="05836820"/>
    <w:rsid w:val="05955BD6"/>
    <w:rsid w:val="05983EA6"/>
    <w:rsid w:val="05AD103E"/>
    <w:rsid w:val="05CA71E0"/>
    <w:rsid w:val="05D91A95"/>
    <w:rsid w:val="05E776E9"/>
    <w:rsid w:val="05E819F0"/>
    <w:rsid w:val="062358D0"/>
    <w:rsid w:val="069D080B"/>
    <w:rsid w:val="06A24C7F"/>
    <w:rsid w:val="06A37907"/>
    <w:rsid w:val="06B60CD8"/>
    <w:rsid w:val="06B7787C"/>
    <w:rsid w:val="06CC12EF"/>
    <w:rsid w:val="06E43FDF"/>
    <w:rsid w:val="06ED3D51"/>
    <w:rsid w:val="07033ABD"/>
    <w:rsid w:val="07221909"/>
    <w:rsid w:val="073D5ADC"/>
    <w:rsid w:val="07591109"/>
    <w:rsid w:val="076A0DAF"/>
    <w:rsid w:val="076F0848"/>
    <w:rsid w:val="07946364"/>
    <w:rsid w:val="07AA7ACF"/>
    <w:rsid w:val="07AF2F67"/>
    <w:rsid w:val="07ED6488"/>
    <w:rsid w:val="07EF1D17"/>
    <w:rsid w:val="07F92708"/>
    <w:rsid w:val="080D585C"/>
    <w:rsid w:val="083A75F6"/>
    <w:rsid w:val="08463116"/>
    <w:rsid w:val="087F41CC"/>
    <w:rsid w:val="087F7517"/>
    <w:rsid w:val="08864D60"/>
    <w:rsid w:val="088E2809"/>
    <w:rsid w:val="08916DB5"/>
    <w:rsid w:val="08B24DDC"/>
    <w:rsid w:val="08E31914"/>
    <w:rsid w:val="08E34CEC"/>
    <w:rsid w:val="08FE6373"/>
    <w:rsid w:val="091C66AA"/>
    <w:rsid w:val="093161F0"/>
    <w:rsid w:val="094A6216"/>
    <w:rsid w:val="09524612"/>
    <w:rsid w:val="09584D1E"/>
    <w:rsid w:val="095D152D"/>
    <w:rsid w:val="095D7D10"/>
    <w:rsid w:val="09A26014"/>
    <w:rsid w:val="09F71E8A"/>
    <w:rsid w:val="0A035711"/>
    <w:rsid w:val="0A0E2923"/>
    <w:rsid w:val="0A137EB7"/>
    <w:rsid w:val="0A1D16F6"/>
    <w:rsid w:val="0A215715"/>
    <w:rsid w:val="0A2765FB"/>
    <w:rsid w:val="0A360B25"/>
    <w:rsid w:val="0A430FD8"/>
    <w:rsid w:val="0A464A25"/>
    <w:rsid w:val="0A4D5DAA"/>
    <w:rsid w:val="0A6D4F7E"/>
    <w:rsid w:val="0A6D6966"/>
    <w:rsid w:val="0A8D1D05"/>
    <w:rsid w:val="0AA5616C"/>
    <w:rsid w:val="0AC15405"/>
    <w:rsid w:val="0AC41758"/>
    <w:rsid w:val="0AC93C40"/>
    <w:rsid w:val="0B1554CE"/>
    <w:rsid w:val="0B163564"/>
    <w:rsid w:val="0B17307F"/>
    <w:rsid w:val="0B1E2189"/>
    <w:rsid w:val="0B2D1F1F"/>
    <w:rsid w:val="0B52615B"/>
    <w:rsid w:val="0B646302"/>
    <w:rsid w:val="0B665E38"/>
    <w:rsid w:val="0B683982"/>
    <w:rsid w:val="0BB95BF5"/>
    <w:rsid w:val="0BCE7FDC"/>
    <w:rsid w:val="0BFB13A9"/>
    <w:rsid w:val="0C117439"/>
    <w:rsid w:val="0C337827"/>
    <w:rsid w:val="0C391ED9"/>
    <w:rsid w:val="0C4D059C"/>
    <w:rsid w:val="0C5B47D1"/>
    <w:rsid w:val="0C641475"/>
    <w:rsid w:val="0C6B0056"/>
    <w:rsid w:val="0C9C4E9D"/>
    <w:rsid w:val="0CB40017"/>
    <w:rsid w:val="0CB5738F"/>
    <w:rsid w:val="0CBA7BD2"/>
    <w:rsid w:val="0CFF6E5F"/>
    <w:rsid w:val="0D4C12E4"/>
    <w:rsid w:val="0D686428"/>
    <w:rsid w:val="0D7D0788"/>
    <w:rsid w:val="0DA014BC"/>
    <w:rsid w:val="0DA3043A"/>
    <w:rsid w:val="0DB06115"/>
    <w:rsid w:val="0DCB1712"/>
    <w:rsid w:val="0DDE079F"/>
    <w:rsid w:val="0DFA5E15"/>
    <w:rsid w:val="0E0022DB"/>
    <w:rsid w:val="0E131010"/>
    <w:rsid w:val="0E4C346D"/>
    <w:rsid w:val="0E5B060A"/>
    <w:rsid w:val="0E6F5181"/>
    <w:rsid w:val="0E9E2889"/>
    <w:rsid w:val="0EB130A8"/>
    <w:rsid w:val="0EB27BF2"/>
    <w:rsid w:val="0EBD1EC0"/>
    <w:rsid w:val="0EBD4D9A"/>
    <w:rsid w:val="0EC00CF8"/>
    <w:rsid w:val="0ED42110"/>
    <w:rsid w:val="0EF3656C"/>
    <w:rsid w:val="0F194F50"/>
    <w:rsid w:val="0F8600F0"/>
    <w:rsid w:val="0F925F4A"/>
    <w:rsid w:val="102C18E6"/>
    <w:rsid w:val="103A4BDE"/>
    <w:rsid w:val="107106CE"/>
    <w:rsid w:val="10824156"/>
    <w:rsid w:val="108929E1"/>
    <w:rsid w:val="10967E0A"/>
    <w:rsid w:val="10A85864"/>
    <w:rsid w:val="10B1637D"/>
    <w:rsid w:val="10D83D8A"/>
    <w:rsid w:val="10DD7AFC"/>
    <w:rsid w:val="10DE5E3A"/>
    <w:rsid w:val="10F03F59"/>
    <w:rsid w:val="11193D5B"/>
    <w:rsid w:val="112E6655"/>
    <w:rsid w:val="113660EC"/>
    <w:rsid w:val="113848AC"/>
    <w:rsid w:val="114D26D9"/>
    <w:rsid w:val="116D2192"/>
    <w:rsid w:val="118A1C5F"/>
    <w:rsid w:val="11956837"/>
    <w:rsid w:val="11BB53F6"/>
    <w:rsid w:val="11BD37AC"/>
    <w:rsid w:val="11BF4BC3"/>
    <w:rsid w:val="11CF196A"/>
    <w:rsid w:val="11E3284F"/>
    <w:rsid w:val="11ED544E"/>
    <w:rsid w:val="11F45BD2"/>
    <w:rsid w:val="120E5BB8"/>
    <w:rsid w:val="121E7B98"/>
    <w:rsid w:val="121F45B1"/>
    <w:rsid w:val="125E0F2B"/>
    <w:rsid w:val="12712324"/>
    <w:rsid w:val="127202CE"/>
    <w:rsid w:val="12867C00"/>
    <w:rsid w:val="12A07C4E"/>
    <w:rsid w:val="12AC542B"/>
    <w:rsid w:val="12B215A6"/>
    <w:rsid w:val="12E206A9"/>
    <w:rsid w:val="1324283B"/>
    <w:rsid w:val="13504ED0"/>
    <w:rsid w:val="13633F35"/>
    <w:rsid w:val="13641953"/>
    <w:rsid w:val="138A3EDC"/>
    <w:rsid w:val="138D495E"/>
    <w:rsid w:val="139B4B5F"/>
    <w:rsid w:val="13AA5C1B"/>
    <w:rsid w:val="13E163C1"/>
    <w:rsid w:val="13F04F4D"/>
    <w:rsid w:val="140B354B"/>
    <w:rsid w:val="14193DC8"/>
    <w:rsid w:val="141A4A37"/>
    <w:rsid w:val="14240AA5"/>
    <w:rsid w:val="1427187B"/>
    <w:rsid w:val="14534B6C"/>
    <w:rsid w:val="145650AF"/>
    <w:rsid w:val="1459590A"/>
    <w:rsid w:val="145A7B60"/>
    <w:rsid w:val="146254FA"/>
    <w:rsid w:val="14686DEF"/>
    <w:rsid w:val="14745FD8"/>
    <w:rsid w:val="1484023B"/>
    <w:rsid w:val="14D13439"/>
    <w:rsid w:val="14D51336"/>
    <w:rsid w:val="14D70388"/>
    <w:rsid w:val="14F025E6"/>
    <w:rsid w:val="14FE6034"/>
    <w:rsid w:val="151A58CB"/>
    <w:rsid w:val="15393419"/>
    <w:rsid w:val="15412445"/>
    <w:rsid w:val="154823A2"/>
    <w:rsid w:val="158A1108"/>
    <w:rsid w:val="161063C9"/>
    <w:rsid w:val="16596742"/>
    <w:rsid w:val="16642694"/>
    <w:rsid w:val="167026A8"/>
    <w:rsid w:val="16A64CAA"/>
    <w:rsid w:val="16C57F91"/>
    <w:rsid w:val="16DB2E6B"/>
    <w:rsid w:val="17053E48"/>
    <w:rsid w:val="170F2D84"/>
    <w:rsid w:val="17234E51"/>
    <w:rsid w:val="17303BC6"/>
    <w:rsid w:val="174B6907"/>
    <w:rsid w:val="176576E9"/>
    <w:rsid w:val="1783511C"/>
    <w:rsid w:val="17921DFF"/>
    <w:rsid w:val="17BA64D0"/>
    <w:rsid w:val="17C717FE"/>
    <w:rsid w:val="17CF3FB5"/>
    <w:rsid w:val="17D357FF"/>
    <w:rsid w:val="17EE2716"/>
    <w:rsid w:val="17F522AD"/>
    <w:rsid w:val="181171D7"/>
    <w:rsid w:val="181F7589"/>
    <w:rsid w:val="18202C2F"/>
    <w:rsid w:val="1821587A"/>
    <w:rsid w:val="182A7826"/>
    <w:rsid w:val="182D038E"/>
    <w:rsid w:val="18361981"/>
    <w:rsid w:val="1864349C"/>
    <w:rsid w:val="186F65A5"/>
    <w:rsid w:val="188F267E"/>
    <w:rsid w:val="1890630C"/>
    <w:rsid w:val="1893159B"/>
    <w:rsid w:val="18C25181"/>
    <w:rsid w:val="18C62FE6"/>
    <w:rsid w:val="18D53DCB"/>
    <w:rsid w:val="18DF617A"/>
    <w:rsid w:val="19030483"/>
    <w:rsid w:val="19263391"/>
    <w:rsid w:val="192950B2"/>
    <w:rsid w:val="19991CD1"/>
    <w:rsid w:val="19B72809"/>
    <w:rsid w:val="19C82292"/>
    <w:rsid w:val="1A3B1032"/>
    <w:rsid w:val="1A814433"/>
    <w:rsid w:val="1A9D573D"/>
    <w:rsid w:val="1AB82B0F"/>
    <w:rsid w:val="1AD84D0B"/>
    <w:rsid w:val="1AF44F5C"/>
    <w:rsid w:val="1B2031F2"/>
    <w:rsid w:val="1B2B3193"/>
    <w:rsid w:val="1B3156FA"/>
    <w:rsid w:val="1B325697"/>
    <w:rsid w:val="1B4E310C"/>
    <w:rsid w:val="1B4E6DC5"/>
    <w:rsid w:val="1B54358C"/>
    <w:rsid w:val="1B5774E5"/>
    <w:rsid w:val="1B5F3B72"/>
    <w:rsid w:val="1B606A93"/>
    <w:rsid w:val="1B69727F"/>
    <w:rsid w:val="1BA63193"/>
    <w:rsid w:val="1BB45A58"/>
    <w:rsid w:val="1BCD3564"/>
    <w:rsid w:val="1BF92761"/>
    <w:rsid w:val="1C0550A7"/>
    <w:rsid w:val="1C183328"/>
    <w:rsid w:val="1C3336F6"/>
    <w:rsid w:val="1C546D28"/>
    <w:rsid w:val="1C645CBE"/>
    <w:rsid w:val="1CB5607F"/>
    <w:rsid w:val="1CE922B3"/>
    <w:rsid w:val="1CF821DF"/>
    <w:rsid w:val="1D015538"/>
    <w:rsid w:val="1D2708FF"/>
    <w:rsid w:val="1D29284E"/>
    <w:rsid w:val="1D4D5F0F"/>
    <w:rsid w:val="1D7A66AC"/>
    <w:rsid w:val="1DEF3103"/>
    <w:rsid w:val="1DF128B9"/>
    <w:rsid w:val="1DF96D8C"/>
    <w:rsid w:val="1E0B765B"/>
    <w:rsid w:val="1E1E3E70"/>
    <w:rsid w:val="1E5E1017"/>
    <w:rsid w:val="1EA34105"/>
    <w:rsid w:val="1EB65C9A"/>
    <w:rsid w:val="1EDD252B"/>
    <w:rsid w:val="1F00518B"/>
    <w:rsid w:val="1F0F0BDE"/>
    <w:rsid w:val="1F2824EB"/>
    <w:rsid w:val="1F331F41"/>
    <w:rsid w:val="1F79588E"/>
    <w:rsid w:val="1FEB65F2"/>
    <w:rsid w:val="1FFC7746"/>
    <w:rsid w:val="207E7606"/>
    <w:rsid w:val="2095297F"/>
    <w:rsid w:val="209F2299"/>
    <w:rsid w:val="20C73030"/>
    <w:rsid w:val="20CD3B92"/>
    <w:rsid w:val="20E4039A"/>
    <w:rsid w:val="210A6C60"/>
    <w:rsid w:val="21371788"/>
    <w:rsid w:val="213B535E"/>
    <w:rsid w:val="217912BD"/>
    <w:rsid w:val="218007A4"/>
    <w:rsid w:val="21D10735"/>
    <w:rsid w:val="21DB1DC3"/>
    <w:rsid w:val="21E35732"/>
    <w:rsid w:val="22004D4F"/>
    <w:rsid w:val="220D54F2"/>
    <w:rsid w:val="228326EB"/>
    <w:rsid w:val="22876725"/>
    <w:rsid w:val="229B77E0"/>
    <w:rsid w:val="22A16903"/>
    <w:rsid w:val="22C324CD"/>
    <w:rsid w:val="22FF3B35"/>
    <w:rsid w:val="233B5585"/>
    <w:rsid w:val="234B556E"/>
    <w:rsid w:val="235A2573"/>
    <w:rsid w:val="235D6858"/>
    <w:rsid w:val="235F727A"/>
    <w:rsid w:val="2366492E"/>
    <w:rsid w:val="236E43D5"/>
    <w:rsid w:val="237244BA"/>
    <w:rsid w:val="23C1695F"/>
    <w:rsid w:val="23CC7407"/>
    <w:rsid w:val="24142FCD"/>
    <w:rsid w:val="24196166"/>
    <w:rsid w:val="241A0EC5"/>
    <w:rsid w:val="24660779"/>
    <w:rsid w:val="248E2673"/>
    <w:rsid w:val="250E365E"/>
    <w:rsid w:val="254B1966"/>
    <w:rsid w:val="25571B1E"/>
    <w:rsid w:val="25680382"/>
    <w:rsid w:val="25A23E5F"/>
    <w:rsid w:val="25B0100C"/>
    <w:rsid w:val="25E3571C"/>
    <w:rsid w:val="25E96F58"/>
    <w:rsid w:val="26745EA4"/>
    <w:rsid w:val="26AE7477"/>
    <w:rsid w:val="26D8112B"/>
    <w:rsid w:val="26E53A2A"/>
    <w:rsid w:val="26EC4F0C"/>
    <w:rsid w:val="27106CD0"/>
    <w:rsid w:val="27736FEE"/>
    <w:rsid w:val="27AC1951"/>
    <w:rsid w:val="27BB3E50"/>
    <w:rsid w:val="27BB6BE7"/>
    <w:rsid w:val="27DC5E50"/>
    <w:rsid w:val="284303F5"/>
    <w:rsid w:val="284D2F17"/>
    <w:rsid w:val="285729C1"/>
    <w:rsid w:val="2859709A"/>
    <w:rsid w:val="28652BEF"/>
    <w:rsid w:val="28A83F9A"/>
    <w:rsid w:val="28AD78BD"/>
    <w:rsid w:val="28B247CC"/>
    <w:rsid w:val="28C34F7E"/>
    <w:rsid w:val="28CC6CFE"/>
    <w:rsid w:val="28CD5944"/>
    <w:rsid w:val="28F05746"/>
    <w:rsid w:val="291875D8"/>
    <w:rsid w:val="29312EE8"/>
    <w:rsid w:val="29764787"/>
    <w:rsid w:val="299D1D3B"/>
    <w:rsid w:val="299E5B13"/>
    <w:rsid w:val="29B3638F"/>
    <w:rsid w:val="29B42248"/>
    <w:rsid w:val="29C635DB"/>
    <w:rsid w:val="29C94CBA"/>
    <w:rsid w:val="29F30D21"/>
    <w:rsid w:val="29F739D5"/>
    <w:rsid w:val="29F86119"/>
    <w:rsid w:val="2A0A3826"/>
    <w:rsid w:val="2A1E3475"/>
    <w:rsid w:val="2A380591"/>
    <w:rsid w:val="2A3C15C3"/>
    <w:rsid w:val="2A6C0E13"/>
    <w:rsid w:val="2A875B01"/>
    <w:rsid w:val="2A904ACF"/>
    <w:rsid w:val="2AA451D0"/>
    <w:rsid w:val="2AF314A2"/>
    <w:rsid w:val="2B683769"/>
    <w:rsid w:val="2B856B0C"/>
    <w:rsid w:val="2B904545"/>
    <w:rsid w:val="2B923938"/>
    <w:rsid w:val="2BB81AC5"/>
    <w:rsid w:val="2BCC799E"/>
    <w:rsid w:val="2BDD3BF5"/>
    <w:rsid w:val="2BE45916"/>
    <w:rsid w:val="2BF50055"/>
    <w:rsid w:val="2C05746D"/>
    <w:rsid w:val="2C065668"/>
    <w:rsid w:val="2C1A69B0"/>
    <w:rsid w:val="2C4F5F63"/>
    <w:rsid w:val="2C5F4DA6"/>
    <w:rsid w:val="2C8C3BCE"/>
    <w:rsid w:val="2CC02EF4"/>
    <w:rsid w:val="2CE730D2"/>
    <w:rsid w:val="2CEC55D0"/>
    <w:rsid w:val="2CF205AB"/>
    <w:rsid w:val="2D645540"/>
    <w:rsid w:val="2DA71596"/>
    <w:rsid w:val="2DD236D0"/>
    <w:rsid w:val="2DEC3B3F"/>
    <w:rsid w:val="2DFC0922"/>
    <w:rsid w:val="2E036150"/>
    <w:rsid w:val="2E055ABF"/>
    <w:rsid w:val="2E2454EA"/>
    <w:rsid w:val="2E5F07E3"/>
    <w:rsid w:val="2E8E7B24"/>
    <w:rsid w:val="2EA0757D"/>
    <w:rsid w:val="2EA075DC"/>
    <w:rsid w:val="2EA14AFB"/>
    <w:rsid w:val="2EEE2665"/>
    <w:rsid w:val="2EFF79A7"/>
    <w:rsid w:val="2F365D77"/>
    <w:rsid w:val="2F4541F1"/>
    <w:rsid w:val="2F766C2B"/>
    <w:rsid w:val="2FC86AD3"/>
    <w:rsid w:val="2FCC6E63"/>
    <w:rsid w:val="2FDD6CCB"/>
    <w:rsid w:val="300C5C27"/>
    <w:rsid w:val="301A4707"/>
    <w:rsid w:val="30286327"/>
    <w:rsid w:val="303C5FD6"/>
    <w:rsid w:val="30406A4B"/>
    <w:rsid w:val="30B34DB1"/>
    <w:rsid w:val="30E70205"/>
    <w:rsid w:val="30FC5C0F"/>
    <w:rsid w:val="31012BEA"/>
    <w:rsid w:val="31430A52"/>
    <w:rsid w:val="315A5337"/>
    <w:rsid w:val="316872BB"/>
    <w:rsid w:val="31810610"/>
    <w:rsid w:val="3191031F"/>
    <w:rsid w:val="31CC79FF"/>
    <w:rsid w:val="31F6049C"/>
    <w:rsid w:val="31FB2CD0"/>
    <w:rsid w:val="32381ECA"/>
    <w:rsid w:val="323C4121"/>
    <w:rsid w:val="32405526"/>
    <w:rsid w:val="32516BF9"/>
    <w:rsid w:val="32530427"/>
    <w:rsid w:val="32577792"/>
    <w:rsid w:val="326A0D7C"/>
    <w:rsid w:val="32A1187B"/>
    <w:rsid w:val="32AB782A"/>
    <w:rsid w:val="32B74162"/>
    <w:rsid w:val="32C5352C"/>
    <w:rsid w:val="32FC5A64"/>
    <w:rsid w:val="33302314"/>
    <w:rsid w:val="333674DC"/>
    <w:rsid w:val="336E35C1"/>
    <w:rsid w:val="33720E2C"/>
    <w:rsid w:val="337F2C87"/>
    <w:rsid w:val="339D3F85"/>
    <w:rsid w:val="33C732A7"/>
    <w:rsid w:val="33FC1CD7"/>
    <w:rsid w:val="34070080"/>
    <w:rsid w:val="341A17BD"/>
    <w:rsid w:val="341D15B3"/>
    <w:rsid w:val="344071D7"/>
    <w:rsid w:val="3455225B"/>
    <w:rsid w:val="34730DA9"/>
    <w:rsid w:val="347947D9"/>
    <w:rsid w:val="348C4090"/>
    <w:rsid w:val="3490549B"/>
    <w:rsid w:val="34A675F8"/>
    <w:rsid w:val="34D437FB"/>
    <w:rsid w:val="34E37710"/>
    <w:rsid w:val="34FB77EE"/>
    <w:rsid w:val="35167293"/>
    <w:rsid w:val="353D34C2"/>
    <w:rsid w:val="35633E79"/>
    <w:rsid w:val="35903D85"/>
    <w:rsid w:val="359E7F2B"/>
    <w:rsid w:val="35AB328A"/>
    <w:rsid w:val="35C203D5"/>
    <w:rsid w:val="35C573E5"/>
    <w:rsid w:val="35DD4414"/>
    <w:rsid w:val="360508E5"/>
    <w:rsid w:val="367841DE"/>
    <w:rsid w:val="367A1F72"/>
    <w:rsid w:val="36841571"/>
    <w:rsid w:val="36B147FB"/>
    <w:rsid w:val="370B0924"/>
    <w:rsid w:val="37107D94"/>
    <w:rsid w:val="371309D5"/>
    <w:rsid w:val="375F032C"/>
    <w:rsid w:val="37BD3F23"/>
    <w:rsid w:val="37D16194"/>
    <w:rsid w:val="380D77BE"/>
    <w:rsid w:val="38377F1C"/>
    <w:rsid w:val="385D771F"/>
    <w:rsid w:val="386E3CEF"/>
    <w:rsid w:val="388A4806"/>
    <w:rsid w:val="3892704F"/>
    <w:rsid w:val="38A736FC"/>
    <w:rsid w:val="38B17127"/>
    <w:rsid w:val="38B52ACD"/>
    <w:rsid w:val="38C33AF2"/>
    <w:rsid w:val="38D10C58"/>
    <w:rsid w:val="38E23514"/>
    <w:rsid w:val="39021539"/>
    <w:rsid w:val="3904594E"/>
    <w:rsid w:val="390739D3"/>
    <w:rsid w:val="39122912"/>
    <w:rsid w:val="3914770D"/>
    <w:rsid w:val="39257960"/>
    <w:rsid w:val="39325C8F"/>
    <w:rsid w:val="394542BB"/>
    <w:rsid w:val="39500E42"/>
    <w:rsid w:val="395072A7"/>
    <w:rsid w:val="39895ADB"/>
    <w:rsid w:val="39A86758"/>
    <w:rsid w:val="39CF5B00"/>
    <w:rsid w:val="39D018DA"/>
    <w:rsid w:val="39D403BC"/>
    <w:rsid w:val="39D65331"/>
    <w:rsid w:val="39DF39FD"/>
    <w:rsid w:val="39F47978"/>
    <w:rsid w:val="3A070079"/>
    <w:rsid w:val="3A24021C"/>
    <w:rsid w:val="3A3A3E38"/>
    <w:rsid w:val="3A4F6494"/>
    <w:rsid w:val="3A5651DF"/>
    <w:rsid w:val="3A6F5C4A"/>
    <w:rsid w:val="3A710908"/>
    <w:rsid w:val="3A713DAC"/>
    <w:rsid w:val="3A7E1408"/>
    <w:rsid w:val="3A812331"/>
    <w:rsid w:val="3A8505F5"/>
    <w:rsid w:val="3A9C6866"/>
    <w:rsid w:val="3A9D2E04"/>
    <w:rsid w:val="3AD76518"/>
    <w:rsid w:val="3AEC5A6C"/>
    <w:rsid w:val="3AF45B53"/>
    <w:rsid w:val="3B1B5B5E"/>
    <w:rsid w:val="3B2E09DB"/>
    <w:rsid w:val="3B324738"/>
    <w:rsid w:val="3B331896"/>
    <w:rsid w:val="3B4411AD"/>
    <w:rsid w:val="3B793F60"/>
    <w:rsid w:val="3B850180"/>
    <w:rsid w:val="3B8B5A66"/>
    <w:rsid w:val="3B9A5112"/>
    <w:rsid w:val="3BA9340F"/>
    <w:rsid w:val="3BCA05FD"/>
    <w:rsid w:val="3BD35240"/>
    <w:rsid w:val="3BEC5118"/>
    <w:rsid w:val="3BFE71A6"/>
    <w:rsid w:val="3BFF2CCD"/>
    <w:rsid w:val="3C1519E7"/>
    <w:rsid w:val="3C1A6140"/>
    <w:rsid w:val="3C1B44A3"/>
    <w:rsid w:val="3C1D4E28"/>
    <w:rsid w:val="3C5B3FAC"/>
    <w:rsid w:val="3C9477D1"/>
    <w:rsid w:val="3CC52C5B"/>
    <w:rsid w:val="3CD57D93"/>
    <w:rsid w:val="3CDA125C"/>
    <w:rsid w:val="3CDC38B3"/>
    <w:rsid w:val="3D1B5AE3"/>
    <w:rsid w:val="3D433CD4"/>
    <w:rsid w:val="3D57485A"/>
    <w:rsid w:val="3D6E0DBC"/>
    <w:rsid w:val="3D6F3F13"/>
    <w:rsid w:val="3D6F51F0"/>
    <w:rsid w:val="3E383CC1"/>
    <w:rsid w:val="3E5C550F"/>
    <w:rsid w:val="3E804F91"/>
    <w:rsid w:val="3EA539CD"/>
    <w:rsid w:val="3EE17944"/>
    <w:rsid w:val="3F003683"/>
    <w:rsid w:val="3F053C0D"/>
    <w:rsid w:val="3F170A0F"/>
    <w:rsid w:val="3F9E63EF"/>
    <w:rsid w:val="3FC51664"/>
    <w:rsid w:val="3FD378B3"/>
    <w:rsid w:val="3FF6046A"/>
    <w:rsid w:val="40030390"/>
    <w:rsid w:val="4020574A"/>
    <w:rsid w:val="402C19B6"/>
    <w:rsid w:val="403011A7"/>
    <w:rsid w:val="403219AD"/>
    <w:rsid w:val="405C7DFD"/>
    <w:rsid w:val="406354E0"/>
    <w:rsid w:val="40864383"/>
    <w:rsid w:val="409A05CE"/>
    <w:rsid w:val="40A10D02"/>
    <w:rsid w:val="40C77A0B"/>
    <w:rsid w:val="40EF01D9"/>
    <w:rsid w:val="40F00C35"/>
    <w:rsid w:val="413F50A7"/>
    <w:rsid w:val="41583627"/>
    <w:rsid w:val="41631CE4"/>
    <w:rsid w:val="41775370"/>
    <w:rsid w:val="41BB59F9"/>
    <w:rsid w:val="41CD7971"/>
    <w:rsid w:val="41EC5669"/>
    <w:rsid w:val="4206610E"/>
    <w:rsid w:val="42097236"/>
    <w:rsid w:val="420D26FE"/>
    <w:rsid w:val="42267F05"/>
    <w:rsid w:val="424B1269"/>
    <w:rsid w:val="424B6935"/>
    <w:rsid w:val="428C3244"/>
    <w:rsid w:val="42A26920"/>
    <w:rsid w:val="42AF4020"/>
    <w:rsid w:val="42BD166C"/>
    <w:rsid w:val="42C21692"/>
    <w:rsid w:val="42E06179"/>
    <w:rsid w:val="42F95E84"/>
    <w:rsid w:val="430851BB"/>
    <w:rsid w:val="431976E4"/>
    <w:rsid w:val="431E3124"/>
    <w:rsid w:val="431F54AA"/>
    <w:rsid w:val="43202ED1"/>
    <w:rsid w:val="43247210"/>
    <w:rsid w:val="435B177D"/>
    <w:rsid w:val="43604554"/>
    <w:rsid w:val="43615B51"/>
    <w:rsid w:val="436C51EE"/>
    <w:rsid w:val="43DA7774"/>
    <w:rsid w:val="43F220BA"/>
    <w:rsid w:val="43FC2019"/>
    <w:rsid w:val="44027D24"/>
    <w:rsid w:val="44041F1F"/>
    <w:rsid w:val="440F4F22"/>
    <w:rsid w:val="4429463C"/>
    <w:rsid w:val="443C56A4"/>
    <w:rsid w:val="448B6992"/>
    <w:rsid w:val="451D14CE"/>
    <w:rsid w:val="451E7933"/>
    <w:rsid w:val="45366230"/>
    <w:rsid w:val="454129D7"/>
    <w:rsid w:val="455A0DA9"/>
    <w:rsid w:val="455C2D44"/>
    <w:rsid w:val="456E0D65"/>
    <w:rsid w:val="458025FB"/>
    <w:rsid w:val="45927C88"/>
    <w:rsid w:val="45ED2860"/>
    <w:rsid w:val="45F8423E"/>
    <w:rsid w:val="460E2D4C"/>
    <w:rsid w:val="46152D52"/>
    <w:rsid w:val="46553285"/>
    <w:rsid w:val="46772AB7"/>
    <w:rsid w:val="468B405C"/>
    <w:rsid w:val="468B7D44"/>
    <w:rsid w:val="469119FC"/>
    <w:rsid w:val="46B563DF"/>
    <w:rsid w:val="470D6844"/>
    <w:rsid w:val="47172755"/>
    <w:rsid w:val="472B12FE"/>
    <w:rsid w:val="47512330"/>
    <w:rsid w:val="47621F4D"/>
    <w:rsid w:val="476D58AA"/>
    <w:rsid w:val="47886E4D"/>
    <w:rsid w:val="47A660FE"/>
    <w:rsid w:val="47E74966"/>
    <w:rsid w:val="47EC2891"/>
    <w:rsid w:val="47F0638D"/>
    <w:rsid w:val="47F3679D"/>
    <w:rsid w:val="484217DF"/>
    <w:rsid w:val="484D5DBC"/>
    <w:rsid w:val="485B249C"/>
    <w:rsid w:val="4871635A"/>
    <w:rsid w:val="4872505C"/>
    <w:rsid w:val="48775427"/>
    <w:rsid w:val="487B7B28"/>
    <w:rsid w:val="488E0488"/>
    <w:rsid w:val="488F6DD5"/>
    <w:rsid w:val="48A00EFA"/>
    <w:rsid w:val="48B412EF"/>
    <w:rsid w:val="48E034B0"/>
    <w:rsid w:val="48FE5054"/>
    <w:rsid w:val="491E45E5"/>
    <w:rsid w:val="49292E94"/>
    <w:rsid w:val="493B6712"/>
    <w:rsid w:val="49415181"/>
    <w:rsid w:val="49450F51"/>
    <w:rsid w:val="4951101B"/>
    <w:rsid w:val="498D48DF"/>
    <w:rsid w:val="499453E1"/>
    <w:rsid w:val="4995466E"/>
    <w:rsid w:val="49985054"/>
    <w:rsid w:val="49B35FC3"/>
    <w:rsid w:val="49C13FBC"/>
    <w:rsid w:val="4A477A8D"/>
    <w:rsid w:val="4A597D08"/>
    <w:rsid w:val="4A7909D3"/>
    <w:rsid w:val="4A925A4E"/>
    <w:rsid w:val="4A9826DA"/>
    <w:rsid w:val="4AB165E2"/>
    <w:rsid w:val="4AD24D6C"/>
    <w:rsid w:val="4AD436C8"/>
    <w:rsid w:val="4AE27B06"/>
    <w:rsid w:val="4AE67850"/>
    <w:rsid w:val="4AE91B7C"/>
    <w:rsid w:val="4B437C68"/>
    <w:rsid w:val="4B4D1A36"/>
    <w:rsid w:val="4B4E10C6"/>
    <w:rsid w:val="4BBA5537"/>
    <w:rsid w:val="4BCD0C21"/>
    <w:rsid w:val="4BFF7F88"/>
    <w:rsid w:val="4C371F0D"/>
    <w:rsid w:val="4C465EA3"/>
    <w:rsid w:val="4C4C442F"/>
    <w:rsid w:val="4C616D05"/>
    <w:rsid w:val="4C7763A8"/>
    <w:rsid w:val="4C826039"/>
    <w:rsid w:val="4C8261B2"/>
    <w:rsid w:val="4C8425E5"/>
    <w:rsid w:val="4C8466A2"/>
    <w:rsid w:val="4C944973"/>
    <w:rsid w:val="4CCE72C8"/>
    <w:rsid w:val="4CD21B67"/>
    <w:rsid w:val="4D0035E2"/>
    <w:rsid w:val="4D187E22"/>
    <w:rsid w:val="4D3532C3"/>
    <w:rsid w:val="4D3D6AB2"/>
    <w:rsid w:val="4D485EEA"/>
    <w:rsid w:val="4D53697A"/>
    <w:rsid w:val="4D616D14"/>
    <w:rsid w:val="4D8E2E96"/>
    <w:rsid w:val="4D9F58B3"/>
    <w:rsid w:val="4DDB78D4"/>
    <w:rsid w:val="4DE60BBD"/>
    <w:rsid w:val="4DEF195C"/>
    <w:rsid w:val="4E3113DA"/>
    <w:rsid w:val="4E4738B6"/>
    <w:rsid w:val="4E506D66"/>
    <w:rsid w:val="4E584816"/>
    <w:rsid w:val="4E751908"/>
    <w:rsid w:val="4E7A63E9"/>
    <w:rsid w:val="4E813843"/>
    <w:rsid w:val="4E8B18F0"/>
    <w:rsid w:val="4E92405E"/>
    <w:rsid w:val="4EB243EB"/>
    <w:rsid w:val="4EBD6603"/>
    <w:rsid w:val="4EE83343"/>
    <w:rsid w:val="4F617740"/>
    <w:rsid w:val="4F741758"/>
    <w:rsid w:val="4FB5487B"/>
    <w:rsid w:val="4FC9678C"/>
    <w:rsid w:val="50026CB1"/>
    <w:rsid w:val="50333289"/>
    <w:rsid w:val="50436627"/>
    <w:rsid w:val="50456BFB"/>
    <w:rsid w:val="5046787F"/>
    <w:rsid w:val="505005B3"/>
    <w:rsid w:val="5096072C"/>
    <w:rsid w:val="50A43A3C"/>
    <w:rsid w:val="50AB606B"/>
    <w:rsid w:val="50B201EA"/>
    <w:rsid w:val="50B51572"/>
    <w:rsid w:val="50CF6324"/>
    <w:rsid w:val="50D30675"/>
    <w:rsid w:val="50E1366F"/>
    <w:rsid w:val="50F045BD"/>
    <w:rsid w:val="510E2F3E"/>
    <w:rsid w:val="51141E1A"/>
    <w:rsid w:val="51200E71"/>
    <w:rsid w:val="51301CAC"/>
    <w:rsid w:val="51324E8B"/>
    <w:rsid w:val="51873D85"/>
    <w:rsid w:val="51965F13"/>
    <w:rsid w:val="51C47447"/>
    <w:rsid w:val="51EC15A5"/>
    <w:rsid w:val="51F66D97"/>
    <w:rsid w:val="523A0B09"/>
    <w:rsid w:val="525A7593"/>
    <w:rsid w:val="52650C46"/>
    <w:rsid w:val="527B496D"/>
    <w:rsid w:val="52880955"/>
    <w:rsid w:val="52B42453"/>
    <w:rsid w:val="52DF39DE"/>
    <w:rsid w:val="52F33D7E"/>
    <w:rsid w:val="52F4626B"/>
    <w:rsid w:val="52F74B7E"/>
    <w:rsid w:val="53084315"/>
    <w:rsid w:val="532260DA"/>
    <w:rsid w:val="533B4CD8"/>
    <w:rsid w:val="533F0140"/>
    <w:rsid w:val="534441B2"/>
    <w:rsid w:val="5363445C"/>
    <w:rsid w:val="53692016"/>
    <w:rsid w:val="537771F6"/>
    <w:rsid w:val="53BC0BFC"/>
    <w:rsid w:val="53C36657"/>
    <w:rsid w:val="53C7630A"/>
    <w:rsid w:val="53C944DE"/>
    <w:rsid w:val="53CA71C8"/>
    <w:rsid w:val="53CF4A3C"/>
    <w:rsid w:val="53EF2F7E"/>
    <w:rsid w:val="541F0586"/>
    <w:rsid w:val="544E3D41"/>
    <w:rsid w:val="545421DF"/>
    <w:rsid w:val="547874C2"/>
    <w:rsid w:val="54A95D7F"/>
    <w:rsid w:val="54AF4AC7"/>
    <w:rsid w:val="54EB5F22"/>
    <w:rsid w:val="55183028"/>
    <w:rsid w:val="551F1A11"/>
    <w:rsid w:val="554136B5"/>
    <w:rsid w:val="554C4D65"/>
    <w:rsid w:val="55553D0E"/>
    <w:rsid w:val="559E1FFE"/>
    <w:rsid w:val="55CE5402"/>
    <w:rsid w:val="55EB4EAA"/>
    <w:rsid w:val="55F229B5"/>
    <w:rsid w:val="560854A6"/>
    <w:rsid w:val="56312012"/>
    <w:rsid w:val="564118C4"/>
    <w:rsid w:val="5652561D"/>
    <w:rsid w:val="5673538B"/>
    <w:rsid w:val="56BA0FE1"/>
    <w:rsid w:val="56C010C9"/>
    <w:rsid w:val="56CD0626"/>
    <w:rsid w:val="57204CB3"/>
    <w:rsid w:val="574638CB"/>
    <w:rsid w:val="575235B3"/>
    <w:rsid w:val="577B7A57"/>
    <w:rsid w:val="577C1E43"/>
    <w:rsid w:val="57846A0B"/>
    <w:rsid w:val="57A407A4"/>
    <w:rsid w:val="580D7DC3"/>
    <w:rsid w:val="58495E76"/>
    <w:rsid w:val="5876145C"/>
    <w:rsid w:val="5886339E"/>
    <w:rsid w:val="5892044E"/>
    <w:rsid w:val="58965EAF"/>
    <w:rsid w:val="58BD66A3"/>
    <w:rsid w:val="58BE6E6A"/>
    <w:rsid w:val="58C84B83"/>
    <w:rsid w:val="58FF4DF4"/>
    <w:rsid w:val="592B7592"/>
    <w:rsid w:val="59653460"/>
    <w:rsid w:val="5979348A"/>
    <w:rsid w:val="599070DF"/>
    <w:rsid w:val="59A10727"/>
    <w:rsid w:val="59A22C9D"/>
    <w:rsid w:val="59B20993"/>
    <w:rsid w:val="59D90E59"/>
    <w:rsid w:val="59F65A04"/>
    <w:rsid w:val="5A1346CC"/>
    <w:rsid w:val="5A170D93"/>
    <w:rsid w:val="5A226B0D"/>
    <w:rsid w:val="5A2C4A29"/>
    <w:rsid w:val="5A450218"/>
    <w:rsid w:val="5A874489"/>
    <w:rsid w:val="5A8D6A0C"/>
    <w:rsid w:val="5AC370AB"/>
    <w:rsid w:val="5AC60703"/>
    <w:rsid w:val="5AEB4C6E"/>
    <w:rsid w:val="5AF51A51"/>
    <w:rsid w:val="5B0607A2"/>
    <w:rsid w:val="5B0F12CB"/>
    <w:rsid w:val="5B0F696C"/>
    <w:rsid w:val="5B1466B1"/>
    <w:rsid w:val="5B361D48"/>
    <w:rsid w:val="5B94691E"/>
    <w:rsid w:val="5B963003"/>
    <w:rsid w:val="5BA10E25"/>
    <w:rsid w:val="5BD84D74"/>
    <w:rsid w:val="5BDA690A"/>
    <w:rsid w:val="5BE22246"/>
    <w:rsid w:val="5BF01D73"/>
    <w:rsid w:val="5BF9796E"/>
    <w:rsid w:val="5C060997"/>
    <w:rsid w:val="5C2D3EC4"/>
    <w:rsid w:val="5C7625F5"/>
    <w:rsid w:val="5CCD19E4"/>
    <w:rsid w:val="5CF72943"/>
    <w:rsid w:val="5D2426A3"/>
    <w:rsid w:val="5D2A3AD7"/>
    <w:rsid w:val="5D674F00"/>
    <w:rsid w:val="5D8B0C78"/>
    <w:rsid w:val="5D92331E"/>
    <w:rsid w:val="5DC21CA7"/>
    <w:rsid w:val="5DE87621"/>
    <w:rsid w:val="5E006816"/>
    <w:rsid w:val="5E592745"/>
    <w:rsid w:val="5EAA42F9"/>
    <w:rsid w:val="5EBB5493"/>
    <w:rsid w:val="5F050A23"/>
    <w:rsid w:val="5F2713DE"/>
    <w:rsid w:val="5F2724E5"/>
    <w:rsid w:val="5F4C0C35"/>
    <w:rsid w:val="5F5E72F7"/>
    <w:rsid w:val="5F7E291A"/>
    <w:rsid w:val="5F925A4B"/>
    <w:rsid w:val="5FBC2AE3"/>
    <w:rsid w:val="5FC80C7F"/>
    <w:rsid w:val="5FEC64AF"/>
    <w:rsid w:val="5FF05AB0"/>
    <w:rsid w:val="5FFD5DA3"/>
    <w:rsid w:val="601D2FB5"/>
    <w:rsid w:val="60280DA9"/>
    <w:rsid w:val="60C064C9"/>
    <w:rsid w:val="60C34153"/>
    <w:rsid w:val="60C50003"/>
    <w:rsid w:val="60C8672C"/>
    <w:rsid w:val="60D90062"/>
    <w:rsid w:val="60E96D43"/>
    <w:rsid w:val="612548BE"/>
    <w:rsid w:val="618E26AB"/>
    <w:rsid w:val="61984CF6"/>
    <w:rsid w:val="619A14ED"/>
    <w:rsid w:val="619B3B9C"/>
    <w:rsid w:val="61AA3EA7"/>
    <w:rsid w:val="61BD2D1B"/>
    <w:rsid w:val="61C65638"/>
    <w:rsid w:val="61DA1479"/>
    <w:rsid w:val="61F64B65"/>
    <w:rsid w:val="623A7950"/>
    <w:rsid w:val="62601065"/>
    <w:rsid w:val="62655296"/>
    <w:rsid w:val="62744DC7"/>
    <w:rsid w:val="631B4947"/>
    <w:rsid w:val="63550A45"/>
    <w:rsid w:val="637324DA"/>
    <w:rsid w:val="637E427C"/>
    <w:rsid w:val="63922DD6"/>
    <w:rsid w:val="63B07993"/>
    <w:rsid w:val="63BC5649"/>
    <w:rsid w:val="63CA4C0E"/>
    <w:rsid w:val="63D46027"/>
    <w:rsid w:val="63E56639"/>
    <w:rsid w:val="63EC3812"/>
    <w:rsid w:val="63FA3BD1"/>
    <w:rsid w:val="643C305C"/>
    <w:rsid w:val="64A30AD0"/>
    <w:rsid w:val="64A51729"/>
    <w:rsid w:val="64B63B9A"/>
    <w:rsid w:val="64B76EDA"/>
    <w:rsid w:val="64C349F0"/>
    <w:rsid w:val="64DB2F7C"/>
    <w:rsid w:val="64DD5F8F"/>
    <w:rsid w:val="64E729D9"/>
    <w:rsid w:val="64EA4305"/>
    <w:rsid w:val="6506782F"/>
    <w:rsid w:val="65132CE8"/>
    <w:rsid w:val="655B0390"/>
    <w:rsid w:val="6571704B"/>
    <w:rsid w:val="658A1849"/>
    <w:rsid w:val="65B54616"/>
    <w:rsid w:val="65C64F48"/>
    <w:rsid w:val="6602204B"/>
    <w:rsid w:val="66A100FE"/>
    <w:rsid w:val="66CE18DE"/>
    <w:rsid w:val="66CF3FE0"/>
    <w:rsid w:val="66D41D1F"/>
    <w:rsid w:val="66ED6137"/>
    <w:rsid w:val="66F42736"/>
    <w:rsid w:val="672709CD"/>
    <w:rsid w:val="6735379A"/>
    <w:rsid w:val="67363C9E"/>
    <w:rsid w:val="673F5F6A"/>
    <w:rsid w:val="674C588F"/>
    <w:rsid w:val="67553FF9"/>
    <w:rsid w:val="676044C2"/>
    <w:rsid w:val="676101B2"/>
    <w:rsid w:val="676134E9"/>
    <w:rsid w:val="67623769"/>
    <w:rsid w:val="67BD13A0"/>
    <w:rsid w:val="67BF52C3"/>
    <w:rsid w:val="67CE34F6"/>
    <w:rsid w:val="67FD078F"/>
    <w:rsid w:val="67FD2C11"/>
    <w:rsid w:val="680564F5"/>
    <w:rsid w:val="680E2783"/>
    <w:rsid w:val="6818502A"/>
    <w:rsid w:val="685E3734"/>
    <w:rsid w:val="68AB3215"/>
    <w:rsid w:val="68AC445E"/>
    <w:rsid w:val="68BE6CDB"/>
    <w:rsid w:val="691E3956"/>
    <w:rsid w:val="693B3394"/>
    <w:rsid w:val="6947323B"/>
    <w:rsid w:val="694879D4"/>
    <w:rsid w:val="696019C5"/>
    <w:rsid w:val="69792E05"/>
    <w:rsid w:val="697F096E"/>
    <w:rsid w:val="69883013"/>
    <w:rsid w:val="69C47757"/>
    <w:rsid w:val="69D31760"/>
    <w:rsid w:val="69DC4FC9"/>
    <w:rsid w:val="69E85AFE"/>
    <w:rsid w:val="69F65930"/>
    <w:rsid w:val="69F94392"/>
    <w:rsid w:val="6A292856"/>
    <w:rsid w:val="6A2E711A"/>
    <w:rsid w:val="6A6F3748"/>
    <w:rsid w:val="6A8445E6"/>
    <w:rsid w:val="6AE936CF"/>
    <w:rsid w:val="6B0B1DF1"/>
    <w:rsid w:val="6B222E04"/>
    <w:rsid w:val="6B4E4CF9"/>
    <w:rsid w:val="6B74497C"/>
    <w:rsid w:val="6B7B42BC"/>
    <w:rsid w:val="6B7C3B5C"/>
    <w:rsid w:val="6BDB196D"/>
    <w:rsid w:val="6BFA19C5"/>
    <w:rsid w:val="6BFC34A0"/>
    <w:rsid w:val="6C20338C"/>
    <w:rsid w:val="6C23123D"/>
    <w:rsid w:val="6C390317"/>
    <w:rsid w:val="6C465FF8"/>
    <w:rsid w:val="6C610648"/>
    <w:rsid w:val="6C7F2AF2"/>
    <w:rsid w:val="6C9C33A1"/>
    <w:rsid w:val="6CAA604F"/>
    <w:rsid w:val="6CB90DAA"/>
    <w:rsid w:val="6CBA58E2"/>
    <w:rsid w:val="6CF05CBB"/>
    <w:rsid w:val="6CF26CEE"/>
    <w:rsid w:val="6CF76A76"/>
    <w:rsid w:val="6D192C81"/>
    <w:rsid w:val="6D223607"/>
    <w:rsid w:val="6D2A5C10"/>
    <w:rsid w:val="6D3A3819"/>
    <w:rsid w:val="6D4D73D7"/>
    <w:rsid w:val="6D5416FA"/>
    <w:rsid w:val="6DE2671E"/>
    <w:rsid w:val="6E240F0B"/>
    <w:rsid w:val="6E607EC8"/>
    <w:rsid w:val="6EA0390D"/>
    <w:rsid w:val="6EBB1D83"/>
    <w:rsid w:val="6EC04E16"/>
    <w:rsid w:val="6EC75206"/>
    <w:rsid w:val="6EDB031D"/>
    <w:rsid w:val="6F0D5916"/>
    <w:rsid w:val="6F2175D9"/>
    <w:rsid w:val="6F4E58DD"/>
    <w:rsid w:val="6FA85FD8"/>
    <w:rsid w:val="6FAA10A9"/>
    <w:rsid w:val="6FC145E5"/>
    <w:rsid w:val="6FC26800"/>
    <w:rsid w:val="6FED238F"/>
    <w:rsid w:val="6FF51957"/>
    <w:rsid w:val="702552DE"/>
    <w:rsid w:val="703F58B6"/>
    <w:rsid w:val="70735ACB"/>
    <w:rsid w:val="70874A37"/>
    <w:rsid w:val="708817E0"/>
    <w:rsid w:val="709B60F6"/>
    <w:rsid w:val="70CB4845"/>
    <w:rsid w:val="70F5061C"/>
    <w:rsid w:val="70FB0022"/>
    <w:rsid w:val="711F20F5"/>
    <w:rsid w:val="71425DEA"/>
    <w:rsid w:val="71482F41"/>
    <w:rsid w:val="718B6A33"/>
    <w:rsid w:val="71D42268"/>
    <w:rsid w:val="71D939AD"/>
    <w:rsid w:val="72761643"/>
    <w:rsid w:val="72766A31"/>
    <w:rsid w:val="728617D9"/>
    <w:rsid w:val="728D1837"/>
    <w:rsid w:val="72907311"/>
    <w:rsid w:val="729230A6"/>
    <w:rsid w:val="72A83A6D"/>
    <w:rsid w:val="72C25F19"/>
    <w:rsid w:val="72C8532B"/>
    <w:rsid w:val="72D5709A"/>
    <w:rsid w:val="73104CF8"/>
    <w:rsid w:val="731816C5"/>
    <w:rsid w:val="732C471B"/>
    <w:rsid w:val="73392687"/>
    <w:rsid w:val="73510AE5"/>
    <w:rsid w:val="735C17E3"/>
    <w:rsid w:val="735D4B09"/>
    <w:rsid w:val="737D1405"/>
    <w:rsid w:val="738B4111"/>
    <w:rsid w:val="7393356C"/>
    <w:rsid w:val="73BA3541"/>
    <w:rsid w:val="73FC6FAF"/>
    <w:rsid w:val="740C61EA"/>
    <w:rsid w:val="742C029B"/>
    <w:rsid w:val="74312072"/>
    <w:rsid w:val="74391E32"/>
    <w:rsid w:val="74670052"/>
    <w:rsid w:val="747A4FD7"/>
    <w:rsid w:val="748419D4"/>
    <w:rsid w:val="748A6C9C"/>
    <w:rsid w:val="74C035EB"/>
    <w:rsid w:val="74C34D7B"/>
    <w:rsid w:val="74D54C4C"/>
    <w:rsid w:val="75087CBB"/>
    <w:rsid w:val="751030A1"/>
    <w:rsid w:val="756A6286"/>
    <w:rsid w:val="756D4A37"/>
    <w:rsid w:val="757355B2"/>
    <w:rsid w:val="759361EE"/>
    <w:rsid w:val="75D92CD3"/>
    <w:rsid w:val="75E3702D"/>
    <w:rsid w:val="75FC412B"/>
    <w:rsid w:val="760072BE"/>
    <w:rsid w:val="760106D0"/>
    <w:rsid w:val="76083689"/>
    <w:rsid w:val="761629B2"/>
    <w:rsid w:val="76207991"/>
    <w:rsid w:val="763D0900"/>
    <w:rsid w:val="76544D79"/>
    <w:rsid w:val="769A0A2C"/>
    <w:rsid w:val="76C91619"/>
    <w:rsid w:val="76C92232"/>
    <w:rsid w:val="76FF12B0"/>
    <w:rsid w:val="7719148C"/>
    <w:rsid w:val="772C4F04"/>
    <w:rsid w:val="776A2F21"/>
    <w:rsid w:val="776C6298"/>
    <w:rsid w:val="779F214E"/>
    <w:rsid w:val="77BC48A3"/>
    <w:rsid w:val="784807B5"/>
    <w:rsid w:val="787C2722"/>
    <w:rsid w:val="78D22FC8"/>
    <w:rsid w:val="78DE0761"/>
    <w:rsid w:val="78F3151F"/>
    <w:rsid w:val="79034B94"/>
    <w:rsid w:val="793628E8"/>
    <w:rsid w:val="79375C23"/>
    <w:rsid w:val="797217A8"/>
    <w:rsid w:val="79836BC5"/>
    <w:rsid w:val="798A3408"/>
    <w:rsid w:val="79AB40AA"/>
    <w:rsid w:val="7A29170C"/>
    <w:rsid w:val="7A2B2BDF"/>
    <w:rsid w:val="7A3B01EC"/>
    <w:rsid w:val="7A3C19B7"/>
    <w:rsid w:val="7A424B46"/>
    <w:rsid w:val="7A4A57B7"/>
    <w:rsid w:val="7A6A161F"/>
    <w:rsid w:val="7A6B1D7D"/>
    <w:rsid w:val="7A9C3C5C"/>
    <w:rsid w:val="7AB32A67"/>
    <w:rsid w:val="7ABA43B4"/>
    <w:rsid w:val="7ACF1EB2"/>
    <w:rsid w:val="7AE108FF"/>
    <w:rsid w:val="7B081B70"/>
    <w:rsid w:val="7B1A4519"/>
    <w:rsid w:val="7B2C1101"/>
    <w:rsid w:val="7B554582"/>
    <w:rsid w:val="7B763FEC"/>
    <w:rsid w:val="7BCE5A9B"/>
    <w:rsid w:val="7BD03F7A"/>
    <w:rsid w:val="7BE16C02"/>
    <w:rsid w:val="7BE22530"/>
    <w:rsid w:val="7BF33FA9"/>
    <w:rsid w:val="7C1D1E0E"/>
    <w:rsid w:val="7C6E2D45"/>
    <w:rsid w:val="7C9D40C6"/>
    <w:rsid w:val="7CD1010B"/>
    <w:rsid w:val="7D0801FC"/>
    <w:rsid w:val="7D1F756E"/>
    <w:rsid w:val="7D475D2E"/>
    <w:rsid w:val="7D627D4B"/>
    <w:rsid w:val="7D9701EE"/>
    <w:rsid w:val="7DA958F6"/>
    <w:rsid w:val="7DB96706"/>
    <w:rsid w:val="7DEF6AA5"/>
    <w:rsid w:val="7DF06401"/>
    <w:rsid w:val="7E012B79"/>
    <w:rsid w:val="7E015A45"/>
    <w:rsid w:val="7E2626D8"/>
    <w:rsid w:val="7E3A4CFB"/>
    <w:rsid w:val="7E3D007F"/>
    <w:rsid w:val="7E4B64EC"/>
    <w:rsid w:val="7EB01A18"/>
    <w:rsid w:val="7EBB0A16"/>
    <w:rsid w:val="7EC925AD"/>
    <w:rsid w:val="7ECF6D2A"/>
    <w:rsid w:val="7EE31938"/>
    <w:rsid w:val="7EEC7BE4"/>
    <w:rsid w:val="7F1B037F"/>
    <w:rsid w:val="7F521AF2"/>
    <w:rsid w:val="7F5C249F"/>
    <w:rsid w:val="7F603B6A"/>
    <w:rsid w:val="7F991C6C"/>
    <w:rsid w:val="7FA116EE"/>
    <w:rsid w:val="7FA36172"/>
    <w:rsid w:val="7FBA77F7"/>
    <w:rsid w:val="7FC40B0D"/>
    <w:rsid w:val="7FEE0A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正文缩进1"/>
    <w:basedOn w:val="1"/>
    <w:qFormat/>
    <w:uiPriority w:val="0"/>
    <w:pPr>
      <w:ind w:firstLine="420"/>
    </w:pPr>
    <w:rPr>
      <w:szCs w:val="20"/>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widowControl/>
      <w:spacing w:before="100" w:beforeLines="0" w:beforeAutospacing="1" w:after="100" w:afterLines="0" w:afterAutospacing="1"/>
      <w:jc w:val="left"/>
    </w:pPr>
    <w:rPr>
      <w:rFonts w:ascii="宋体" w:hAnsi="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正文-公1"/>
    <w:basedOn w:val="1"/>
    <w:next w:val="1"/>
    <w:qFormat/>
    <w:uiPriority w:val="0"/>
    <w:pPr>
      <w:ind w:firstLine="200" w:firstLineChars="200"/>
      <w:jc w:val="left"/>
    </w:pPr>
    <w:rPr>
      <w:rFonts w:eastAsia="仿宋_GB2312"/>
    </w:rPr>
  </w:style>
  <w:style w:type="paragraph" w:customStyle="1" w:styleId="9">
    <w:name w:val="p0"/>
    <w:basedOn w:val="1"/>
    <w:qFormat/>
    <w:uiPriority w:val="0"/>
    <w:pPr>
      <w:widowControl/>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10172</Words>
  <Characters>10502</Characters>
  <Lines>0</Lines>
  <Paragraphs>0</Paragraphs>
  <TotalTime>0</TotalTime>
  <ScaleCrop>false</ScaleCrop>
  <LinksUpToDate>false</LinksUpToDate>
  <CharactersWithSpaces>10550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2025-02-11T01:48:00Z</dcterms:created>
  <dc:creator>Administrator</dc:creator>
  <cp:lastModifiedBy>阳威</cp:lastModifiedBy>
  <cp:lastPrinted>2026-01-12T08:00:00Z</cp:lastPrinted>
  <dcterms:modified xsi:type="dcterms:W3CDTF">2026-07-02T01:59:54Z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eyJoZGlkIjoiMDk5MmY1YWU0M2YyM2ZlYzJiZGM4N2IwNmJjOTVkYzIiLCJ1c2VySWQiOiI2NzI4MDUxMjEifQ==</vt:lpwstr>
  </property>
  <property fmtid="{D5CDD505-2E9C-101B-9397-08002B2CF9AE}" pid="4" name="ICV">
    <vt:lpwstr>F7DC01B69CF1413D8AB6DB932E44C73C_12</vt:lpwstr>
  </property>
</Properties>
</file>