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BD2C59">
      <w:pPr>
        <w:tabs>
          <w:tab w:val="left" w:pos="2100"/>
        </w:tabs>
        <w:rPr>
          <w:rFonts w:hint="eastAsia" w:eastAsia="仿宋_GB2312"/>
          <w:color w:val="auto"/>
          <w:sz w:val="36"/>
          <w:szCs w:val="36"/>
          <w:highlight w:val="none"/>
          <w:lang w:val="en-US" w:eastAsia="zh-CN"/>
        </w:rPr>
      </w:pPr>
      <w:r>
        <w:rPr>
          <w:rFonts w:hint="eastAsia" w:eastAsia="仿宋_GB2312"/>
          <w:color w:val="auto"/>
          <w:sz w:val="36"/>
          <w:szCs w:val="36"/>
          <w:highlight w:val="none"/>
          <w:lang w:val="en-US" w:eastAsia="zh-CN"/>
        </w:rPr>
        <w:t xml:space="preserve"> </w:t>
      </w:r>
    </w:p>
    <w:p w14:paraId="291BA327">
      <w:pPr>
        <w:rPr>
          <w:rFonts w:eastAsia="仿宋_GB2312"/>
          <w:color w:val="auto"/>
          <w:sz w:val="36"/>
          <w:szCs w:val="36"/>
          <w:highlight w:val="none"/>
        </w:rPr>
      </w:pPr>
    </w:p>
    <w:p w14:paraId="0B62A7A1">
      <w:pPr>
        <w:rPr>
          <w:rFonts w:eastAsia="仿宋_GB2312"/>
          <w:color w:val="auto"/>
          <w:sz w:val="36"/>
          <w:szCs w:val="36"/>
          <w:highlight w:val="none"/>
        </w:rPr>
      </w:pPr>
    </w:p>
    <w:p w14:paraId="4A73DF81">
      <w:pPr>
        <w:rPr>
          <w:rFonts w:eastAsia="仿宋_GB2312"/>
          <w:color w:val="auto"/>
          <w:sz w:val="36"/>
          <w:szCs w:val="36"/>
          <w:highlight w:val="none"/>
        </w:rPr>
      </w:pPr>
    </w:p>
    <w:p w14:paraId="3C4C6C00">
      <w:pPr>
        <w:rPr>
          <w:rFonts w:eastAsia="仿宋_GB2312"/>
          <w:color w:val="auto"/>
          <w:sz w:val="36"/>
          <w:szCs w:val="36"/>
          <w:highlight w:val="none"/>
        </w:rPr>
      </w:pPr>
    </w:p>
    <w:p w14:paraId="5F513E54">
      <w:pPr>
        <w:adjustRightInd w:val="0"/>
        <w:snapToGrid w:val="0"/>
        <w:jc w:val="center"/>
        <w:outlineLvl w:val="0"/>
        <w:rPr>
          <w:rFonts w:eastAsia="方正小标宋_GBK"/>
          <w:bCs/>
          <w:color w:val="auto"/>
          <w:sz w:val="72"/>
          <w:szCs w:val="72"/>
          <w:highlight w:val="none"/>
        </w:rPr>
      </w:pPr>
      <w:bookmarkStart w:id="0" w:name="_Toc15861"/>
      <w:r>
        <w:rPr>
          <w:rFonts w:eastAsia="方正小标宋_GBK"/>
          <w:bCs/>
          <w:color w:val="auto"/>
          <w:sz w:val="72"/>
          <w:szCs w:val="72"/>
          <w:highlight w:val="none"/>
        </w:rPr>
        <w:t>建设项目环境影响报告表</w:t>
      </w:r>
      <w:bookmarkEnd w:id="0"/>
    </w:p>
    <w:p w14:paraId="7755A37E">
      <w:pPr>
        <w:adjustRightInd w:val="0"/>
        <w:snapToGrid w:val="0"/>
        <w:spacing w:before="192" w:beforeLines="80"/>
        <w:jc w:val="center"/>
        <w:rPr>
          <w:rFonts w:eastAsia="楷体_GB2312"/>
          <w:bCs/>
          <w:color w:val="auto"/>
          <w:sz w:val="48"/>
          <w:szCs w:val="48"/>
          <w:highlight w:val="none"/>
        </w:rPr>
      </w:pPr>
      <w:r>
        <w:rPr>
          <w:rFonts w:eastAsia="楷体_GB2312"/>
          <w:bCs/>
          <w:color w:val="auto"/>
          <w:sz w:val="48"/>
          <w:szCs w:val="48"/>
          <w:highlight w:val="none"/>
        </w:rPr>
        <w:t>（污染影响类）</w:t>
      </w:r>
    </w:p>
    <w:p w14:paraId="04A282AD">
      <w:pPr>
        <w:bidi w:val="0"/>
        <w:rPr>
          <w:color w:val="auto"/>
          <w:highlight w:val="none"/>
        </w:rPr>
      </w:pPr>
    </w:p>
    <w:p w14:paraId="01EEEA37">
      <w:pPr>
        <w:jc w:val="center"/>
        <w:rPr>
          <w:rFonts w:eastAsia="仿宋"/>
          <w:color w:val="auto"/>
          <w:sz w:val="52"/>
          <w:szCs w:val="52"/>
          <w:highlight w:val="none"/>
        </w:rPr>
      </w:pPr>
    </w:p>
    <w:p w14:paraId="242DF0FC">
      <w:pPr>
        <w:ind w:firstLine="1040"/>
        <w:rPr>
          <w:rFonts w:eastAsia="仿宋"/>
          <w:color w:val="auto"/>
          <w:sz w:val="44"/>
          <w:szCs w:val="44"/>
          <w:highlight w:val="none"/>
        </w:rPr>
      </w:pPr>
    </w:p>
    <w:p w14:paraId="11B6D3B6">
      <w:pPr>
        <w:ind w:firstLine="1040"/>
        <w:rPr>
          <w:rFonts w:eastAsia="仿宋"/>
          <w:color w:val="auto"/>
          <w:sz w:val="44"/>
          <w:szCs w:val="44"/>
          <w:highlight w:val="none"/>
        </w:rPr>
      </w:pPr>
    </w:p>
    <w:p w14:paraId="0C715DB8">
      <w:pPr>
        <w:ind w:firstLine="1040"/>
        <w:rPr>
          <w:rFonts w:eastAsia="仿宋"/>
          <w:color w:val="auto"/>
          <w:sz w:val="44"/>
          <w:szCs w:val="44"/>
          <w:highlight w:val="none"/>
        </w:rPr>
      </w:pPr>
    </w:p>
    <w:p w14:paraId="37DE96F8">
      <w:pPr>
        <w:ind w:firstLine="1040"/>
        <w:rPr>
          <w:rFonts w:eastAsia="仿宋"/>
          <w:color w:val="auto"/>
          <w:sz w:val="44"/>
          <w:szCs w:val="44"/>
          <w:highlight w:val="none"/>
        </w:rPr>
      </w:pPr>
    </w:p>
    <w:p w14:paraId="0458E8D9">
      <w:pPr>
        <w:adjustRightInd w:val="0"/>
        <w:snapToGrid w:val="0"/>
        <w:spacing w:line="288" w:lineRule="auto"/>
        <w:ind w:firstLine="1040"/>
        <w:rPr>
          <w:rFonts w:eastAsia="仿宋_GB2312"/>
          <w:color w:val="auto"/>
          <w:sz w:val="36"/>
          <w:szCs w:val="36"/>
          <w:highlight w:val="none"/>
          <w:u w:val="single"/>
        </w:rPr>
      </w:pPr>
      <w:r>
        <w:rPr>
          <w:rFonts w:eastAsia="仿宋_GB2312"/>
          <w:color w:val="auto"/>
          <w:sz w:val="36"/>
          <w:szCs w:val="36"/>
          <w:highlight w:val="none"/>
        </w:rPr>
        <w:t>项目名称：</w:t>
      </w:r>
      <w:r>
        <w:rPr>
          <w:rFonts w:hint="eastAsia" w:eastAsia="仿宋_GB2312"/>
          <w:color w:val="auto"/>
          <w:spacing w:val="-20"/>
          <w:sz w:val="36"/>
          <w:szCs w:val="36"/>
          <w:highlight w:val="none"/>
          <w:u w:val="single"/>
          <w:lang w:eastAsia="zh-CN"/>
        </w:rPr>
        <w:t>年产 5400 吨汽车制动鼓制动盘喷漆线技改项目</w:t>
      </w:r>
      <w:r>
        <w:rPr>
          <w:rFonts w:eastAsia="仿宋_GB2312"/>
          <w:color w:val="auto"/>
          <w:sz w:val="36"/>
          <w:szCs w:val="36"/>
          <w:highlight w:val="none"/>
          <w:u w:val="none"/>
        </w:rPr>
        <w:t xml:space="preserve">  </w:t>
      </w:r>
    </w:p>
    <w:p w14:paraId="0FF651D7">
      <w:pPr>
        <w:adjustRightInd w:val="0"/>
        <w:snapToGrid w:val="0"/>
        <w:spacing w:line="288" w:lineRule="auto"/>
        <w:ind w:firstLine="1040"/>
        <w:rPr>
          <w:rFonts w:hint="eastAsia" w:eastAsia="仿宋_GB2312"/>
          <w:color w:val="auto"/>
          <w:sz w:val="36"/>
          <w:szCs w:val="36"/>
          <w:highlight w:val="none"/>
          <w:u w:val="single"/>
          <w:lang w:eastAsia="zh-CN"/>
        </w:rPr>
      </w:pPr>
      <w:r>
        <w:rPr>
          <w:rFonts w:eastAsia="仿宋_GB2312"/>
          <w:color w:val="auto"/>
          <w:sz w:val="36"/>
          <w:szCs w:val="36"/>
          <w:highlight w:val="none"/>
        </w:rPr>
        <w:t>建设单位（盖章）：</w:t>
      </w:r>
      <w:r>
        <w:rPr>
          <w:rFonts w:hint="eastAsia" w:eastAsia="仿宋_GB2312"/>
          <w:color w:val="auto"/>
          <w:sz w:val="36"/>
          <w:szCs w:val="36"/>
          <w:highlight w:val="none"/>
          <w:u w:val="single"/>
          <w:lang w:eastAsia="zh-CN"/>
        </w:rPr>
        <w:t>行唐县龙鑫机械制造有限公司</w:t>
      </w:r>
    </w:p>
    <w:p w14:paraId="6F678057">
      <w:pPr>
        <w:adjustRightInd w:val="0"/>
        <w:snapToGrid w:val="0"/>
        <w:spacing w:line="288" w:lineRule="auto"/>
        <w:ind w:firstLine="1040"/>
        <w:rPr>
          <w:rFonts w:hint="eastAsia" w:eastAsia="仿宋_GB2312"/>
          <w:color w:val="auto"/>
          <w:sz w:val="36"/>
          <w:szCs w:val="36"/>
          <w:highlight w:val="none"/>
          <w:u w:val="single"/>
        </w:rPr>
      </w:pPr>
      <w:r>
        <w:rPr>
          <w:rFonts w:eastAsia="仿宋_GB2312"/>
          <w:color w:val="auto"/>
          <w:sz w:val="36"/>
          <w:szCs w:val="36"/>
          <w:highlight w:val="none"/>
        </w:rPr>
        <w:t>编制日期：</w:t>
      </w:r>
      <w:r>
        <w:rPr>
          <w:rFonts w:eastAsia="仿宋_GB2312"/>
          <w:color w:val="auto"/>
          <w:sz w:val="36"/>
          <w:szCs w:val="36"/>
          <w:highlight w:val="none"/>
          <w:u w:val="single"/>
        </w:rPr>
        <w:t xml:space="preserve">          202</w:t>
      </w:r>
      <w:r>
        <w:rPr>
          <w:rFonts w:hint="eastAsia" w:eastAsia="仿宋_GB2312"/>
          <w:color w:val="auto"/>
          <w:sz w:val="36"/>
          <w:szCs w:val="36"/>
          <w:highlight w:val="none"/>
          <w:u w:val="single"/>
          <w:lang w:val="en-US" w:eastAsia="zh-CN"/>
        </w:rPr>
        <w:t>6</w:t>
      </w:r>
      <w:r>
        <w:rPr>
          <w:rFonts w:eastAsia="仿宋_GB2312"/>
          <w:color w:val="auto"/>
          <w:sz w:val="36"/>
          <w:szCs w:val="36"/>
          <w:highlight w:val="none"/>
          <w:u w:val="single"/>
        </w:rPr>
        <w:t>年</w:t>
      </w:r>
      <w:r>
        <w:rPr>
          <w:rFonts w:hint="eastAsia" w:eastAsia="仿宋_GB2312"/>
          <w:color w:val="auto"/>
          <w:sz w:val="36"/>
          <w:szCs w:val="36"/>
          <w:highlight w:val="none"/>
          <w:u w:val="single"/>
          <w:lang w:val="en-US" w:eastAsia="zh-CN"/>
        </w:rPr>
        <w:t>5</w:t>
      </w:r>
      <w:r>
        <w:rPr>
          <w:rFonts w:eastAsia="仿宋_GB2312"/>
          <w:color w:val="auto"/>
          <w:sz w:val="36"/>
          <w:szCs w:val="36"/>
          <w:highlight w:val="none"/>
          <w:u w:val="single"/>
        </w:rPr>
        <w:t xml:space="preserve">月         </w:t>
      </w:r>
      <w:r>
        <w:rPr>
          <w:rFonts w:hint="eastAsia" w:eastAsia="仿宋_GB2312"/>
          <w:color w:val="auto"/>
          <w:sz w:val="36"/>
          <w:szCs w:val="36"/>
          <w:highlight w:val="none"/>
          <w:u w:val="single"/>
        </w:rPr>
        <w:t xml:space="preserve"> </w:t>
      </w:r>
    </w:p>
    <w:p w14:paraId="46196BE8">
      <w:pPr>
        <w:adjustRightInd w:val="0"/>
        <w:snapToGrid w:val="0"/>
        <w:spacing w:line="288" w:lineRule="auto"/>
        <w:ind w:firstLine="1040"/>
        <w:rPr>
          <w:rFonts w:eastAsia="仿宋_GB2312"/>
          <w:color w:val="auto"/>
          <w:sz w:val="36"/>
          <w:szCs w:val="36"/>
          <w:highlight w:val="none"/>
          <w:u w:val="single"/>
        </w:rPr>
      </w:pPr>
      <w:bookmarkStart w:id="1" w:name="_Hlk57884087"/>
    </w:p>
    <w:p w14:paraId="1131F399">
      <w:pPr>
        <w:adjustRightInd w:val="0"/>
        <w:snapToGrid w:val="0"/>
        <w:spacing w:line="288" w:lineRule="auto"/>
        <w:ind w:firstLine="1040"/>
        <w:rPr>
          <w:rFonts w:eastAsia="仿宋_GB2312"/>
          <w:color w:val="auto"/>
          <w:sz w:val="36"/>
          <w:szCs w:val="36"/>
          <w:highlight w:val="none"/>
        </w:rPr>
      </w:pPr>
    </w:p>
    <w:p w14:paraId="0A9E23AF">
      <w:pPr>
        <w:adjustRightInd w:val="0"/>
        <w:snapToGrid w:val="0"/>
        <w:spacing w:line="288" w:lineRule="auto"/>
        <w:rPr>
          <w:rFonts w:eastAsia="仿宋_GB2312"/>
          <w:color w:val="auto"/>
          <w:sz w:val="36"/>
          <w:szCs w:val="36"/>
          <w:highlight w:val="none"/>
        </w:rPr>
      </w:pPr>
    </w:p>
    <w:p w14:paraId="7C43299B">
      <w:pPr>
        <w:adjustRightInd w:val="0"/>
        <w:snapToGrid w:val="0"/>
        <w:spacing w:line="288" w:lineRule="auto"/>
        <w:ind w:firstLine="1040"/>
        <w:rPr>
          <w:rFonts w:eastAsia="仿宋_GB2312"/>
          <w:color w:val="auto"/>
          <w:sz w:val="36"/>
          <w:szCs w:val="36"/>
          <w:highlight w:val="none"/>
        </w:rPr>
      </w:pPr>
    </w:p>
    <w:bookmarkEnd w:id="1"/>
    <w:p w14:paraId="4DE2717A">
      <w:pPr>
        <w:adjustRightInd w:val="0"/>
        <w:snapToGrid w:val="0"/>
        <w:spacing w:line="288" w:lineRule="auto"/>
        <w:jc w:val="center"/>
        <w:rPr>
          <w:rFonts w:eastAsia="楷体_GB2312"/>
          <w:color w:val="auto"/>
          <w:sz w:val="36"/>
          <w:szCs w:val="36"/>
          <w:highlight w:val="none"/>
        </w:rPr>
      </w:pPr>
      <w:r>
        <w:rPr>
          <w:rFonts w:eastAsia="楷体_GB2312"/>
          <w:color w:val="auto"/>
          <w:sz w:val="36"/>
          <w:szCs w:val="36"/>
          <w:highlight w:val="none"/>
        </w:rPr>
        <w:t>中华人民共和国生态环境部制</w:t>
      </w:r>
    </w:p>
    <w:p w14:paraId="3C0F4C1D">
      <w:pPr>
        <w:adjustRightInd w:val="0"/>
        <w:snapToGrid w:val="0"/>
        <w:spacing w:line="288" w:lineRule="auto"/>
        <w:ind w:firstLine="1040"/>
        <w:rPr>
          <w:rFonts w:eastAsia="仿宋_GB2312"/>
          <w:color w:val="auto"/>
          <w:sz w:val="36"/>
          <w:szCs w:val="36"/>
          <w:highlight w:val="none"/>
        </w:rPr>
      </w:pPr>
    </w:p>
    <w:p w14:paraId="5F41A8D2">
      <w:pPr>
        <w:pStyle w:val="2"/>
        <w:rPr>
          <w:rFonts w:eastAsia="仿宋_GB2312"/>
          <w:color w:val="auto"/>
          <w:sz w:val="36"/>
          <w:szCs w:val="36"/>
          <w:highlight w:val="none"/>
        </w:rPr>
      </w:pPr>
    </w:p>
    <w:p w14:paraId="5D807616">
      <w:pPr>
        <w:pStyle w:val="3"/>
        <w:rPr>
          <w:rFonts w:eastAsia="仿宋_GB2312"/>
          <w:color w:val="auto"/>
          <w:sz w:val="36"/>
          <w:szCs w:val="36"/>
          <w:highlight w:val="none"/>
        </w:rPr>
      </w:pPr>
    </w:p>
    <w:p w14:paraId="76247AD0">
      <w:pPr>
        <w:pStyle w:val="2"/>
        <w:rPr>
          <w:rFonts w:eastAsia="仿宋_GB2312"/>
          <w:color w:val="auto"/>
          <w:sz w:val="36"/>
          <w:szCs w:val="36"/>
          <w:highlight w:val="none"/>
        </w:rPr>
      </w:pPr>
    </w:p>
    <w:p w14:paraId="37495AEC">
      <w:pPr>
        <w:pStyle w:val="3"/>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start="3"/>
          <w:cols w:space="720" w:num="1"/>
          <w:docGrid w:linePitch="312" w:charSpace="0"/>
        </w:sectPr>
      </w:pPr>
      <w:bookmarkStart w:id="21" w:name="_GoBack"/>
      <w:bookmarkEnd w:id="21"/>
    </w:p>
    <w:p w14:paraId="22929C01">
      <w:pPr>
        <w:keepNext w:val="0"/>
        <w:keepLines w:val="0"/>
        <w:pageBreakBefore w:val="0"/>
        <w:kinsoku/>
        <w:wordWrap/>
        <w:overflowPunct/>
        <w:topLinePunct w:val="0"/>
        <w:autoSpaceDE/>
        <w:autoSpaceDN/>
        <w:bidi w:val="0"/>
        <w:adjustRightInd/>
        <w:spacing w:before="0" w:after="0" w:line="360" w:lineRule="auto"/>
        <w:ind w:left="0" w:leftChars="0" w:right="0" w:rightChars="0" w:firstLine="0" w:firstLineChars="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目</w:t>
      </w:r>
      <w:r>
        <w:rPr>
          <w:rFonts w:hint="eastAsia" w:cs="Times New Roman"/>
          <w:b/>
          <w:bCs/>
          <w:color w:val="auto"/>
          <w:sz w:val="24"/>
          <w:szCs w:val="24"/>
          <w:highlight w:val="none"/>
          <w:lang w:val="en-US" w:eastAsia="zh-CN"/>
        </w:rPr>
        <w:t xml:space="preserve"> </w:t>
      </w:r>
      <w:r>
        <w:rPr>
          <w:rFonts w:hint="default" w:ascii="Times New Roman" w:hAnsi="Times New Roman" w:eastAsia="宋体" w:cs="Times New Roman"/>
          <w:b/>
          <w:bCs/>
          <w:color w:val="auto"/>
          <w:sz w:val="24"/>
          <w:szCs w:val="24"/>
          <w:highlight w:val="none"/>
        </w:rPr>
        <w:t>录</w:t>
      </w:r>
    </w:p>
    <w:p w14:paraId="53ECCA3F">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TOC \o "1-1" \h \u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_Toc8951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一、建设项目基本情况</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_Toc8951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1</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28D1F5CF">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_Toc20495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二、建设项目工程分析</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_Toc20495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27</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60DCDBBF">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_Toc7385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三、区域环境质量现状、环境保护目标及评价标准</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_Toc7385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50</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41BCE870">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_Toc16631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四、主要环境影响和保护措施</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_Toc16631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56</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73C4F253">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_Toc24863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lang w:val="en-US" w:eastAsia="zh-CN"/>
        </w:rPr>
        <w:t>五、</w:t>
      </w:r>
      <w:r>
        <w:rPr>
          <w:rFonts w:hint="default" w:ascii="Times New Roman" w:hAnsi="Times New Roman" w:eastAsia="宋体" w:cs="Times New Roman"/>
          <w:color w:val="auto"/>
          <w:sz w:val="24"/>
          <w:szCs w:val="24"/>
          <w:highlight w:val="none"/>
        </w:rPr>
        <w:t>环境保护措施监督检查清单</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_Toc24863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73</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66E7ECB8">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_Toc5970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六、结论</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_Toc5970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75</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014D9FC2">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HYPERLINK \l _Toc15395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附表</w:t>
      </w:r>
      <w:r>
        <w:rPr>
          <w:rFonts w:hint="default" w:ascii="Times New Roman" w:hAnsi="Times New Roman" w:eastAsia="宋体" w:cs="Times New Roman"/>
          <w:color w:val="auto"/>
          <w:sz w:val="24"/>
          <w:szCs w:val="24"/>
          <w:highlight w:val="none"/>
        </w:rPr>
        <w:tab/>
      </w:r>
      <w:r>
        <w:rPr>
          <w:rFonts w:hint="default" w:ascii="Times New Roman" w:hAnsi="Times New Roman" w:eastAsia="宋体" w:cs="Times New Roman"/>
          <w:color w:val="auto"/>
          <w:sz w:val="24"/>
          <w:szCs w:val="24"/>
          <w:highlight w:val="none"/>
        </w:rPr>
        <w:fldChar w:fldCharType="begin"/>
      </w:r>
      <w:r>
        <w:rPr>
          <w:rFonts w:hint="default" w:ascii="Times New Roman" w:hAnsi="Times New Roman" w:eastAsia="宋体" w:cs="Times New Roman"/>
          <w:color w:val="auto"/>
          <w:sz w:val="24"/>
          <w:szCs w:val="24"/>
          <w:highlight w:val="none"/>
        </w:rPr>
        <w:instrText xml:space="preserve"> PAGEREF _Toc15395 \h </w:instrText>
      </w:r>
      <w:r>
        <w:rPr>
          <w:rFonts w:hint="default" w:ascii="Times New Roman" w:hAnsi="Times New Roman" w:eastAsia="宋体" w:cs="Times New Roman"/>
          <w:color w:val="auto"/>
          <w:sz w:val="24"/>
          <w:szCs w:val="24"/>
          <w:highlight w:val="none"/>
        </w:rPr>
        <w:fldChar w:fldCharType="separate"/>
      </w:r>
      <w:r>
        <w:rPr>
          <w:rFonts w:hint="default" w:ascii="Times New Roman" w:hAnsi="Times New Roman" w:eastAsia="宋体" w:cs="Times New Roman"/>
          <w:color w:val="auto"/>
          <w:sz w:val="24"/>
          <w:szCs w:val="24"/>
          <w:highlight w:val="none"/>
        </w:rPr>
        <w:t>76</w:t>
      </w:r>
      <w:r>
        <w:rPr>
          <w:rFonts w:hint="default" w:ascii="Times New Roman" w:hAnsi="Times New Roman" w:eastAsia="宋体" w:cs="Times New Roman"/>
          <w:color w:val="auto"/>
          <w:sz w:val="24"/>
          <w:szCs w:val="24"/>
          <w:highlight w:val="none"/>
        </w:rPr>
        <w:fldChar w:fldCharType="end"/>
      </w:r>
      <w:r>
        <w:rPr>
          <w:rFonts w:hint="default" w:ascii="Times New Roman" w:hAnsi="Times New Roman" w:eastAsia="宋体" w:cs="Times New Roman"/>
          <w:color w:val="auto"/>
          <w:sz w:val="24"/>
          <w:szCs w:val="24"/>
          <w:highlight w:val="none"/>
        </w:rPr>
        <w:fldChar w:fldCharType="end"/>
      </w:r>
    </w:p>
    <w:p w14:paraId="10BE4B9D">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fldChar w:fldCharType="end"/>
      </w:r>
    </w:p>
    <w:p w14:paraId="588274DA">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cs="Times New Roman"/>
          <w:color w:val="auto"/>
          <w:sz w:val="24"/>
          <w:szCs w:val="24"/>
          <w:highlight w:val="none"/>
        </w:rPr>
      </w:pPr>
    </w:p>
    <w:p w14:paraId="7EF058BB">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cs="Times New Roman"/>
          <w:color w:val="auto"/>
          <w:sz w:val="24"/>
          <w:szCs w:val="24"/>
          <w:highlight w:val="none"/>
        </w:rPr>
      </w:pPr>
    </w:p>
    <w:p w14:paraId="38600FFD">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w:t>
      </w:r>
    </w:p>
    <w:p w14:paraId="3AC4C8CC">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附图1：项目地理位置图</w:t>
      </w:r>
    </w:p>
    <w:p w14:paraId="6999313B">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附图2：项目周边关系图</w:t>
      </w:r>
    </w:p>
    <w:p w14:paraId="07978547">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附图3：</w:t>
      </w:r>
      <w:r>
        <w:rPr>
          <w:rFonts w:hint="eastAsia" w:cs="Times New Roman"/>
          <w:color w:val="auto"/>
          <w:sz w:val="24"/>
          <w:szCs w:val="24"/>
          <w:highlight w:val="none"/>
          <w:lang w:val="en-US" w:eastAsia="zh-CN"/>
        </w:rPr>
        <w:t>项目</w:t>
      </w:r>
      <w:r>
        <w:rPr>
          <w:rFonts w:hint="default" w:ascii="Times New Roman" w:hAnsi="Times New Roman" w:eastAsia="宋体" w:cs="Times New Roman"/>
          <w:color w:val="auto"/>
          <w:sz w:val="24"/>
          <w:szCs w:val="24"/>
          <w:highlight w:val="none"/>
        </w:rPr>
        <w:t>平面布置图</w:t>
      </w:r>
    </w:p>
    <w:p w14:paraId="19AAE4E1">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附图4：</w:t>
      </w:r>
      <w:r>
        <w:rPr>
          <w:rFonts w:hint="eastAsia" w:ascii="Times New Roman" w:hAnsi="Times New Roman" w:eastAsia="宋体" w:cs="Times New Roman"/>
          <w:color w:val="auto"/>
          <w:sz w:val="24"/>
          <w:szCs w:val="24"/>
          <w:highlight w:val="none"/>
          <w:lang w:eastAsia="zh-CN"/>
        </w:rPr>
        <w:t>河北行唐经济开发区(南区)用地布局规划图</w:t>
      </w:r>
    </w:p>
    <w:p w14:paraId="7C96DDF0">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eastAsia" w:ascii="Times New Roman" w:hAnsi="Times New Roman" w:eastAsia="宋体" w:cs="Times New Roman"/>
          <w:b/>
          <w:bCs/>
          <w:color w:val="auto"/>
          <w:sz w:val="28"/>
          <w:szCs w:val="28"/>
          <w:highlight w:val="none"/>
          <w:lang w:eastAsia="zh-CN"/>
        </w:rPr>
      </w:pPr>
      <w:r>
        <w:rPr>
          <w:rFonts w:hint="default" w:ascii="Times New Roman" w:hAnsi="Times New Roman" w:eastAsia="宋体" w:cs="Times New Roman"/>
          <w:color w:val="auto"/>
          <w:sz w:val="24"/>
          <w:szCs w:val="24"/>
          <w:highlight w:val="none"/>
        </w:rPr>
        <w:t>附图5：</w:t>
      </w:r>
      <w:r>
        <w:rPr>
          <w:rFonts w:hint="eastAsia" w:ascii="Times New Roman" w:hAnsi="Times New Roman" w:eastAsia="宋体" w:cs="Times New Roman"/>
          <w:color w:val="auto"/>
          <w:sz w:val="24"/>
          <w:szCs w:val="24"/>
          <w:highlight w:val="none"/>
          <w:lang w:val="en-US" w:eastAsia="zh-CN"/>
        </w:rPr>
        <w:t>河北行唐经济开发区(南区)产业布局规划图</w:t>
      </w:r>
    </w:p>
    <w:p w14:paraId="46B8C765">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附图6：</w:t>
      </w:r>
      <w:r>
        <w:rPr>
          <w:rFonts w:hint="eastAsia" w:cs="Times New Roman"/>
          <w:color w:val="auto"/>
          <w:sz w:val="24"/>
          <w:szCs w:val="24"/>
          <w:highlight w:val="none"/>
          <w:lang w:val="en-US" w:eastAsia="zh-CN"/>
        </w:rPr>
        <w:t>项目生态红线图</w:t>
      </w:r>
    </w:p>
    <w:p w14:paraId="7FF83158">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附图7：</w:t>
      </w:r>
      <w:r>
        <w:rPr>
          <w:rFonts w:hint="default" w:ascii="Times New Roman" w:hAnsi="Times New Roman" w:eastAsia="宋体" w:cs="Times New Roman"/>
          <w:color w:val="auto"/>
          <w:sz w:val="24"/>
          <w:szCs w:val="24"/>
          <w:highlight w:val="none"/>
        </w:rPr>
        <w:t>石家庄市环境管控单元分布图</w:t>
      </w:r>
    </w:p>
    <w:p w14:paraId="1DD393F4">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附图8：其他附图</w:t>
      </w:r>
    </w:p>
    <w:p w14:paraId="3AD6ECC5">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p>
    <w:p w14:paraId="547F04D5">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附件：</w:t>
      </w:r>
    </w:p>
    <w:p w14:paraId="0E08A593">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附件1：</w:t>
      </w:r>
      <w:r>
        <w:rPr>
          <w:rFonts w:hint="eastAsia" w:cs="Times New Roman"/>
          <w:color w:val="auto"/>
          <w:sz w:val="24"/>
          <w:szCs w:val="24"/>
          <w:highlight w:val="none"/>
          <w:lang w:val="en-US" w:eastAsia="zh-CN"/>
        </w:rPr>
        <w:t>营业执照</w:t>
      </w:r>
    </w:p>
    <w:p w14:paraId="69B69782">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附件2：</w:t>
      </w:r>
      <w:r>
        <w:rPr>
          <w:rFonts w:hint="eastAsia" w:ascii="Times New Roman" w:hAnsi="Times New Roman" w:eastAsia="宋体" w:cs="Times New Roman"/>
          <w:color w:val="auto"/>
          <w:sz w:val="24"/>
          <w:szCs w:val="24"/>
          <w:highlight w:val="none"/>
          <w:lang w:val="en-US" w:eastAsia="zh-CN"/>
        </w:rPr>
        <w:t>企业投资项目备案信息</w:t>
      </w:r>
    </w:p>
    <w:p w14:paraId="59275767">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rPr>
        <w:t>附件3：</w:t>
      </w:r>
      <w:r>
        <w:rPr>
          <w:rFonts w:hint="eastAsia" w:cs="Times New Roman"/>
          <w:color w:val="auto"/>
          <w:sz w:val="24"/>
          <w:szCs w:val="24"/>
          <w:highlight w:val="none"/>
          <w:lang w:val="en-US" w:eastAsia="zh-CN"/>
        </w:rPr>
        <w:t>建设用地规划许可证</w:t>
      </w:r>
    </w:p>
    <w:p w14:paraId="230D9883">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附件4：</w:t>
      </w:r>
      <w:r>
        <w:rPr>
          <w:rFonts w:hint="eastAsia" w:cs="Times New Roman"/>
          <w:color w:val="auto"/>
          <w:sz w:val="24"/>
          <w:szCs w:val="24"/>
          <w:highlight w:val="none"/>
          <w:lang w:val="en-US" w:eastAsia="zh-CN"/>
        </w:rPr>
        <w:t>园区规划环评审查意见、</w:t>
      </w:r>
      <w:r>
        <w:rPr>
          <w:rFonts w:hint="eastAsia" w:ascii="Times New Roman" w:hAnsi="Times New Roman" w:eastAsia="宋体" w:cs="Times New Roman"/>
          <w:color w:val="auto"/>
          <w:sz w:val="24"/>
          <w:szCs w:val="24"/>
          <w:highlight w:val="none"/>
          <w:lang w:val="en-US" w:eastAsia="zh-CN"/>
        </w:rPr>
        <w:t>现有工程环境影响评价批复文件</w:t>
      </w:r>
      <w:r>
        <w:rPr>
          <w:rFonts w:hint="eastAsia" w:ascii="Times New Roman" w:hAnsi="Times New Roman" w:cs="Times New Roman"/>
          <w:color w:val="auto"/>
          <w:sz w:val="24"/>
          <w:szCs w:val="24"/>
          <w:highlight w:val="none"/>
          <w:lang w:val="en-US" w:eastAsia="zh-CN"/>
        </w:rPr>
        <w:t>及验收意见</w:t>
      </w:r>
    </w:p>
    <w:p w14:paraId="4D8A0ECD">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eastAsia"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附件5：</w:t>
      </w:r>
      <w:r>
        <w:rPr>
          <w:rFonts w:hint="eastAsia" w:cs="Times New Roman"/>
          <w:color w:val="auto"/>
          <w:sz w:val="24"/>
          <w:szCs w:val="24"/>
          <w:highlight w:val="none"/>
          <w:lang w:val="en-US" w:eastAsia="zh-CN"/>
        </w:rPr>
        <w:t>行唐经济开发区规划审查意见</w:t>
      </w:r>
    </w:p>
    <w:p w14:paraId="3577BECD">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附件6：</w:t>
      </w:r>
      <w:r>
        <w:rPr>
          <w:rFonts w:hint="eastAsia" w:cs="Times New Roman"/>
          <w:color w:val="auto"/>
          <w:sz w:val="24"/>
          <w:szCs w:val="24"/>
          <w:highlight w:val="none"/>
          <w:lang w:val="en-US" w:eastAsia="zh-CN"/>
        </w:rPr>
        <w:t>现有项目验收意见</w:t>
      </w:r>
    </w:p>
    <w:p w14:paraId="03080FBB">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附件</w:t>
      </w:r>
      <w:r>
        <w:rPr>
          <w:rFonts w:hint="eastAsia" w:cs="Times New Roman"/>
          <w:color w:val="auto"/>
          <w:sz w:val="24"/>
          <w:szCs w:val="24"/>
          <w:highlight w:val="none"/>
          <w:lang w:val="en-US" w:eastAsia="zh-CN"/>
        </w:rPr>
        <w:t>7</w:t>
      </w:r>
      <w:r>
        <w:rPr>
          <w:rFonts w:hint="eastAsia" w:ascii="Times New Roman" w:hAnsi="Times New Roman" w:eastAsia="宋体" w:cs="Times New Roman"/>
          <w:color w:val="auto"/>
          <w:sz w:val="24"/>
          <w:szCs w:val="24"/>
          <w:highlight w:val="none"/>
          <w:lang w:val="en-US" w:eastAsia="zh-CN"/>
        </w:rPr>
        <w:t>：其他附件</w:t>
      </w:r>
    </w:p>
    <w:p w14:paraId="4EDD115C">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eastAsia" w:ascii="Times New Roman" w:hAnsi="Times New Roman" w:eastAsia="宋体" w:cs="Times New Roman"/>
          <w:color w:val="auto"/>
          <w:sz w:val="24"/>
          <w:szCs w:val="24"/>
          <w:highlight w:val="none"/>
          <w:lang w:val="en-US" w:eastAsia="zh-CN"/>
        </w:rPr>
      </w:pPr>
    </w:p>
    <w:p w14:paraId="2C8B251A">
      <w:pPr>
        <w:pStyle w:val="107"/>
        <w:keepNext w:val="0"/>
        <w:keepLines w:val="0"/>
        <w:pageBreakBefore w:val="0"/>
        <w:tabs>
          <w:tab w:val="right" w:leader="dot" w:pos="8844"/>
        </w:tabs>
        <w:kinsoku/>
        <w:wordWrap/>
        <w:overflowPunct/>
        <w:topLinePunct w:val="0"/>
        <w:autoSpaceDE/>
        <w:autoSpaceDN/>
        <w:bidi w:val="0"/>
        <w:adjustRightInd/>
        <w:spacing w:line="360" w:lineRule="auto"/>
        <w:ind w:right="0"/>
        <w:textAlignment w:val="auto"/>
        <w:rPr>
          <w:rFonts w:hint="default" w:ascii="Times New Roman" w:hAnsi="Times New Roman" w:eastAsia="宋体" w:cs="Times New Roman"/>
          <w:color w:val="auto"/>
          <w:sz w:val="24"/>
          <w:szCs w:val="24"/>
          <w:highlight w:val="none"/>
          <w:lang w:val="en-US" w:eastAsia="zh-CN"/>
        </w:rPr>
        <w:sectPr>
          <w:pgSz w:w="11906" w:h="16838"/>
          <w:pgMar w:top="1701" w:right="1531" w:bottom="1701" w:left="1531" w:header="851" w:footer="1077" w:gutter="0"/>
          <w:pgBorders>
            <w:top w:val="none" w:sz="0" w:space="0"/>
            <w:left w:val="none" w:sz="0" w:space="0"/>
            <w:bottom w:val="none" w:sz="0" w:space="0"/>
            <w:right w:val="none" w:sz="0" w:space="0"/>
          </w:pgBorders>
          <w:pgNumType w:start="3"/>
          <w:cols w:space="720" w:num="1"/>
          <w:docGrid w:linePitch="312" w:charSpace="0"/>
        </w:sectPr>
      </w:pPr>
    </w:p>
    <w:p w14:paraId="180A287A">
      <w:pPr>
        <w:pStyle w:val="30"/>
        <w:jc w:val="center"/>
        <w:outlineLvl w:val="0"/>
        <w:rPr>
          <w:rFonts w:ascii="Times New Roman" w:hAnsi="Times New Roman" w:eastAsia="黑体"/>
          <w:snapToGrid w:val="0"/>
          <w:color w:val="auto"/>
          <w:sz w:val="30"/>
          <w:szCs w:val="30"/>
          <w:highlight w:val="none"/>
        </w:rPr>
      </w:pPr>
      <w:bookmarkStart w:id="2" w:name="_Toc8951"/>
      <w:r>
        <w:rPr>
          <w:rFonts w:ascii="Times New Roman" w:hAnsi="Times New Roman" w:eastAsia="黑体"/>
          <w:snapToGrid w:val="0"/>
          <w:color w:val="auto"/>
          <w:sz w:val="30"/>
          <w:szCs w:val="30"/>
          <w:highlight w:val="none"/>
        </w:rPr>
        <w:t>一、建设项目基本情况</w:t>
      </w:r>
      <w:bookmarkEnd w:id="2"/>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179"/>
        <w:gridCol w:w="2360"/>
        <w:gridCol w:w="58"/>
        <w:gridCol w:w="1915"/>
        <w:gridCol w:w="309"/>
        <w:gridCol w:w="3049"/>
      </w:tblGrid>
      <w:tr w14:paraId="2D8CCA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46" w:hRule="atLeast"/>
          <w:jc w:val="center"/>
        </w:trPr>
        <w:tc>
          <w:tcPr>
            <w:tcW w:w="1179" w:type="dxa"/>
            <w:noWrap w:val="0"/>
            <w:tcMar>
              <w:top w:w="16" w:type="dxa"/>
              <w:left w:w="16" w:type="dxa"/>
              <w:right w:w="16" w:type="dxa"/>
            </w:tcMar>
            <w:vAlign w:val="center"/>
          </w:tcPr>
          <w:p w14:paraId="43D95C42">
            <w:pPr>
              <w:adjustRightInd w:val="0"/>
              <w:snapToGrid w:val="0"/>
              <w:jc w:val="center"/>
              <w:rPr>
                <w:color w:val="auto"/>
                <w:sz w:val="24"/>
                <w:highlight w:val="none"/>
              </w:rPr>
            </w:pPr>
            <w:r>
              <w:rPr>
                <w:color w:val="auto"/>
                <w:sz w:val="24"/>
                <w:highlight w:val="none"/>
              </w:rPr>
              <w:t>建设项目名称</w:t>
            </w:r>
          </w:p>
        </w:tc>
        <w:tc>
          <w:tcPr>
            <w:tcW w:w="7691" w:type="dxa"/>
            <w:gridSpan w:val="5"/>
            <w:noWrap w:val="0"/>
            <w:vAlign w:val="center"/>
          </w:tcPr>
          <w:p w14:paraId="29C7311D">
            <w:pPr>
              <w:adjustRightInd w:val="0"/>
              <w:snapToGrid w:val="0"/>
              <w:jc w:val="center"/>
              <w:rPr>
                <w:color w:val="auto"/>
                <w:sz w:val="24"/>
                <w:highlight w:val="none"/>
              </w:rPr>
            </w:pPr>
            <w:r>
              <w:rPr>
                <w:rFonts w:hint="eastAsia" w:ascii="Times New Roman" w:hAnsi="Times New Roman" w:cs="Times New Roman"/>
                <w:color w:val="auto"/>
                <w:sz w:val="24"/>
                <w:szCs w:val="24"/>
                <w:highlight w:val="none"/>
                <w:lang w:eastAsia="zh-CN"/>
              </w:rPr>
              <w:t>年产 5400 吨汽车制动鼓制动盘喷漆线技改项目</w:t>
            </w:r>
          </w:p>
        </w:tc>
      </w:tr>
      <w:tr w14:paraId="6CF087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179" w:type="dxa"/>
            <w:noWrap w:val="0"/>
            <w:tcMar>
              <w:top w:w="16" w:type="dxa"/>
              <w:left w:w="16" w:type="dxa"/>
              <w:right w:w="16" w:type="dxa"/>
            </w:tcMar>
            <w:vAlign w:val="center"/>
          </w:tcPr>
          <w:p w14:paraId="4E22B975">
            <w:pPr>
              <w:adjustRightInd w:val="0"/>
              <w:snapToGrid w:val="0"/>
              <w:jc w:val="center"/>
              <w:rPr>
                <w:color w:val="auto"/>
                <w:sz w:val="24"/>
                <w:highlight w:val="none"/>
              </w:rPr>
            </w:pPr>
            <w:r>
              <w:rPr>
                <w:color w:val="auto"/>
                <w:sz w:val="24"/>
                <w:highlight w:val="none"/>
              </w:rPr>
              <w:t>项目代码</w:t>
            </w:r>
          </w:p>
        </w:tc>
        <w:tc>
          <w:tcPr>
            <w:tcW w:w="7691" w:type="dxa"/>
            <w:gridSpan w:val="5"/>
            <w:noWrap w:val="0"/>
            <w:vAlign w:val="center"/>
          </w:tcPr>
          <w:p w14:paraId="3BC381B2">
            <w:pPr>
              <w:adjustRightInd w:val="0"/>
              <w:snapToGrid w:val="0"/>
              <w:jc w:val="center"/>
              <w:rPr>
                <w:rFonts w:hint="default"/>
                <w:color w:val="auto"/>
                <w:sz w:val="24"/>
                <w:highlight w:val="none"/>
                <w:lang w:val="en-US"/>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2604-130125-89-02-292523</w:t>
            </w:r>
          </w:p>
        </w:tc>
      </w:tr>
      <w:tr w14:paraId="376DA0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179" w:type="dxa"/>
            <w:noWrap w:val="0"/>
            <w:tcMar>
              <w:top w:w="16" w:type="dxa"/>
              <w:left w:w="16" w:type="dxa"/>
              <w:right w:w="16" w:type="dxa"/>
            </w:tcMar>
            <w:vAlign w:val="center"/>
          </w:tcPr>
          <w:p w14:paraId="1838300A">
            <w:pPr>
              <w:adjustRightInd w:val="0"/>
              <w:snapToGrid w:val="0"/>
              <w:jc w:val="center"/>
              <w:rPr>
                <w:color w:val="auto"/>
                <w:sz w:val="24"/>
                <w:highlight w:val="none"/>
              </w:rPr>
            </w:pPr>
            <w:r>
              <w:rPr>
                <w:color w:val="auto"/>
                <w:sz w:val="24"/>
                <w:highlight w:val="none"/>
              </w:rPr>
              <w:t>建设单位联系人</w:t>
            </w:r>
          </w:p>
        </w:tc>
        <w:tc>
          <w:tcPr>
            <w:tcW w:w="2418" w:type="dxa"/>
            <w:gridSpan w:val="2"/>
            <w:noWrap w:val="0"/>
            <w:vAlign w:val="center"/>
          </w:tcPr>
          <w:p w14:paraId="6173E3A5">
            <w:pPr>
              <w:adjustRightInd w:val="0"/>
              <w:snapToGrid w:val="0"/>
              <w:jc w:val="center"/>
              <w:rPr>
                <w:rFonts w:hint="default"/>
                <w:color w:val="auto"/>
                <w:sz w:val="24"/>
                <w:highlight w:val="none"/>
                <w:lang w:val="en-US"/>
              </w:rPr>
            </w:pPr>
            <w:r>
              <w:rPr>
                <w:rFonts w:hint="eastAsia" w:cs="Times New Roman"/>
                <w:color w:val="auto"/>
                <w:sz w:val="24"/>
                <w:highlight w:val="none"/>
                <w:lang w:val="en-US" w:eastAsia="zh-CN"/>
              </w:rPr>
              <w:t>祁龙飞</w:t>
            </w:r>
          </w:p>
        </w:tc>
        <w:tc>
          <w:tcPr>
            <w:tcW w:w="1915" w:type="dxa"/>
            <w:noWrap w:val="0"/>
            <w:vAlign w:val="center"/>
          </w:tcPr>
          <w:p w14:paraId="18E41E22">
            <w:pPr>
              <w:adjustRightInd w:val="0"/>
              <w:snapToGrid w:val="0"/>
              <w:jc w:val="center"/>
              <w:rPr>
                <w:rFonts w:hint="eastAsia"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联系方式</w:t>
            </w:r>
          </w:p>
        </w:tc>
        <w:tc>
          <w:tcPr>
            <w:tcW w:w="3358" w:type="dxa"/>
            <w:gridSpan w:val="2"/>
            <w:noWrap w:val="0"/>
            <w:vAlign w:val="center"/>
          </w:tcPr>
          <w:p w14:paraId="6EB15C13">
            <w:pPr>
              <w:adjustRightInd w:val="0"/>
              <w:snapToGrid w:val="0"/>
              <w:jc w:val="center"/>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13832133635</w:t>
            </w:r>
          </w:p>
        </w:tc>
      </w:tr>
      <w:tr w14:paraId="06AC7D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3" w:hRule="atLeast"/>
          <w:jc w:val="center"/>
        </w:trPr>
        <w:tc>
          <w:tcPr>
            <w:tcW w:w="1179" w:type="dxa"/>
            <w:noWrap w:val="0"/>
            <w:tcMar>
              <w:top w:w="16" w:type="dxa"/>
              <w:left w:w="16" w:type="dxa"/>
              <w:right w:w="16" w:type="dxa"/>
            </w:tcMar>
            <w:vAlign w:val="center"/>
          </w:tcPr>
          <w:p w14:paraId="29A39A88">
            <w:pPr>
              <w:adjustRightInd w:val="0"/>
              <w:snapToGrid w:val="0"/>
              <w:jc w:val="center"/>
              <w:rPr>
                <w:color w:val="auto"/>
                <w:sz w:val="24"/>
                <w:highlight w:val="none"/>
              </w:rPr>
            </w:pPr>
            <w:r>
              <w:rPr>
                <w:color w:val="auto"/>
                <w:sz w:val="24"/>
                <w:highlight w:val="none"/>
              </w:rPr>
              <w:t>建设地点</w:t>
            </w:r>
          </w:p>
        </w:tc>
        <w:tc>
          <w:tcPr>
            <w:tcW w:w="7691" w:type="dxa"/>
            <w:gridSpan w:val="5"/>
            <w:noWrap w:val="0"/>
            <w:vAlign w:val="center"/>
          </w:tcPr>
          <w:p w14:paraId="1947E1CE">
            <w:pPr>
              <w:adjustRightInd w:val="0"/>
              <w:snapToGrid w:val="0"/>
              <w:spacing w:line="288" w:lineRule="auto"/>
              <w:ind w:firstLine="480" w:firstLineChars="200"/>
              <w:rPr>
                <w:rFonts w:hint="default"/>
                <w:color w:val="auto"/>
                <w:sz w:val="24"/>
                <w:highlight w:val="none"/>
                <w:lang w:val="en-US"/>
              </w:rPr>
            </w:pPr>
            <w:r>
              <w:rPr>
                <w:color w:val="auto"/>
                <w:sz w:val="24"/>
                <w:highlight w:val="none"/>
                <w:u w:val="none"/>
              </w:rPr>
              <w:t>河北省石家庄市行唐县</w:t>
            </w:r>
            <w:r>
              <w:rPr>
                <w:rFonts w:hint="eastAsia" w:ascii="Times New Roman" w:hAnsi="Times New Roman" w:eastAsia="宋体" w:cs="Times New Roman"/>
                <w:color w:val="auto"/>
                <w:sz w:val="24"/>
                <w:highlight w:val="none"/>
                <w:u w:val="none"/>
                <w:lang w:val="en-US" w:eastAsia="zh-CN"/>
              </w:rPr>
              <w:t>河北行唐经济开发区南区</w:t>
            </w:r>
            <w:r>
              <w:rPr>
                <w:rFonts w:hint="eastAsia" w:cs="Times New Roman"/>
                <w:color w:val="auto"/>
                <w:sz w:val="24"/>
                <w:highlight w:val="none"/>
                <w:u w:val="none"/>
                <w:lang w:val="en-US" w:eastAsia="zh-CN"/>
              </w:rPr>
              <w:t>胜利大街北侧、玉晶路西侧</w:t>
            </w:r>
          </w:p>
        </w:tc>
      </w:tr>
      <w:tr w14:paraId="03BA7F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179" w:type="dxa"/>
            <w:noWrap w:val="0"/>
            <w:tcMar>
              <w:top w:w="16" w:type="dxa"/>
              <w:left w:w="16" w:type="dxa"/>
              <w:right w:w="16" w:type="dxa"/>
            </w:tcMar>
            <w:vAlign w:val="center"/>
          </w:tcPr>
          <w:p w14:paraId="2AA3E4FC">
            <w:pPr>
              <w:adjustRightInd w:val="0"/>
              <w:snapToGrid w:val="0"/>
              <w:jc w:val="center"/>
              <w:rPr>
                <w:color w:val="auto"/>
                <w:sz w:val="24"/>
                <w:highlight w:val="none"/>
              </w:rPr>
            </w:pPr>
            <w:r>
              <w:rPr>
                <w:color w:val="auto"/>
                <w:sz w:val="24"/>
                <w:highlight w:val="none"/>
              </w:rPr>
              <w:t>地理坐标</w:t>
            </w:r>
          </w:p>
        </w:tc>
        <w:tc>
          <w:tcPr>
            <w:tcW w:w="7691" w:type="dxa"/>
            <w:gridSpan w:val="5"/>
            <w:noWrap w:val="0"/>
            <w:vAlign w:val="center"/>
          </w:tcPr>
          <w:p w14:paraId="709D3D62">
            <w:pPr>
              <w:jc w:val="center"/>
              <w:rPr>
                <w:color w:val="auto"/>
                <w:sz w:val="24"/>
                <w:highlight w:val="none"/>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114</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 xml:space="preserve"> 度 </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30</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 xml:space="preserve"> 分</w:t>
            </w:r>
            <w:r>
              <w:rPr>
                <w:rFonts w:hint="eastAsia" w:cs="Times New Roman"/>
                <w:color w:val="000000" w:themeColor="text1"/>
                <w:sz w:val="24"/>
                <w:highlight w:val="none"/>
                <w:lang w:val="en-US" w:eastAsia="zh-CN"/>
                <w14:textFill>
                  <w14:solidFill>
                    <w14:schemeClr w14:val="tx1"/>
                  </w14:solidFill>
                </w14:textFill>
              </w:rPr>
              <w:t>56.277</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 xml:space="preserve"> 秒， </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38</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 xml:space="preserve"> 度 2</w:t>
            </w:r>
            <w:r>
              <w:rPr>
                <w:rFonts w:hint="eastAsia" w:cs="Times New Roman"/>
                <w:color w:val="000000" w:themeColor="text1"/>
                <w:sz w:val="24"/>
                <w:highlight w:val="none"/>
                <w:lang w:val="en-US" w:eastAsia="zh-CN"/>
                <w14:textFill>
                  <w14:solidFill>
                    <w14:schemeClr w14:val="tx1"/>
                  </w14:solidFill>
                </w14:textFill>
              </w:rPr>
              <w:t>3</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 xml:space="preserve"> 分 </w:t>
            </w:r>
            <w:r>
              <w:rPr>
                <w:rFonts w:hint="eastAsia" w:cs="Times New Roman"/>
                <w:color w:val="000000" w:themeColor="text1"/>
                <w:sz w:val="24"/>
                <w:highlight w:val="none"/>
                <w:lang w:val="en-US" w:eastAsia="zh-CN"/>
                <w14:textFill>
                  <w14:solidFill>
                    <w14:schemeClr w14:val="tx1"/>
                  </w14:solidFill>
                </w14:textFill>
              </w:rPr>
              <w:t>38.156</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秒）</w:t>
            </w:r>
          </w:p>
        </w:tc>
      </w:tr>
      <w:tr w14:paraId="5DEDEA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179" w:type="dxa"/>
            <w:noWrap w:val="0"/>
            <w:tcMar>
              <w:top w:w="16" w:type="dxa"/>
              <w:left w:w="16" w:type="dxa"/>
              <w:right w:w="16" w:type="dxa"/>
            </w:tcMar>
            <w:vAlign w:val="center"/>
          </w:tcPr>
          <w:p w14:paraId="2F2153EE">
            <w:pPr>
              <w:adjustRightInd w:val="0"/>
              <w:snapToGrid w:val="0"/>
              <w:jc w:val="center"/>
              <w:rPr>
                <w:color w:val="auto"/>
                <w:sz w:val="24"/>
                <w:highlight w:val="none"/>
              </w:rPr>
            </w:pPr>
            <w:r>
              <w:rPr>
                <w:color w:val="auto"/>
                <w:sz w:val="24"/>
                <w:highlight w:val="none"/>
              </w:rPr>
              <w:t>国民经济</w:t>
            </w:r>
          </w:p>
          <w:p w14:paraId="0023776E">
            <w:pPr>
              <w:adjustRightInd w:val="0"/>
              <w:snapToGrid w:val="0"/>
              <w:jc w:val="center"/>
              <w:rPr>
                <w:color w:val="auto"/>
                <w:sz w:val="24"/>
                <w:highlight w:val="none"/>
              </w:rPr>
            </w:pPr>
            <w:r>
              <w:rPr>
                <w:color w:val="auto"/>
                <w:sz w:val="24"/>
                <w:highlight w:val="none"/>
              </w:rPr>
              <w:t>行业类别</w:t>
            </w:r>
          </w:p>
        </w:tc>
        <w:tc>
          <w:tcPr>
            <w:tcW w:w="2360" w:type="dxa"/>
            <w:noWrap w:val="0"/>
            <w:vAlign w:val="center"/>
          </w:tcPr>
          <w:p w14:paraId="26B23F2C">
            <w:pPr>
              <w:adjustRightInd w:val="0"/>
              <w:snapToGrid w:val="0"/>
              <w:jc w:val="center"/>
              <w:rPr>
                <w:color w:val="auto"/>
                <w:sz w:val="24"/>
                <w:highlight w:val="none"/>
              </w:rPr>
            </w:pPr>
            <w:r>
              <w:rPr>
                <w:rFonts w:hint="default"/>
                <w:color w:val="auto"/>
                <w:sz w:val="24"/>
                <w:szCs w:val="24"/>
                <w:highlight w:val="none"/>
                <w:lang w:val="en-US" w:eastAsia="zh-CN"/>
              </w:rPr>
              <w:t>C3391黑色金属铸造</w:t>
            </w:r>
            <w:r>
              <w:rPr>
                <w:rFonts w:hint="eastAsia"/>
                <w:color w:val="auto"/>
                <w:sz w:val="24"/>
                <w:szCs w:val="24"/>
                <w:highlight w:val="none"/>
                <w:lang w:val="en-US" w:eastAsia="zh-CN"/>
              </w:rPr>
              <w:t>C3670</w:t>
            </w:r>
            <w:r>
              <w:rPr>
                <w:rFonts w:hint="default"/>
                <w:color w:val="auto"/>
                <w:sz w:val="24"/>
                <w:szCs w:val="24"/>
                <w:highlight w:val="none"/>
                <w:lang w:val="en-US" w:eastAsia="zh-CN"/>
              </w:rPr>
              <w:t>汽车零部件及配件制造</w:t>
            </w:r>
          </w:p>
        </w:tc>
        <w:tc>
          <w:tcPr>
            <w:tcW w:w="2282" w:type="dxa"/>
            <w:gridSpan w:val="3"/>
            <w:noWrap w:val="0"/>
            <w:vAlign w:val="center"/>
          </w:tcPr>
          <w:p w14:paraId="2F03FB3E">
            <w:pPr>
              <w:adjustRightInd w:val="0"/>
              <w:snapToGrid w:val="0"/>
              <w:jc w:val="center"/>
              <w:rPr>
                <w:color w:val="auto"/>
                <w:sz w:val="24"/>
                <w:highlight w:val="none"/>
              </w:rPr>
            </w:pPr>
            <w:bookmarkStart w:id="3" w:name="_Hlk49843745"/>
            <w:r>
              <w:rPr>
                <w:color w:val="auto"/>
                <w:sz w:val="24"/>
                <w:highlight w:val="none"/>
              </w:rPr>
              <w:t>建设项目</w:t>
            </w:r>
          </w:p>
          <w:p w14:paraId="7EA1FCE6">
            <w:pPr>
              <w:adjustRightInd w:val="0"/>
              <w:snapToGrid w:val="0"/>
              <w:jc w:val="center"/>
              <w:rPr>
                <w:color w:val="auto"/>
                <w:sz w:val="24"/>
                <w:highlight w:val="none"/>
              </w:rPr>
            </w:pPr>
            <w:r>
              <w:rPr>
                <w:color w:val="auto"/>
                <w:sz w:val="24"/>
                <w:highlight w:val="none"/>
              </w:rPr>
              <w:t>行业类别</w:t>
            </w:r>
            <w:bookmarkEnd w:id="3"/>
          </w:p>
        </w:tc>
        <w:tc>
          <w:tcPr>
            <w:tcW w:w="3049" w:type="dxa"/>
            <w:noWrap w:val="0"/>
            <w:vAlign w:val="center"/>
          </w:tcPr>
          <w:p w14:paraId="5488999C">
            <w:pPr>
              <w:adjustRightInd w:val="0"/>
              <w:snapToGrid w:val="0"/>
              <w:rPr>
                <w:color w:val="auto"/>
                <w:sz w:val="24"/>
                <w:highlight w:val="none"/>
              </w:rPr>
            </w:pPr>
            <w:r>
              <w:rPr>
                <w:rFonts w:hint="eastAsia"/>
                <w:color w:val="auto"/>
                <w:sz w:val="24"/>
                <w:szCs w:val="24"/>
                <w:highlight w:val="none"/>
                <w:lang w:val="en-US" w:eastAsia="zh-CN"/>
              </w:rPr>
              <w:t>三十</w:t>
            </w:r>
            <w:r>
              <w:rPr>
                <w:rFonts w:hint="eastAsia"/>
                <w:color w:val="auto"/>
                <w:sz w:val="24"/>
                <w:szCs w:val="24"/>
                <w:highlight w:val="none"/>
                <w:lang w:eastAsia="zh-CN"/>
              </w:rPr>
              <w:t>、</w:t>
            </w:r>
            <w:r>
              <w:rPr>
                <w:rFonts w:hint="eastAsia"/>
                <w:color w:val="auto"/>
                <w:sz w:val="24"/>
                <w:szCs w:val="24"/>
                <w:highlight w:val="none"/>
                <w:lang w:val="en-US" w:eastAsia="zh-CN"/>
              </w:rPr>
              <w:t>金属制品业 68 铸造及其他金属制品制造339</w:t>
            </w:r>
            <w:r>
              <w:rPr>
                <w:rFonts w:hint="eastAsia"/>
                <w:color w:val="auto"/>
                <w:sz w:val="24"/>
                <w:szCs w:val="24"/>
                <w:highlight w:val="none"/>
              </w:rPr>
              <w:t xml:space="preserve">  其他</w:t>
            </w:r>
          </w:p>
        </w:tc>
      </w:tr>
      <w:tr w14:paraId="5FDE6E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179" w:type="dxa"/>
            <w:noWrap w:val="0"/>
            <w:tcMar>
              <w:top w:w="16" w:type="dxa"/>
              <w:left w:w="16" w:type="dxa"/>
              <w:right w:w="16" w:type="dxa"/>
            </w:tcMar>
            <w:vAlign w:val="center"/>
          </w:tcPr>
          <w:p w14:paraId="20ABBADF">
            <w:pPr>
              <w:adjustRightInd w:val="0"/>
              <w:snapToGrid w:val="0"/>
              <w:jc w:val="center"/>
              <w:rPr>
                <w:color w:val="auto"/>
                <w:sz w:val="24"/>
                <w:highlight w:val="none"/>
              </w:rPr>
            </w:pPr>
            <w:r>
              <w:rPr>
                <w:color w:val="auto"/>
                <w:sz w:val="24"/>
                <w:highlight w:val="none"/>
              </w:rPr>
              <w:t>建设性质</w:t>
            </w:r>
          </w:p>
        </w:tc>
        <w:tc>
          <w:tcPr>
            <w:tcW w:w="2360" w:type="dxa"/>
            <w:noWrap w:val="0"/>
            <w:vAlign w:val="center"/>
          </w:tcPr>
          <w:p w14:paraId="5BC544F5">
            <w:pPr>
              <w:jc w:val="left"/>
              <w:rPr>
                <w:color w:val="auto"/>
                <w:sz w:val="24"/>
                <w:highlight w:val="none"/>
              </w:rPr>
            </w:pPr>
            <w:r>
              <w:rPr>
                <w:rFonts w:hint="eastAsia"/>
                <w:color w:val="auto"/>
                <w:sz w:val="24"/>
                <w:highlight w:val="none"/>
                <w:lang w:eastAsia="zh-CN"/>
              </w:rPr>
              <w:t>□</w:t>
            </w:r>
            <w:r>
              <w:rPr>
                <w:color w:val="auto"/>
                <w:sz w:val="24"/>
                <w:highlight w:val="none"/>
              </w:rPr>
              <w:t>新建（迁建）</w:t>
            </w:r>
          </w:p>
          <w:p w14:paraId="74FB4554">
            <w:pPr>
              <w:jc w:val="left"/>
              <w:rPr>
                <w:color w:val="auto"/>
                <w:sz w:val="24"/>
                <w:highlight w:val="none"/>
              </w:rPr>
            </w:pPr>
            <w:r>
              <w:rPr>
                <w:rFonts w:hint="eastAsia"/>
                <w:color w:val="auto"/>
                <w:sz w:val="24"/>
                <w:highlight w:val="none"/>
                <w:lang w:eastAsia="zh-CN"/>
              </w:rPr>
              <w:t>□</w:t>
            </w:r>
            <w:r>
              <w:rPr>
                <w:color w:val="auto"/>
                <w:sz w:val="24"/>
                <w:highlight w:val="none"/>
              </w:rPr>
              <w:t>改建</w:t>
            </w:r>
          </w:p>
          <w:p w14:paraId="21F0B943">
            <w:pPr>
              <w:jc w:val="left"/>
              <w:rPr>
                <w:color w:val="auto"/>
                <w:sz w:val="24"/>
                <w:highlight w:val="none"/>
              </w:rPr>
            </w:pPr>
            <w:r>
              <w:rPr>
                <w:rFonts w:hint="eastAsia"/>
                <w:color w:val="auto"/>
                <w:sz w:val="24"/>
                <w:highlight w:val="none"/>
                <w:lang w:eastAsia="zh-CN"/>
              </w:rPr>
              <w:t>□</w:t>
            </w:r>
            <w:r>
              <w:rPr>
                <w:color w:val="auto"/>
                <w:sz w:val="24"/>
                <w:highlight w:val="none"/>
              </w:rPr>
              <w:t>扩建</w:t>
            </w:r>
          </w:p>
          <w:p w14:paraId="2DF93EF2">
            <w:pPr>
              <w:jc w:val="left"/>
              <w:rPr>
                <w:color w:val="auto"/>
                <w:sz w:val="24"/>
                <w:highlight w:val="none"/>
              </w:rPr>
            </w:pPr>
            <w:r>
              <w:rPr>
                <w:color w:val="auto"/>
                <w:sz w:val="24"/>
                <w:highlight w:val="none"/>
              </w:rPr>
              <w:sym w:font="Wingdings 2" w:char="0052"/>
            </w:r>
            <w:r>
              <w:rPr>
                <w:color w:val="auto"/>
                <w:sz w:val="24"/>
                <w:highlight w:val="none"/>
              </w:rPr>
              <w:t>技术改造</w:t>
            </w:r>
          </w:p>
        </w:tc>
        <w:tc>
          <w:tcPr>
            <w:tcW w:w="2282" w:type="dxa"/>
            <w:gridSpan w:val="3"/>
            <w:noWrap w:val="0"/>
            <w:vAlign w:val="center"/>
          </w:tcPr>
          <w:p w14:paraId="41B2D4B2">
            <w:pPr>
              <w:adjustRightInd w:val="0"/>
              <w:snapToGrid w:val="0"/>
              <w:jc w:val="center"/>
              <w:rPr>
                <w:color w:val="auto"/>
                <w:sz w:val="24"/>
                <w:highlight w:val="none"/>
              </w:rPr>
            </w:pPr>
            <w:r>
              <w:rPr>
                <w:color w:val="auto"/>
                <w:sz w:val="24"/>
                <w:highlight w:val="none"/>
              </w:rPr>
              <w:t>建设项目</w:t>
            </w:r>
          </w:p>
          <w:p w14:paraId="4BDFF283">
            <w:pPr>
              <w:adjustRightInd w:val="0"/>
              <w:snapToGrid w:val="0"/>
              <w:jc w:val="center"/>
              <w:rPr>
                <w:color w:val="auto"/>
                <w:sz w:val="24"/>
                <w:highlight w:val="none"/>
              </w:rPr>
            </w:pPr>
            <w:r>
              <w:rPr>
                <w:color w:val="auto"/>
                <w:sz w:val="24"/>
                <w:highlight w:val="none"/>
              </w:rPr>
              <w:t>申报情形</w:t>
            </w:r>
          </w:p>
        </w:tc>
        <w:tc>
          <w:tcPr>
            <w:tcW w:w="3049" w:type="dxa"/>
            <w:noWrap w:val="0"/>
            <w:vAlign w:val="center"/>
          </w:tcPr>
          <w:p w14:paraId="02089085">
            <w:pPr>
              <w:jc w:val="left"/>
              <w:rPr>
                <w:color w:val="auto"/>
                <w:sz w:val="24"/>
                <w:highlight w:val="none"/>
              </w:rPr>
            </w:pPr>
            <w:r>
              <w:rPr>
                <w:rFonts w:hint="eastAsia"/>
                <w:color w:val="auto"/>
                <w:sz w:val="24"/>
                <w:highlight w:val="none"/>
              </w:rPr>
              <w:t>☑</w:t>
            </w:r>
            <w:r>
              <w:rPr>
                <w:color w:val="auto"/>
                <w:sz w:val="24"/>
                <w:highlight w:val="none"/>
              </w:rPr>
              <w:t xml:space="preserve">首次申报项目             </w:t>
            </w:r>
          </w:p>
          <w:p w14:paraId="6B45795F">
            <w:pPr>
              <w:jc w:val="left"/>
              <w:rPr>
                <w:color w:val="auto"/>
                <w:sz w:val="24"/>
                <w:highlight w:val="none"/>
              </w:rPr>
            </w:pPr>
            <w:r>
              <w:rPr>
                <w:rFonts w:hint="eastAsia"/>
                <w:color w:val="auto"/>
                <w:sz w:val="24"/>
                <w:highlight w:val="none"/>
              </w:rPr>
              <w:t>□</w:t>
            </w:r>
            <w:r>
              <w:rPr>
                <w:color w:val="auto"/>
                <w:sz w:val="24"/>
                <w:highlight w:val="none"/>
              </w:rPr>
              <w:t>不予批准后再次申报项目</w:t>
            </w:r>
          </w:p>
          <w:p w14:paraId="3CC81F67">
            <w:pPr>
              <w:jc w:val="left"/>
              <w:rPr>
                <w:color w:val="auto"/>
                <w:sz w:val="24"/>
                <w:highlight w:val="none"/>
              </w:rPr>
            </w:pPr>
            <w:r>
              <w:rPr>
                <w:rFonts w:hint="eastAsia"/>
                <w:color w:val="auto"/>
                <w:sz w:val="24"/>
                <w:highlight w:val="none"/>
                <w:lang w:eastAsia="zh-CN"/>
              </w:rPr>
              <w:t>□</w:t>
            </w:r>
            <w:r>
              <w:rPr>
                <w:color w:val="auto"/>
                <w:sz w:val="24"/>
                <w:highlight w:val="none"/>
              </w:rPr>
              <w:t xml:space="preserve">超五年重新审核项目     </w:t>
            </w:r>
          </w:p>
          <w:p w14:paraId="1FF0428A">
            <w:pPr>
              <w:jc w:val="left"/>
              <w:rPr>
                <w:color w:val="auto"/>
                <w:sz w:val="24"/>
                <w:highlight w:val="none"/>
              </w:rPr>
            </w:pPr>
            <w:r>
              <w:rPr>
                <w:rFonts w:hint="eastAsia"/>
                <w:color w:val="auto"/>
                <w:sz w:val="24"/>
                <w:highlight w:val="none"/>
                <w:lang w:eastAsia="zh-CN"/>
              </w:rPr>
              <w:t>□</w:t>
            </w:r>
            <w:r>
              <w:rPr>
                <w:color w:val="auto"/>
                <w:sz w:val="24"/>
                <w:highlight w:val="none"/>
              </w:rPr>
              <w:t>重大变动重新报批项目</w:t>
            </w:r>
          </w:p>
        </w:tc>
      </w:tr>
      <w:tr w14:paraId="005046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179" w:type="dxa"/>
            <w:noWrap w:val="0"/>
            <w:tcMar>
              <w:top w:w="16" w:type="dxa"/>
              <w:left w:w="16" w:type="dxa"/>
              <w:right w:w="16" w:type="dxa"/>
            </w:tcMar>
            <w:vAlign w:val="center"/>
          </w:tcPr>
          <w:p w14:paraId="7F053793">
            <w:pPr>
              <w:adjustRightInd w:val="0"/>
              <w:snapToGrid w:val="0"/>
              <w:jc w:val="center"/>
              <w:rPr>
                <w:color w:val="auto"/>
                <w:sz w:val="24"/>
                <w:highlight w:val="none"/>
              </w:rPr>
            </w:pPr>
            <w:r>
              <w:rPr>
                <w:color w:val="auto"/>
                <w:sz w:val="24"/>
                <w:highlight w:val="none"/>
              </w:rPr>
              <w:t>项目审批（核准/</w:t>
            </w:r>
          </w:p>
          <w:p w14:paraId="320DF95D">
            <w:pPr>
              <w:adjustRightInd w:val="0"/>
              <w:snapToGrid w:val="0"/>
              <w:jc w:val="center"/>
              <w:rPr>
                <w:color w:val="auto"/>
                <w:sz w:val="24"/>
                <w:highlight w:val="none"/>
              </w:rPr>
            </w:pPr>
            <w:r>
              <w:rPr>
                <w:color w:val="auto"/>
                <w:sz w:val="24"/>
                <w:highlight w:val="none"/>
              </w:rPr>
              <w:t>备案）部门（选填）</w:t>
            </w:r>
          </w:p>
        </w:tc>
        <w:tc>
          <w:tcPr>
            <w:tcW w:w="2360" w:type="dxa"/>
            <w:noWrap w:val="0"/>
            <w:vAlign w:val="center"/>
          </w:tcPr>
          <w:p w14:paraId="6905908D">
            <w:pPr>
              <w:adjustRightInd w:val="0"/>
              <w:snapToGrid w:val="0"/>
              <w:jc w:val="center"/>
              <w:rPr>
                <w:color w:val="auto"/>
                <w:sz w:val="24"/>
                <w:highlight w:val="none"/>
              </w:rPr>
            </w:pPr>
            <w:r>
              <w:rPr>
                <w:rFonts w:hint="eastAsia" w:ascii="Times New Roman" w:hAnsi="Times New Roman" w:eastAsia="宋体" w:cs="Times New Roman"/>
                <w:color w:val="auto"/>
                <w:sz w:val="24"/>
                <w:highlight w:val="none"/>
                <w:lang w:val="en-US" w:eastAsia="zh-CN"/>
              </w:rPr>
              <w:t>行唐县工业和信息化局</w:t>
            </w:r>
          </w:p>
        </w:tc>
        <w:tc>
          <w:tcPr>
            <w:tcW w:w="2282" w:type="dxa"/>
            <w:gridSpan w:val="3"/>
            <w:noWrap w:val="0"/>
            <w:vAlign w:val="center"/>
          </w:tcPr>
          <w:p w14:paraId="24A01A5D">
            <w:pPr>
              <w:adjustRightInd w:val="0"/>
              <w:snapToGrid w:val="0"/>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项目审批（核准/</w:t>
            </w:r>
          </w:p>
          <w:p w14:paraId="32AE60D1">
            <w:pPr>
              <w:adjustRightInd w:val="0"/>
              <w:snapToGrid w:val="0"/>
              <w:jc w:val="center"/>
              <w:rPr>
                <w:rFonts w:ascii="Times New Roman" w:hAnsi="Times New Roman" w:eastAsia="宋体" w:cs="Times New Roman"/>
                <w:color w:val="auto"/>
                <w:sz w:val="24"/>
                <w:highlight w:val="none"/>
              </w:rPr>
            </w:pPr>
            <w:r>
              <w:rPr>
                <w:rFonts w:hint="default" w:ascii="Times New Roman" w:hAnsi="Times New Roman" w:eastAsia="宋体" w:cs="Times New Roman"/>
                <w:b w:val="0"/>
                <w:bCs w:val="0"/>
                <w:color w:val="auto"/>
                <w:sz w:val="24"/>
                <w:szCs w:val="24"/>
                <w:highlight w:val="none"/>
              </w:rPr>
              <w:t>备案）文号）</w:t>
            </w:r>
          </w:p>
        </w:tc>
        <w:tc>
          <w:tcPr>
            <w:tcW w:w="3049" w:type="dxa"/>
            <w:noWrap w:val="0"/>
            <w:vAlign w:val="center"/>
          </w:tcPr>
          <w:p w14:paraId="522D686A">
            <w:pPr>
              <w:adjustRightInd w:val="0"/>
              <w:snapToGrid w:val="0"/>
              <w:jc w:val="center"/>
              <w:rPr>
                <w:color w:val="auto"/>
                <w:sz w:val="24"/>
                <w:highlight w:val="none"/>
              </w:rPr>
            </w:pPr>
            <w:r>
              <w:rPr>
                <w:rFonts w:hint="eastAsia" w:ascii="Times New Roman" w:hAnsi="Times New Roman" w:eastAsia="宋体" w:cs="Times New Roman"/>
                <w:color w:val="auto"/>
                <w:sz w:val="24"/>
                <w:highlight w:val="none"/>
                <w:lang w:val="en-US" w:eastAsia="zh-CN"/>
              </w:rPr>
              <w:t>行科工备字〔2026〕6 号</w:t>
            </w:r>
          </w:p>
        </w:tc>
      </w:tr>
      <w:tr w14:paraId="5F154D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179" w:type="dxa"/>
            <w:noWrap w:val="0"/>
            <w:tcMar>
              <w:top w:w="16" w:type="dxa"/>
              <w:left w:w="16" w:type="dxa"/>
              <w:right w:w="16" w:type="dxa"/>
            </w:tcMar>
            <w:vAlign w:val="center"/>
          </w:tcPr>
          <w:p w14:paraId="0736AD06">
            <w:pPr>
              <w:adjustRightInd w:val="0"/>
              <w:snapToGrid w:val="0"/>
              <w:jc w:val="center"/>
              <w:rPr>
                <w:color w:val="auto"/>
                <w:sz w:val="24"/>
                <w:highlight w:val="none"/>
              </w:rPr>
            </w:pPr>
            <w:r>
              <w:rPr>
                <w:color w:val="auto"/>
                <w:sz w:val="24"/>
                <w:highlight w:val="none"/>
              </w:rPr>
              <w:t>总投资（万元）</w:t>
            </w:r>
          </w:p>
        </w:tc>
        <w:tc>
          <w:tcPr>
            <w:tcW w:w="2360" w:type="dxa"/>
            <w:noWrap w:val="0"/>
            <w:vAlign w:val="center"/>
          </w:tcPr>
          <w:p w14:paraId="73361937">
            <w:pPr>
              <w:adjustRightInd w:val="0"/>
              <w:snapToGrid w:val="0"/>
              <w:jc w:val="center"/>
              <w:rPr>
                <w:rFonts w:hint="default"/>
                <w:color w:val="auto"/>
                <w:sz w:val="24"/>
                <w:highlight w:val="none"/>
                <w:lang w:val="en-US"/>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80</w:t>
            </w:r>
          </w:p>
        </w:tc>
        <w:tc>
          <w:tcPr>
            <w:tcW w:w="2282" w:type="dxa"/>
            <w:gridSpan w:val="3"/>
            <w:noWrap w:val="0"/>
            <w:tcMar>
              <w:top w:w="16" w:type="dxa"/>
              <w:left w:w="16" w:type="dxa"/>
              <w:right w:w="16" w:type="dxa"/>
            </w:tcMar>
            <w:vAlign w:val="center"/>
          </w:tcPr>
          <w:p w14:paraId="549B41FD">
            <w:pPr>
              <w:adjustRightInd w:val="0"/>
              <w:snapToGrid w:val="0"/>
              <w:jc w:val="center"/>
              <w:rPr>
                <w:rFonts w:ascii="Times New Roman" w:hAnsi="Times New Roman" w:eastAsia="宋体" w:cs="Times New Roman"/>
                <w:color w:val="auto"/>
                <w:sz w:val="24"/>
                <w:highlight w:val="none"/>
              </w:rPr>
            </w:pPr>
            <w:r>
              <w:rPr>
                <w:rFonts w:hint="default" w:ascii="Times New Roman" w:hAnsi="Times New Roman" w:eastAsia="宋体" w:cs="Times New Roman"/>
                <w:b w:val="0"/>
                <w:bCs w:val="0"/>
                <w:color w:val="auto"/>
                <w:sz w:val="24"/>
                <w:szCs w:val="24"/>
                <w:highlight w:val="none"/>
              </w:rPr>
              <w:t>环保投资（万元）</w:t>
            </w:r>
          </w:p>
        </w:tc>
        <w:tc>
          <w:tcPr>
            <w:tcW w:w="3049" w:type="dxa"/>
            <w:noWrap w:val="0"/>
            <w:vAlign w:val="center"/>
          </w:tcPr>
          <w:p w14:paraId="0A29B6CA">
            <w:pPr>
              <w:adjustRightInd w:val="0"/>
              <w:snapToGrid w:val="0"/>
              <w:jc w:val="center"/>
              <w:rPr>
                <w:rFonts w:hint="default"/>
                <w:color w:val="auto"/>
                <w:sz w:val="24"/>
                <w:highlight w:val="none"/>
                <w:lang w:val="en-US"/>
              </w:rPr>
            </w:pPr>
            <w:r>
              <w:rPr>
                <w:rFonts w:hint="eastAsia" w:cs="Times New Roman"/>
                <w:b w:val="0"/>
                <w:bCs w:val="0"/>
                <w:color w:val="000000" w:themeColor="text1"/>
                <w:sz w:val="24"/>
                <w:highlight w:val="none"/>
                <w:lang w:val="en-US" w:eastAsia="zh-CN"/>
                <w14:textFill>
                  <w14:solidFill>
                    <w14:schemeClr w14:val="tx1"/>
                  </w14:solidFill>
                </w14:textFill>
              </w:rPr>
              <w:t>10</w:t>
            </w:r>
          </w:p>
        </w:tc>
      </w:tr>
      <w:tr w14:paraId="300697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179" w:type="dxa"/>
            <w:noWrap w:val="0"/>
            <w:tcMar>
              <w:top w:w="16" w:type="dxa"/>
              <w:left w:w="16" w:type="dxa"/>
              <w:right w:w="16" w:type="dxa"/>
            </w:tcMar>
            <w:vAlign w:val="center"/>
          </w:tcPr>
          <w:p w14:paraId="08C81839">
            <w:pPr>
              <w:adjustRightInd w:val="0"/>
              <w:snapToGrid w:val="0"/>
              <w:jc w:val="center"/>
              <w:rPr>
                <w:color w:val="auto"/>
                <w:sz w:val="24"/>
                <w:highlight w:val="none"/>
              </w:rPr>
            </w:pPr>
            <w:r>
              <w:rPr>
                <w:color w:val="auto"/>
                <w:sz w:val="24"/>
                <w:highlight w:val="none"/>
              </w:rPr>
              <w:t>环保投资占比（%）</w:t>
            </w:r>
          </w:p>
        </w:tc>
        <w:tc>
          <w:tcPr>
            <w:tcW w:w="2360" w:type="dxa"/>
            <w:noWrap w:val="0"/>
            <w:vAlign w:val="center"/>
          </w:tcPr>
          <w:p w14:paraId="1F17B994">
            <w:pPr>
              <w:adjustRightInd w:val="0"/>
              <w:snapToGrid w:val="0"/>
              <w:jc w:val="center"/>
              <w:rPr>
                <w:rFonts w:hint="default" w:eastAsia="宋体"/>
                <w:color w:val="auto"/>
                <w:sz w:val="24"/>
                <w:highlight w:val="none"/>
                <w:lang w:val="en-US" w:eastAsia="zh-CN"/>
              </w:rPr>
            </w:pPr>
            <w:r>
              <w:rPr>
                <w:rFonts w:hint="eastAsia"/>
                <w:color w:val="auto"/>
                <w:sz w:val="24"/>
                <w:highlight w:val="none"/>
                <w:lang w:val="en-US" w:eastAsia="zh-CN"/>
              </w:rPr>
              <w:t>12.5</w:t>
            </w:r>
          </w:p>
        </w:tc>
        <w:tc>
          <w:tcPr>
            <w:tcW w:w="2282" w:type="dxa"/>
            <w:gridSpan w:val="3"/>
            <w:noWrap w:val="0"/>
            <w:tcMar>
              <w:top w:w="16" w:type="dxa"/>
              <w:left w:w="16" w:type="dxa"/>
              <w:right w:w="16" w:type="dxa"/>
            </w:tcMar>
            <w:vAlign w:val="center"/>
          </w:tcPr>
          <w:p w14:paraId="16B79661">
            <w:pPr>
              <w:adjustRightInd w:val="0"/>
              <w:snapToGrid w:val="0"/>
              <w:jc w:val="center"/>
              <w:rPr>
                <w:color w:val="auto"/>
                <w:sz w:val="24"/>
                <w:highlight w:val="none"/>
              </w:rPr>
            </w:pPr>
            <w:r>
              <w:rPr>
                <w:color w:val="auto"/>
                <w:sz w:val="24"/>
                <w:highlight w:val="none"/>
              </w:rPr>
              <w:t>施工工期</w:t>
            </w:r>
          </w:p>
        </w:tc>
        <w:tc>
          <w:tcPr>
            <w:tcW w:w="3049" w:type="dxa"/>
            <w:noWrap w:val="0"/>
            <w:vAlign w:val="center"/>
          </w:tcPr>
          <w:p w14:paraId="4F29DEC8">
            <w:pPr>
              <w:adjustRightInd w:val="0"/>
              <w:snapToGrid w:val="0"/>
              <w:jc w:val="center"/>
              <w:rPr>
                <w:color w:val="auto"/>
                <w:sz w:val="24"/>
                <w:highlight w:val="none"/>
              </w:rPr>
            </w:pPr>
            <w:r>
              <w:rPr>
                <w:rFonts w:hint="eastAsia"/>
                <w:color w:val="auto"/>
                <w:sz w:val="24"/>
                <w:highlight w:val="none"/>
                <w:lang w:val="en-US" w:eastAsia="zh-CN"/>
              </w:rPr>
              <w:t>3</w:t>
            </w:r>
            <w:r>
              <w:rPr>
                <w:color w:val="auto"/>
                <w:sz w:val="24"/>
                <w:highlight w:val="none"/>
              </w:rPr>
              <w:t>个月</w:t>
            </w:r>
          </w:p>
        </w:tc>
      </w:tr>
      <w:tr w14:paraId="4E9790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46" w:hRule="atLeast"/>
          <w:jc w:val="center"/>
        </w:trPr>
        <w:tc>
          <w:tcPr>
            <w:tcW w:w="1179" w:type="dxa"/>
            <w:noWrap w:val="0"/>
            <w:tcMar>
              <w:top w:w="16" w:type="dxa"/>
              <w:left w:w="16" w:type="dxa"/>
              <w:right w:w="16" w:type="dxa"/>
            </w:tcMar>
            <w:vAlign w:val="center"/>
          </w:tcPr>
          <w:p w14:paraId="3EE46C21">
            <w:pPr>
              <w:adjustRightInd w:val="0"/>
              <w:snapToGrid w:val="0"/>
              <w:jc w:val="center"/>
              <w:rPr>
                <w:color w:val="auto"/>
                <w:sz w:val="24"/>
                <w:highlight w:val="none"/>
              </w:rPr>
            </w:pPr>
            <w:r>
              <w:rPr>
                <w:color w:val="auto"/>
                <w:sz w:val="24"/>
                <w:highlight w:val="none"/>
              </w:rPr>
              <w:t>是否开工建设</w:t>
            </w:r>
          </w:p>
        </w:tc>
        <w:tc>
          <w:tcPr>
            <w:tcW w:w="2360" w:type="dxa"/>
            <w:noWrap w:val="0"/>
            <w:vAlign w:val="center"/>
          </w:tcPr>
          <w:p w14:paraId="4039C130">
            <w:pPr>
              <w:adjustRightInd w:val="0"/>
              <w:snapToGrid w:val="0"/>
              <w:rPr>
                <w:color w:val="auto"/>
                <w:sz w:val="24"/>
                <w:highlight w:val="none"/>
              </w:rPr>
            </w:pPr>
            <w:r>
              <w:rPr>
                <w:color w:val="auto"/>
                <w:sz w:val="24"/>
                <w:highlight w:val="none"/>
              </w:rPr>
              <w:t>☑否</w:t>
            </w:r>
          </w:p>
          <w:p w14:paraId="66E58E2A">
            <w:pPr>
              <w:adjustRightInd w:val="0"/>
              <w:snapToGrid w:val="0"/>
              <w:rPr>
                <w:color w:val="auto"/>
                <w:sz w:val="24"/>
                <w:highlight w:val="none"/>
              </w:rPr>
            </w:pPr>
            <w:r>
              <w:rPr>
                <w:rFonts w:hint="eastAsia"/>
                <w:color w:val="auto"/>
                <w:sz w:val="24"/>
                <w:highlight w:val="none"/>
                <w:lang w:eastAsia="zh-CN"/>
              </w:rPr>
              <w:t>□</w:t>
            </w:r>
            <w:r>
              <w:rPr>
                <w:color w:val="auto"/>
                <w:sz w:val="24"/>
                <w:highlight w:val="none"/>
              </w:rPr>
              <w:t>是：</w:t>
            </w:r>
            <w:r>
              <w:rPr>
                <w:color w:val="auto"/>
                <w:sz w:val="24"/>
                <w:highlight w:val="none"/>
                <w:u w:val="single"/>
              </w:rPr>
              <w:t xml:space="preserve">             </w:t>
            </w:r>
          </w:p>
        </w:tc>
        <w:tc>
          <w:tcPr>
            <w:tcW w:w="2282" w:type="dxa"/>
            <w:gridSpan w:val="3"/>
            <w:noWrap w:val="0"/>
            <w:tcMar>
              <w:top w:w="16" w:type="dxa"/>
              <w:left w:w="16" w:type="dxa"/>
              <w:right w:w="16" w:type="dxa"/>
            </w:tcMar>
            <w:vAlign w:val="center"/>
          </w:tcPr>
          <w:p w14:paraId="61290D09">
            <w:pPr>
              <w:adjustRightInd w:val="0"/>
              <w:snapToGrid w:val="0"/>
              <w:jc w:val="center"/>
              <w:rPr>
                <w:color w:val="auto"/>
                <w:spacing w:val="-6"/>
                <w:sz w:val="24"/>
                <w:highlight w:val="none"/>
              </w:rPr>
            </w:pPr>
            <w:r>
              <w:rPr>
                <w:color w:val="auto"/>
                <w:spacing w:val="-6"/>
                <w:sz w:val="24"/>
                <w:highlight w:val="none"/>
              </w:rPr>
              <w:t>用地（用海）</w:t>
            </w:r>
          </w:p>
          <w:p w14:paraId="5C860AFD">
            <w:pPr>
              <w:adjustRightInd w:val="0"/>
              <w:snapToGrid w:val="0"/>
              <w:jc w:val="center"/>
              <w:rPr>
                <w:color w:val="auto"/>
                <w:sz w:val="24"/>
                <w:highlight w:val="none"/>
              </w:rPr>
            </w:pPr>
            <w:r>
              <w:rPr>
                <w:color w:val="auto"/>
                <w:spacing w:val="-6"/>
                <w:sz w:val="24"/>
                <w:highlight w:val="none"/>
              </w:rPr>
              <w:t>面积（m</w:t>
            </w:r>
            <w:r>
              <w:rPr>
                <w:color w:val="auto"/>
                <w:spacing w:val="-6"/>
                <w:sz w:val="24"/>
                <w:highlight w:val="none"/>
                <w:vertAlign w:val="superscript"/>
              </w:rPr>
              <w:t>2</w:t>
            </w:r>
            <w:r>
              <w:rPr>
                <w:color w:val="auto"/>
                <w:spacing w:val="-6"/>
                <w:sz w:val="24"/>
                <w:highlight w:val="none"/>
              </w:rPr>
              <w:t>）</w:t>
            </w:r>
          </w:p>
        </w:tc>
        <w:tc>
          <w:tcPr>
            <w:tcW w:w="3049" w:type="dxa"/>
            <w:noWrap w:val="0"/>
            <w:vAlign w:val="center"/>
          </w:tcPr>
          <w:p w14:paraId="06114E5A">
            <w:pPr>
              <w:tabs>
                <w:tab w:val="center" w:pos="1372"/>
                <w:tab w:val="right" w:pos="2624"/>
              </w:tabs>
              <w:adjustRightInd w:val="0"/>
              <w:snapToGrid w:val="0"/>
              <w:jc w:val="left"/>
              <w:rPr>
                <w:color w:val="auto"/>
                <w:sz w:val="24"/>
                <w:highlight w:val="none"/>
              </w:rPr>
            </w:pPr>
            <w:r>
              <w:rPr>
                <w:rFonts w:hint="eastAsia" w:ascii="Times New Roman" w:hAnsi="Times New Roman" w:cs="Times New Roman"/>
                <w:color w:val="auto"/>
                <w:sz w:val="24"/>
                <w:szCs w:val="24"/>
                <w:highlight w:val="none"/>
                <w:lang w:val="en-US" w:eastAsia="zh-CN"/>
              </w:rPr>
              <w:tab/>
            </w:r>
            <w:r>
              <w:rPr>
                <w:rFonts w:hint="eastAsia" w:ascii="Times New Roman" w:hAnsi="Times New Roman" w:cs="Times New Roman"/>
                <w:color w:val="auto"/>
                <w:sz w:val="24"/>
                <w:szCs w:val="24"/>
                <w:highlight w:val="none"/>
                <w:lang w:val="en-US" w:eastAsia="zh-CN"/>
              </w:rPr>
              <w:t>0</w:t>
            </w:r>
            <w:r>
              <w:rPr>
                <w:rFonts w:hint="eastAsia" w:ascii="Times New Roman" w:hAnsi="Times New Roman" w:cs="Times New Roman"/>
                <w:color w:val="auto"/>
                <w:sz w:val="24"/>
                <w:szCs w:val="24"/>
                <w:highlight w:val="none"/>
                <w:lang w:val="en-US" w:eastAsia="zh-CN"/>
              </w:rPr>
              <w:tab/>
            </w:r>
          </w:p>
        </w:tc>
      </w:tr>
      <w:tr w14:paraId="3CAD34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179" w:type="dxa"/>
            <w:noWrap w:val="0"/>
            <w:vAlign w:val="center"/>
          </w:tcPr>
          <w:p w14:paraId="1A9C8647">
            <w:pPr>
              <w:autoSpaceDE w:val="0"/>
              <w:autoSpaceDN w:val="0"/>
              <w:adjustRightInd w:val="0"/>
              <w:snapToGrid w:val="0"/>
              <w:jc w:val="center"/>
              <w:rPr>
                <w:color w:val="auto"/>
                <w:kern w:val="0"/>
                <w:sz w:val="24"/>
                <w:highlight w:val="none"/>
              </w:rPr>
            </w:pPr>
            <w:r>
              <w:rPr>
                <w:color w:val="auto"/>
                <w:kern w:val="0"/>
                <w:sz w:val="24"/>
                <w:highlight w:val="none"/>
              </w:rPr>
              <w:t>专项评价设置情况</w:t>
            </w:r>
          </w:p>
        </w:tc>
        <w:tc>
          <w:tcPr>
            <w:tcW w:w="7691" w:type="dxa"/>
            <w:gridSpan w:val="5"/>
            <w:noWrap w:val="0"/>
            <w:vAlign w:val="center"/>
          </w:tcPr>
          <w:p w14:paraId="0F5F26DC">
            <w:pPr>
              <w:pStyle w:val="108"/>
              <w:bidi w:val="0"/>
              <w:ind w:firstLine="0" w:firstLineChars="0"/>
              <w:rPr>
                <w:rFonts w:hint="eastAsia"/>
                <w:color w:val="auto"/>
                <w:kern w:val="0"/>
                <w:sz w:val="24"/>
                <w:highlight w:val="none"/>
              </w:rPr>
            </w:pPr>
            <w:r>
              <w:rPr>
                <w:rFonts w:hint="eastAsia"/>
                <w:color w:val="auto"/>
                <w:sz w:val="24"/>
                <w:szCs w:val="24"/>
                <w:highlight w:val="none"/>
              </w:rPr>
              <w:t>无</w:t>
            </w:r>
            <w:r>
              <w:rPr>
                <w:rFonts w:hint="eastAsia"/>
                <w:color w:val="auto"/>
                <w:sz w:val="24"/>
                <w:szCs w:val="24"/>
                <w:highlight w:val="none"/>
                <w:lang w:val="en-US" w:eastAsia="zh-CN"/>
              </w:rPr>
              <w:t xml:space="preserve"> </w:t>
            </w:r>
          </w:p>
        </w:tc>
      </w:tr>
      <w:tr w14:paraId="79F8CA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1179" w:type="dxa"/>
            <w:noWrap w:val="0"/>
            <w:vAlign w:val="center"/>
          </w:tcPr>
          <w:p w14:paraId="5A35813B">
            <w:pPr>
              <w:autoSpaceDE w:val="0"/>
              <w:autoSpaceDN w:val="0"/>
              <w:adjustRightInd w:val="0"/>
              <w:snapToGrid w:val="0"/>
              <w:jc w:val="center"/>
              <w:rPr>
                <w:color w:val="auto"/>
                <w:kern w:val="0"/>
                <w:sz w:val="24"/>
                <w:highlight w:val="none"/>
              </w:rPr>
            </w:pPr>
            <w:r>
              <w:rPr>
                <w:color w:val="auto"/>
                <w:sz w:val="24"/>
                <w:highlight w:val="none"/>
              </w:rPr>
              <w:t>规划情况</w:t>
            </w:r>
          </w:p>
        </w:tc>
        <w:tc>
          <w:tcPr>
            <w:tcW w:w="7691" w:type="dxa"/>
            <w:gridSpan w:val="5"/>
            <w:noWrap w:val="0"/>
            <w:vAlign w:val="center"/>
          </w:tcPr>
          <w:p w14:paraId="77CC1E62">
            <w:pPr>
              <w:pStyle w:val="101"/>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firstLineChars="200"/>
              <w:jc w:val="both"/>
              <w:textAlignment w:val="auto"/>
              <w:rPr>
                <w:rFonts w:hint="default" w:eastAsia="宋体"/>
                <w:color w:val="auto"/>
                <w:kern w:val="0"/>
                <w:sz w:val="24"/>
                <w:highlight w:val="none"/>
                <w:lang w:val="en-US" w:eastAsia="zh-CN"/>
              </w:rPr>
            </w:pPr>
            <w:r>
              <w:rPr>
                <w:rFonts w:hint="eastAsia"/>
                <w:color w:val="auto"/>
                <w:sz w:val="24"/>
                <w:szCs w:val="24"/>
                <w:highlight w:val="none"/>
                <w:lang w:val="en-US" w:eastAsia="zh-CN"/>
              </w:rPr>
              <w:t>2023年河北行唐经济开发区管理委员会组织编制完成</w:t>
            </w:r>
            <w:r>
              <w:rPr>
                <w:rFonts w:hint="eastAsia"/>
                <w:color w:val="auto"/>
                <w:sz w:val="24"/>
                <w:szCs w:val="24"/>
                <w:highlight w:val="none"/>
              </w:rPr>
              <w:t>《河北行唐经济开发区控制性详细规划》。</w:t>
            </w:r>
            <w:r>
              <w:rPr>
                <w:rFonts w:hint="eastAsia"/>
                <w:color w:val="auto"/>
                <w:sz w:val="24"/>
                <w:szCs w:val="24"/>
                <w:highlight w:val="none"/>
                <w:lang w:val="en-US" w:eastAsia="zh-CN"/>
              </w:rPr>
              <w:t>该规划于2023年8月20日取得河北省生态环境厅的审查意见，规划批复文号：冀环环评函【2023】1177号。</w:t>
            </w:r>
          </w:p>
        </w:tc>
      </w:tr>
      <w:tr w14:paraId="222B8B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179" w:type="dxa"/>
            <w:noWrap w:val="0"/>
            <w:vAlign w:val="center"/>
          </w:tcPr>
          <w:p w14:paraId="292337B1">
            <w:pPr>
              <w:adjustRightInd w:val="0"/>
              <w:snapToGrid w:val="0"/>
              <w:jc w:val="center"/>
              <w:rPr>
                <w:color w:val="auto"/>
                <w:sz w:val="24"/>
                <w:highlight w:val="none"/>
              </w:rPr>
            </w:pPr>
            <w:r>
              <w:rPr>
                <w:color w:val="auto"/>
                <w:sz w:val="24"/>
                <w:highlight w:val="none"/>
              </w:rPr>
              <w:t>规划环境影响</w:t>
            </w:r>
          </w:p>
          <w:p w14:paraId="78E28CAA">
            <w:pPr>
              <w:adjustRightInd w:val="0"/>
              <w:snapToGrid w:val="0"/>
              <w:jc w:val="center"/>
              <w:rPr>
                <w:color w:val="auto"/>
                <w:kern w:val="0"/>
                <w:sz w:val="24"/>
                <w:highlight w:val="none"/>
              </w:rPr>
            </w:pPr>
            <w:r>
              <w:rPr>
                <w:color w:val="auto"/>
                <w:sz w:val="24"/>
                <w:highlight w:val="none"/>
              </w:rPr>
              <w:t>评价情况</w:t>
            </w:r>
          </w:p>
        </w:tc>
        <w:tc>
          <w:tcPr>
            <w:tcW w:w="7691" w:type="dxa"/>
            <w:gridSpan w:val="5"/>
            <w:noWrap w:val="0"/>
            <w:vAlign w:val="center"/>
          </w:tcPr>
          <w:p w14:paraId="72A6A7DD">
            <w:pPr>
              <w:pStyle w:val="112"/>
              <w:bidi w:val="0"/>
              <w:rPr>
                <w:rFonts w:hint="eastAsia" w:eastAsia="宋体"/>
                <w:color w:val="auto"/>
                <w:sz w:val="24"/>
                <w:szCs w:val="24"/>
                <w:highlight w:val="none"/>
                <w:lang w:val="en-US" w:eastAsia="zh-CN"/>
              </w:rPr>
            </w:pPr>
            <w:r>
              <w:rPr>
                <w:rFonts w:hint="eastAsia"/>
                <w:color w:val="auto"/>
                <w:sz w:val="24"/>
                <w:szCs w:val="24"/>
                <w:highlight w:val="none"/>
                <w:lang w:val="en-US" w:eastAsia="zh-CN"/>
              </w:rPr>
              <w:t>规划环境影响文件名称：</w:t>
            </w:r>
            <w:r>
              <w:rPr>
                <w:rFonts w:hint="eastAsia"/>
                <w:color w:val="auto"/>
                <w:sz w:val="24"/>
                <w:szCs w:val="24"/>
                <w:highlight w:val="none"/>
              </w:rPr>
              <w:t>《河北行唐经济开发区控制性详细规划环境影响报告书》</w:t>
            </w:r>
            <w:r>
              <w:rPr>
                <w:rFonts w:hint="eastAsia"/>
                <w:color w:val="auto"/>
                <w:sz w:val="24"/>
                <w:szCs w:val="24"/>
                <w:highlight w:val="none"/>
                <w:lang w:eastAsia="zh-CN"/>
              </w:rPr>
              <w:t>；</w:t>
            </w:r>
          </w:p>
          <w:p w14:paraId="49461B54">
            <w:pPr>
              <w:pStyle w:val="112"/>
              <w:bidi w:val="0"/>
              <w:rPr>
                <w:rFonts w:hint="eastAsia" w:eastAsia="宋体"/>
                <w:color w:val="auto"/>
                <w:sz w:val="24"/>
                <w:szCs w:val="24"/>
                <w:highlight w:val="none"/>
                <w:lang w:val="en-US" w:eastAsia="zh-CN"/>
              </w:rPr>
            </w:pPr>
            <w:r>
              <w:rPr>
                <w:rFonts w:hint="eastAsia"/>
                <w:color w:val="auto"/>
                <w:sz w:val="24"/>
                <w:szCs w:val="24"/>
                <w:highlight w:val="none"/>
                <w:lang w:val="en-US" w:eastAsia="zh-CN"/>
              </w:rPr>
              <w:t>审查机关：</w:t>
            </w:r>
            <w:r>
              <w:rPr>
                <w:rFonts w:hint="eastAsia"/>
                <w:color w:val="auto"/>
                <w:sz w:val="24"/>
                <w:szCs w:val="24"/>
                <w:highlight w:val="none"/>
              </w:rPr>
              <w:t>河北省生态环境厅</w:t>
            </w:r>
            <w:r>
              <w:rPr>
                <w:rFonts w:hint="eastAsia"/>
                <w:color w:val="auto"/>
                <w:sz w:val="24"/>
                <w:szCs w:val="24"/>
                <w:highlight w:val="none"/>
                <w:lang w:eastAsia="zh-CN"/>
              </w:rPr>
              <w:t>；</w:t>
            </w:r>
          </w:p>
          <w:p w14:paraId="066C330E">
            <w:pPr>
              <w:pStyle w:val="101"/>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firstLineChars="200"/>
              <w:textAlignment w:val="auto"/>
              <w:rPr>
                <w:rFonts w:hint="eastAsia"/>
                <w:color w:val="auto"/>
                <w:sz w:val="24"/>
                <w:szCs w:val="24"/>
                <w:highlight w:val="none"/>
              </w:rPr>
            </w:pPr>
            <w:r>
              <w:rPr>
                <w:rFonts w:hint="eastAsia"/>
                <w:color w:val="auto"/>
                <w:sz w:val="24"/>
                <w:szCs w:val="24"/>
                <w:highlight w:val="none"/>
                <w:lang w:val="en-US" w:eastAsia="zh-CN"/>
              </w:rPr>
              <w:t>审查文件名称：</w:t>
            </w:r>
            <w:r>
              <w:rPr>
                <w:rFonts w:hint="eastAsia"/>
                <w:color w:val="auto"/>
                <w:sz w:val="24"/>
                <w:szCs w:val="24"/>
                <w:highlight w:val="none"/>
              </w:rPr>
              <w:t>《关于</w:t>
            </w:r>
            <w:r>
              <w:rPr>
                <w:rFonts w:hint="eastAsia"/>
                <w:color w:val="auto"/>
                <w:sz w:val="24"/>
                <w:szCs w:val="24"/>
                <w:highlight w:val="none"/>
                <w:lang w:val="en-US" w:eastAsia="zh-CN"/>
              </w:rPr>
              <w:t>&lt;</w:t>
            </w:r>
            <w:r>
              <w:rPr>
                <w:rFonts w:hint="eastAsia"/>
                <w:color w:val="auto"/>
                <w:sz w:val="24"/>
                <w:szCs w:val="24"/>
                <w:highlight w:val="none"/>
              </w:rPr>
              <w:t>河北行唐经济开发区控制性详细规划环境影响报告书</w:t>
            </w:r>
            <w:r>
              <w:rPr>
                <w:rFonts w:hint="eastAsia"/>
                <w:color w:val="auto"/>
                <w:sz w:val="24"/>
                <w:szCs w:val="24"/>
                <w:highlight w:val="none"/>
                <w:lang w:val="en-US" w:eastAsia="zh-CN"/>
              </w:rPr>
              <w:t>&gt;</w:t>
            </w:r>
            <w:r>
              <w:rPr>
                <w:rFonts w:hint="eastAsia"/>
                <w:color w:val="auto"/>
                <w:sz w:val="24"/>
                <w:szCs w:val="24"/>
                <w:highlight w:val="none"/>
              </w:rPr>
              <w:t>的审查意见》</w:t>
            </w:r>
          </w:p>
          <w:p w14:paraId="5F845231">
            <w:pPr>
              <w:pStyle w:val="101"/>
              <w:keepNext w:val="0"/>
              <w:keepLines w:val="0"/>
              <w:pageBreakBefore w:val="0"/>
              <w:widowControl w:val="0"/>
              <w:kinsoku/>
              <w:wordWrap/>
              <w:overflowPunct/>
              <w:topLinePunct w:val="0"/>
              <w:autoSpaceDE/>
              <w:autoSpaceDN/>
              <w:bidi w:val="0"/>
              <w:adjustRightInd w:val="0"/>
              <w:snapToGrid w:val="0"/>
              <w:spacing w:before="0" w:beforeLines="0" w:line="360" w:lineRule="auto"/>
              <w:ind w:firstLine="480" w:firstLineChars="200"/>
              <w:textAlignment w:val="auto"/>
              <w:rPr>
                <w:rFonts w:hint="eastAsia" w:eastAsia="宋体"/>
                <w:color w:val="auto"/>
                <w:kern w:val="0"/>
                <w:sz w:val="24"/>
                <w:highlight w:val="none"/>
                <w:lang w:val="en-US" w:eastAsia="zh-CN"/>
              </w:rPr>
            </w:pPr>
            <w:r>
              <w:rPr>
                <w:rFonts w:hint="eastAsia"/>
                <w:color w:val="auto"/>
                <w:sz w:val="24"/>
                <w:szCs w:val="24"/>
                <w:highlight w:val="none"/>
                <w:lang w:val="en-US" w:eastAsia="zh-CN"/>
              </w:rPr>
              <w:t>审查文件文号：</w:t>
            </w:r>
            <w:r>
              <w:rPr>
                <w:rFonts w:hint="eastAsia"/>
                <w:color w:val="auto"/>
                <w:sz w:val="24"/>
                <w:szCs w:val="24"/>
                <w:highlight w:val="none"/>
              </w:rPr>
              <w:t>（冀环环评函〔202</w:t>
            </w:r>
            <w:r>
              <w:rPr>
                <w:rFonts w:hint="eastAsia"/>
                <w:color w:val="auto"/>
                <w:sz w:val="24"/>
                <w:szCs w:val="24"/>
                <w:highlight w:val="none"/>
                <w:lang w:val="en-US" w:eastAsia="zh-CN"/>
              </w:rPr>
              <w:t>3</w:t>
            </w:r>
            <w:r>
              <w:rPr>
                <w:rFonts w:hint="eastAsia"/>
                <w:color w:val="auto"/>
                <w:sz w:val="24"/>
                <w:szCs w:val="24"/>
                <w:highlight w:val="none"/>
              </w:rPr>
              <w:t>〕</w:t>
            </w:r>
            <w:r>
              <w:rPr>
                <w:rFonts w:hint="eastAsia"/>
                <w:color w:val="auto"/>
                <w:sz w:val="24"/>
                <w:szCs w:val="24"/>
                <w:highlight w:val="none"/>
                <w:lang w:val="en-US" w:eastAsia="zh-CN"/>
              </w:rPr>
              <w:t>1177</w:t>
            </w:r>
            <w:r>
              <w:rPr>
                <w:rFonts w:hint="eastAsia"/>
                <w:color w:val="auto"/>
                <w:sz w:val="24"/>
                <w:szCs w:val="24"/>
                <w:highlight w:val="none"/>
              </w:rPr>
              <w:t>号）</w:t>
            </w:r>
            <w:r>
              <w:rPr>
                <w:rFonts w:hint="eastAsia"/>
                <w:color w:val="auto"/>
                <w:sz w:val="24"/>
                <w:szCs w:val="24"/>
                <w:highlight w:val="none"/>
                <w:lang w:eastAsia="zh-CN"/>
              </w:rPr>
              <w:t>。</w:t>
            </w:r>
          </w:p>
        </w:tc>
      </w:tr>
      <w:tr w14:paraId="74F6A8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2" w:hRule="atLeast"/>
          <w:jc w:val="center"/>
        </w:trPr>
        <w:tc>
          <w:tcPr>
            <w:tcW w:w="1179" w:type="dxa"/>
            <w:noWrap w:val="0"/>
            <w:vAlign w:val="center"/>
          </w:tcPr>
          <w:p w14:paraId="40100069">
            <w:pPr>
              <w:autoSpaceDE w:val="0"/>
              <w:autoSpaceDN w:val="0"/>
              <w:adjustRightInd w:val="0"/>
              <w:snapToGrid w:val="0"/>
              <w:jc w:val="center"/>
              <w:rPr>
                <w:color w:val="auto"/>
                <w:kern w:val="0"/>
                <w:sz w:val="24"/>
                <w:highlight w:val="none"/>
              </w:rPr>
            </w:pPr>
            <w:r>
              <w:rPr>
                <w:color w:val="auto"/>
                <w:kern w:val="0"/>
                <w:sz w:val="24"/>
                <w:highlight w:val="none"/>
              </w:rPr>
              <w:t>规划及规划环境</w:t>
            </w:r>
          </w:p>
          <w:p w14:paraId="70CA93D2">
            <w:pPr>
              <w:autoSpaceDE w:val="0"/>
              <w:autoSpaceDN w:val="0"/>
              <w:adjustRightInd w:val="0"/>
              <w:snapToGrid w:val="0"/>
              <w:jc w:val="center"/>
              <w:rPr>
                <w:color w:val="auto"/>
                <w:kern w:val="0"/>
                <w:sz w:val="24"/>
                <w:highlight w:val="none"/>
              </w:rPr>
            </w:pPr>
            <w:r>
              <w:rPr>
                <w:color w:val="auto"/>
                <w:kern w:val="0"/>
                <w:sz w:val="24"/>
                <w:highlight w:val="none"/>
              </w:rPr>
              <w:t>影响评价符合性分析</w:t>
            </w:r>
          </w:p>
        </w:tc>
        <w:tc>
          <w:tcPr>
            <w:tcW w:w="7691" w:type="dxa"/>
            <w:gridSpan w:val="5"/>
            <w:noWrap w:val="0"/>
            <w:vAlign w:val="center"/>
          </w:tcPr>
          <w:p w14:paraId="55705CE7">
            <w:pPr>
              <w:autoSpaceDE w:val="0"/>
              <w:autoSpaceDN w:val="0"/>
              <w:adjustRightInd w:val="0"/>
              <w:snapToGrid w:val="0"/>
              <w:spacing w:line="410" w:lineRule="exact"/>
              <w:ind w:firstLine="480" w:firstLineChars="200"/>
              <w:rPr>
                <w:color w:val="auto"/>
                <w:kern w:val="0"/>
                <w:sz w:val="24"/>
                <w:highlight w:val="none"/>
              </w:rPr>
            </w:pPr>
            <w:r>
              <w:rPr>
                <w:color w:val="auto"/>
                <w:kern w:val="0"/>
                <w:sz w:val="24"/>
                <w:highlight w:val="none"/>
              </w:rPr>
              <w:t>1、与规划符合性分析</w:t>
            </w:r>
          </w:p>
          <w:p w14:paraId="69608A85">
            <w:pPr>
              <w:autoSpaceDE w:val="0"/>
              <w:autoSpaceDN w:val="0"/>
              <w:adjustRightInd w:val="0"/>
              <w:snapToGrid w:val="0"/>
              <w:spacing w:line="410" w:lineRule="exact"/>
              <w:ind w:firstLine="480" w:firstLineChars="200"/>
              <w:rPr>
                <w:rFonts w:hint="eastAsia"/>
                <w:bCs/>
                <w:color w:val="auto"/>
                <w:sz w:val="24"/>
                <w:szCs w:val="24"/>
                <w:highlight w:val="none"/>
              </w:rPr>
            </w:pPr>
            <w:r>
              <w:rPr>
                <w:rFonts w:hint="eastAsia"/>
                <w:color w:val="auto"/>
                <w:sz w:val="24"/>
                <w:szCs w:val="24"/>
                <w:highlight w:val="none"/>
                <w:lang w:val="en-US" w:eastAsia="zh-CN"/>
              </w:rPr>
              <w:t>2023年，河北行唐经济开发区管理委员会组织编制完成</w:t>
            </w:r>
            <w:r>
              <w:rPr>
                <w:rFonts w:hint="eastAsia"/>
                <w:color w:val="auto"/>
                <w:sz w:val="24"/>
                <w:szCs w:val="24"/>
                <w:highlight w:val="none"/>
              </w:rPr>
              <w:t>《河北行唐经济开发区控制性详细规划》</w:t>
            </w:r>
            <w:r>
              <w:rPr>
                <w:rFonts w:hint="eastAsia"/>
                <w:color w:val="auto"/>
                <w:sz w:val="24"/>
                <w:szCs w:val="24"/>
                <w:highlight w:val="none"/>
                <w:lang w:eastAsia="zh-CN"/>
              </w:rPr>
              <w:t>，</w:t>
            </w:r>
            <w:r>
              <w:rPr>
                <w:rFonts w:hint="eastAsia"/>
                <w:color w:val="auto"/>
                <w:sz w:val="24"/>
                <w:szCs w:val="24"/>
                <w:highlight w:val="none"/>
                <w:lang w:val="en-US" w:eastAsia="zh-CN"/>
              </w:rPr>
              <w:t>该规划</w:t>
            </w:r>
            <w:r>
              <w:rPr>
                <w:rFonts w:hint="eastAsia"/>
                <w:color w:val="auto"/>
                <w:sz w:val="24"/>
                <w:szCs w:val="24"/>
                <w:highlight w:val="none"/>
              </w:rPr>
              <w:t>河北行唐经济开发区分为南区和北区。本次规划开发区南区范围东至岳霍口村东，南至西正庄村北，西至京昆高速，北至西留营村，总用地面积9.2平方公里；开发区北区范围东至阳关村东，南至明旺乳业，西至郜河东岸，北至上方村北，总用地面积6.02平方公里。</w:t>
            </w:r>
            <w:r>
              <w:rPr>
                <w:color w:val="auto"/>
                <w:sz w:val="24"/>
                <w:szCs w:val="24"/>
                <w:highlight w:val="none"/>
              </w:rPr>
              <w:t>河北行唐经济开发区南区以先进装备制造、绿色建材产业为主导产业，北区以现代食品为主导产业。</w:t>
            </w:r>
            <w:r>
              <w:rPr>
                <w:rFonts w:hint="eastAsia"/>
                <w:bCs/>
                <w:color w:val="auto"/>
                <w:sz w:val="24"/>
                <w:szCs w:val="24"/>
                <w:highlight w:val="none"/>
              </w:rPr>
              <w:t>规划期限为2021年至20</w:t>
            </w:r>
            <w:r>
              <w:rPr>
                <w:rFonts w:hint="eastAsia"/>
                <w:bCs/>
                <w:color w:val="auto"/>
                <w:sz w:val="24"/>
                <w:szCs w:val="24"/>
                <w:highlight w:val="none"/>
                <w:lang w:val="en-US" w:eastAsia="zh-CN"/>
              </w:rPr>
              <w:t>35</w:t>
            </w:r>
            <w:r>
              <w:rPr>
                <w:rFonts w:hint="eastAsia"/>
                <w:bCs/>
                <w:color w:val="auto"/>
                <w:sz w:val="24"/>
                <w:szCs w:val="24"/>
                <w:highlight w:val="none"/>
              </w:rPr>
              <w:t>年，其中近期为2021年至2025年，远期为2026年至203</w:t>
            </w:r>
            <w:r>
              <w:rPr>
                <w:rFonts w:hint="eastAsia"/>
                <w:bCs/>
                <w:color w:val="auto"/>
                <w:sz w:val="24"/>
                <w:szCs w:val="24"/>
                <w:highlight w:val="none"/>
                <w:lang w:val="en-US" w:eastAsia="zh-CN"/>
              </w:rPr>
              <w:t>5</w:t>
            </w:r>
            <w:r>
              <w:rPr>
                <w:rFonts w:hint="eastAsia"/>
                <w:bCs/>
                <w:color w:val="auto"/>
                <w:sz w:val="24"/>
                <w:szCs w:val="24"/>
                <w:highlight w:val="none"/>
              </w:rPr>
              <w:t>年。</w:t>
            </w:r>
          </w:p>
          <w:p w14:paraId="3E5A79A6">
            <w:pPr>
              <w:autoSpaceDE w:val="0"/>
              <w:autoSpaceDN w:val="0"/>
              <w:adjustRightInd w:val="0"/>
              <w:snapToGrid w:val="0"/>
              <w:spacing w:line="420" w:lineRule="exact"/>
              <w:ind w:firstLine="480" w:firstLineChars="200"/>
              <w:jc w:val="left"/>
              <w:rPr>
                <w:color w:val="auto"/>
                <w:kern w:val="0"/>
                <w:sz w:val="24"/>
                <w:szCs w:val="24"/>
                <w:highlight w:val="none"/>
              </w:rPr>
            </w:pPr>
            <w:r>
              <w:rPr>
                <w:color w:val="auto"/>
                <w:kern w:val="0"/>
                <w:sz w:val="24"/>
                <w:szCs w:val="24"/>
                <w:highlight w:val="none"/>
              </w:rPr>
              <w:t>园区规划产业和发展方向详见表1</w:t>
            </w:r>
            <w:r>
              <w:rPr>
                <w:rFonts w:hint="eastAsia"/>
                <w:color w:val="auto"/>
                <w:kern w:val="0"/>
                <w:sz w:val="24"/>
                <w:szCs w:val="24"/>
                <w:highlight w:val="none"/>
              </w:rPr>
              <w:t>-1</w:t>
            </w:r>
            <w:r>
              <w:rPr>
                <w:color w:val="auto"/>
                <w:kern w:val="0"/>
                <w:sz w:val="24"/>
                <w:szCs w:val="24"/>
                <w:highlight w:val="none"/>
              </w:rPr>
              <w:t>。</w:t>
            </w:r>
          </w:p>
          <w:p w14:paraId="738AD2C5">
            <w:pPr>
              <w:autoSpaceDE w:val="0"/>
              <w:autoSpaceDN w:val="0"/>
              <w:adjustRightInd w:val="0"/>
              <w:snapToGrid w:val="0"/>
              <w:spacing w:line="420" w:lineRule="exact"/>
              <w:ind w:firstLine="482" w:firstLineChars="200"/>
              <w:jc w:val="center"/>
              <w:rPr>
                <w:b/>
                <w:bCs/>
                <w:color w:val="auto"/>
                <w:kern w:val="0"/>
                <w:szCs w:val="21"/>
                <w:highlight w:val="none"/>
              </w:rPr>
            </w:pPr>
            <w:r>
              <w:rPr>
                <w:b/>
                <w:bCs/>
                <w:color w:val="auto"/>
                <w:kern w:val="0"/>
                <w:sz w:val="24"/>
                <w:szCs w:val="24"/>
                <w:highlight w:val="none"/>
              </w:rPr>
              <w:t>表1</w:t>
            </w:r>
            <w:r>
              <w:rPr>
                <w:rFonts w:hint="eastAsia"/>
                <w:b/>
                <w:bCs/>
                <w:color w:val="auto"/>
                <w:kern w:val="0"/>
                <w:sz w:val="24"/>
                <w:szCs w:val="24"/>
                <w:highlight w:val="none"/>
              </w:rPr>
              <w:t>-1</w:t>
            </w:r>
            <w:r>
              <w:rPr>
                <w:b/>
                <w:bCs/>
                <w:color w:val="auto"/>
                <w:kern w:val="0"/>
                <w:sz w:val="24"/>
                <w:szCs w:val="24"/>
                <w:highlight w:val="none"/>
              </w:rPr>
              <w:t xml:space="preserve">   规划产业和发展方向一览表</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29"/>
              <w:gridCol w:w="630"/>
              <w:gridCol w:w="491"/>
              <w:gridCol w:w="639"/>
              <w:gridCol w:w="5173"/>
            </w:tblGrid>
            <w:tr w14:paraId="7B467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tblHeader/>
                <w:jc w:val="center"/>
              </w:trPr>
              <w:tc>
                <w:tcPr>
                  <w:tcW w:w="354" w:type="pct"/>
                  <w:noWrap w:val="0"/>
                  <w:vAlign w:val="center"/>
                </w:tcPr>
                <w:p w14:paraId="31C21BDC">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序号</w:t>
                  </w:r>
                </w:p>
              </w:tc>
              <w:tc>
                <w:tcPr>
                  <w:tcW w:w="422" w:type="pct"/>
                  <w:noWrap w:val="0"/>
                  <w:vAlign w:val="center"/>
                </w:tcPr>
                <w:p w14:paraId="269C70EE">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园区</w:t>
                  </w:r>
                </w:p>
              </w:tc>
              <w:tc>
                <w:tcPr>
                  <w:tcW w:w="757" w:type="pct"/>
                  <w:gridSpan w:val="2"/>
                  <w:noWrap w:val="0"/>
                  <w:vAlign w:val="center"/>
                </w:tcPr>
                <w:p w14:paraId="40557ABD">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规划产业</w:t>
                  </w:r>
                </w:p>
              </w:tc>
              <w:tc>
                <w:tcPr>
                  <w:tcW w:w="3465" w:type="pct"/>
                  <w:noWrap w:val="0"/>
                  <w:vAlign w:val="center"/>
                </w:tcPr>
                <w:p w14:paraId="7FB37BC5">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产业发展方向</w:t>
                  </w:r>
                </w:p>
              </w:tc>
            </w:tr>
            <w:tr w14:paraId="50C33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1AAEEAFE">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1</w:t>
                  </w:r>
                </w:p>
              </w:tc>
              <w:tc>
                <w:tcPr>
                  <w:tcW w:w="422" w:type="pct"/>
                  <w:vMerge w:val="restart"/>
                  <w:noWrap w:val="0"/>
                  <w:vAlign w:val="center"/>
                </w:tcPr>
                <w:p w14:paraId="40103841">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南区</w:t>
                  </w:r>
                </w:p>
              </w:tc>
              <w:tc>
                <w:tcPr>
                  <w:tcW w:w="329" w:type="pct"/>
                  <w:vMerge w:val="restart"/>
                  <w:noWrap w:val="0"/>
                  <w:vAlign w:val="center"/>
                </w:tcPr>
                <w:p w14:paraId="5C1AB1B6">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先进制造</w:t>
                  </w:r>
                </w:p>
              </w:tc>
              <w:tc>
                <w:tcPr>
                  <w:tcW w:w="427" w:type="pct"/>
                  <w:noWrap w:val="0"/>
                  <w:vAlign w:val="center"/>
                </w:tcPr>
                <w:p w14:paraId="2D959576">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装备</w:t>
                  </w:r>
                </w:p>
                <w:p w14:paraId="74683D4A">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制造</w:t>
                  </w:r>
                </w:p>
              </w:tc>
              <w:tc>
                <w:tcPr>
                  <w:tcW w:w="3465" w:type="pct"/>
                  <w:noWrap w:val="0"/>
                  <w:vAlign w:val="center"/>
                </w:tcPr>
                <w:p w14:paraId="3C243262">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重点发展机械装备制造，包括阀门、泵业、农机设备等制造，以及智能家居制造，包括智能家电、智能机器人及配件等制造。</w:t>
                  </w:r>
                </w:p>
              </w:tc>
            </w:tr>
            <w:tr w14:paraId="3547C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1BAEC6F1">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2</w:t>
                  </w:r>
                </w:p>
              </w:tc>
              <w:tc>
                <w:tcPr>
                  <w:tcW w:w="422" w:type="pct"/>
                  <w:vMerge w:val="continue"/>
                  <w:noWrap w:val="0"/>
                  <w:vAlign w:val="center"/>
                </w:tcPr>
                <w:p w14:paraId="3EB06CD4">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329" w:type="pct"/>
                  <w:vMerge w:val="continue"/>
                  <w:noWrap w:val="0"/>
                  <w:vAlign w:val="center"/>
                </w:tcPr>
                <w:p w14:paraId="2EDAEDD7">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427" w:type="pct"/>
                  <w:noWrap w:val="0"/>
                  <w:vAlign w:val="center"/>
                </w:tcPr>
                <w:p w14:paraId="412354D7">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绿色</w:t>
                  </w:r>
                </w:p>
                <w:p w14:paraId="02FA2C69">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建材</w:t>
                  </w:r>
                </w:p>
              </w:tc>
              <w:tc>
                <w:tcPr>
                  <w:tcW w:w="3465" w:type="pct"/>
                  <w:noWrap w:val="0"/>
                  <w:vAlign w:val="center"/>
                </w:tcPr>
                <w:p w14:paraId="31B24A20">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重点发展玻璃、节能环保建材、装配式建筑材料及配件等生产</w:t>
                  </w:r>
                  <w:r>
                    <w:rPr>
                      <w:rFonts w:hint="eastAsia"/>
                      <w:color w:val="auto"/>
                      <w:highlight w:val="none"/>
                    </w:rPr>
                    <w:t>，以及玻璃深加工</w:t>
                  </w:r>
                  <w:r>
                    <w:rPr>
                      <w:color w:val="auto"/>
                      <w:highlight w:val="none"/>
                    </w:rPr>
                    <w:t>。</w:t>
                  </w:r>
                </w:p>
              </w:tc>
            </w:tr>
            <w:tr w14:paraId="008FF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76504E2A">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3</w:t>
                  </w:r>
                </w:p>
              </w:tc>
              <w:tc>
                <w:tcPr>
                  <w:tcW w:w="422" w:type="pct"/>
                  <w:vMerge w:val="continue"/>
                  <w:noWrap w:val="0"/>
                  <w:vAlign w:val="center"/>
                </w:tcPr>
                <w:p w14:paraId="6BDE384B">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34F17F43">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color w:val="auto"/>
                      <w:highlight w:val="none"/>
                    </w:rPr>
                    <w:t>健康产业</w:t>
                  </w:r>
                </w:p>
              </w:tc>
              <w:tc>
                <w:tcPr>
                  <w:tcW w:w="3465" w:type="pct"/>
                  <w:noWrap w:val="0"/>
                  <w:vAlign w:val="center"/>
                </w:tcPr>
                <w:p w14:paraId="2861AB61">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重点发展中药材、保健品等。</w:t>
                  </w:r>
                </w:p>
              </w:tc>
            </w:tr>
            <w:tr w14:paraId="331A7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3ABD70DC">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4</w:t>
                  </w:r>
                </w:p>
              </w:tc>
              <w:tc>
                <w:tcPr>
                  <w:tcW w:w="422" w:type="pct"/>
                  <w:vMerge w:val="continue"/>
                  <w:noWrap w:val="0"/>
                  <w:vAlign w:val="center"/>
                </w:tcPr>
                <w:p w14:paraId="21359333">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38EC049C">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包装印刷</w:t>
                  </w:r>
                </w:p>
              </w:tc>
              <w:tc>
                <w:tcPr>
                  <w:tcW w:w="3465" w:type="pct"/>
                  <w:noWrap w:val="0"/>
                  <w:vAlign w:val="center"/>
                </w:tcPr>
                <w:p w14:paraId="1186A5DC">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主要发展包装材料</w:t>
                  </w:r>
                  <w:r>
                    <w:rPr>
                      <w:rFonts w:hint="eastAsia"/>
                      <w:color w:val="auto"/>
                      <w:highlight w:val="none"/>
                    </w:rPr>
                    <w:t>及印刷。</w:t>
                  </w:r>
                </w:p>
              </w:tc>
            </w:tr>
            <w:tr w14:paraId="02CB2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385C6E9D">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5</w:t>
                  </w:r>
                </w:p>
              </w:tc>
              <w:tc>
                <w:tcPr>
                  <w:tcW w:w="422" w:type="pct"/>
                  <w:vMerge w:val="continue"/>
                  <w:noWrap w:val="0"/>
                  <w:vAlign w:val="center"/>
                </w:tcPr>
                <w:p w14:paraId="169EF3B5">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6A4024FB">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家具制造</w:t>
                  </w:r>
                </w:p>
              </w:tc>
              <w:tc>
                <w:tcPr>
                  <w:tcW w:w="3465" w:type="pct"/>
                  <w:noWrap w:val="0"/>
                  <w:vAlign w:val="center"/>
                </w:tcPr>
                <w:p w14:paraId="05F0F3F1">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主要发展家具及板材制造</w:t>
                  </w:r>
                  <w:r>
                    <w:rPr>
                      <w:rFonts w:hint="eastAsia"/>
                      <w:color w:val="auto"/>
                      <w:highlight w:val="none"/>
                    </w:rPr>
                    <w:t>。</w:t>
                  </w:r>
                </w:p>
              </w:tc>
            </w:tr>
            <w:tr w14:paraId="5A807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26BE9F40">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6</w:t>
                  </w:r>
                </w:p>
              </w:tc>
              <w:tc>
                <w:tcPr>
                  <w:tcW w:w="422" w:type="pct"/>
                  <w:vMerge w:val="continue"/>
                  <w:noWrap w:val="0"/>
                  <w:vAlign w:val="center"/>
                </w:tcPr>
                <w:p w14:paraId="1BF0BAAB">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p>
              </w:tc>
              <w:tc>
                <w:tcPr>
                  <w:tcW w:w="757" w:type="pct"/>
                  <w:gridSpan w:val="2"/>
                  <w:noWrap w:val="0"/>
                  <w:vAlign w:val="center"/>
                </w:tcPr>
                <w:p w14:paraId="4EC3A763">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color w:val="auto"/>
                      <w:highlight w:val="none"/>
                    </w:rPr>
                  </w:pPr>
                  <w:r>
                    <w:rPr>
                      <w:rFonts w:hint="eastAsia"/>
                      <w:color w:val="auto"/>
                      <w:highlight w:val="none"/>
                    </w:rPr>
                    <w:t>轻工产业</w:t>
                  </w:r>
                </w:p>
              </w:tc>
              <w:tc>
                <w:tcPr>
                  <w:tcW w:w="3465" w:type="pct"/>
                  <w:noWrap w:val="0"/>
                  <w:vAlign w:val="center"/>
                </w:tcPr>
                <w:p w14:paraId="24EBBA96">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color w:val="auto"/>
                      <w:highlight w:val="none"/>
                    </w:rPr>
                  </w:pPr>
                  <w:r>
                    <w:rPr>
                      <w:color w:val="auto"/>
                      <w:highlight w:val="none"/>
                    </w:rPr>
                    <w:t>主要发展鞋品及服装服饰制造、家居用品。</w:t>
                  </w:r>
                </w:p>
              </w:tc>
            </w:tr>
            <w:tr w14:paraId="2383D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 w:hRule="atLeast"/>
                <w:jc w:val="center"/>
              </w:trPr>
              <w:tc>
                <w:tcPr>
                  <w:tcW w:w="354" w:type="pct"/>
                  <w:noWrap w:val="0"/>
                  <w:vAlign w:val="center"/>
                </w:tcPr>
                <w:p w14:paraId="62C3B5F5">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7</w:t>
                  </w:r>
                </w:p>
              </w:tc>
              <w:tc>
                <w:tcPr>
                  <w:tcW w:w="422" w:type="pct"/>
                  <w:noWrap w:val="0"/>
                  <w:vAlign w:val="center"/>
                </w:tcPr>
                <w:p w14:paraId="3A01CB26">
                  <w:pPr>
                    <w:pStyle w:val="121"/>
                    <w:keepNext w:val="0"/>
                    <w:keepLines w:val="0"/>
                    <w:pageBreakBefore w:val="0"/>
                    <w:widowControl/>
                    <w:kinsoku/>
                    <w:wordWrap/>
                    <w:overflowPunct/>
                    <w:topLinePunct w:val="0"/>
                    <w:autoSpaceDE/>
                    <w:autoSpaceDN/>
                    <w:bidi w:val="0"/>
                    <w:adjustRightInd/>
                    <w:snapToGrid w:val="0"/>
                    <w:spacing w:line="320" w:lineRule="exac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北区</w:t>
                  </w:r>
                </w:p>
              </w:tc>
              <w:tc>
                <w:tcPr>
                  <w:tcW w:w="757" w:type="pct"/>
                  <w:gridSpan w:val="2"/>
                  <w:noWrap w:val="0"/>
                  <w:vAlign w:val="center"/>
                </w:tcPr>
                <w:p w14:paraId="4BA10004">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现代食品</w:t>
                  </w:r>
                </w:p>
              </w:tc>
              <w:tc>
                <w:tcPr>
                  <w:tcW w:w="3465" w:type="pct"/>
                  <w:noWrap w:val="0"/>
                  <w:vAlign w:val="center"/>
                </w:tcPr>
                <w:p w14:paraId="186FB004">
                  <w:pPr>
                    <w:pStyle w:val="121"/>
                    <w:keepNext w:val="0"/>
                    <w:keepLines w:val="0"/>
                    <w:pageBreakBefore w:val="0"/>
                    <w:widowControl/>
                    <w:kinsoku/>
                    <w:wordWrap/>
                    <w:overflowPunct/>
                    <w:topLinePunct w:val="0"/>
                    <w:autoSpaceDE/>
                    <w:autoSpaceDN/>
                    <w:bidi w:val="0"/>
                    <w:adjustRightInd/>
                    <w:snapToGrid w:val="0"/>
                    <w:spacing w:line="320" w:lineRule="exact"/>
                    <w:jc w:val="left"/>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依托行唐县良好的农业条件和开发区北区现有的农产品加工产业基础，大力发展现代食品精深加工业。同时加快配套包装材料加工产业的发展，主要包括塑料类食品包装材料、金属类食品包装材料、纸质类食品包装材料、绿色食品包装材料、纳米食品包装材料的加工。</w:t>
                  </w:r>
                </w:p>
              </w:tc>
            </w:tr>
          </w:tbl>
          <w:p w14:paraId="3F3E735C">
            <w:pPr>
              <w:autoSpaceDE w:val="0"/>
              <w:autoSpaceDN w:val="0"/>
              <w:adjustRightInd w:val="0"/>
              <w:snapToGrid w:val="0"/>
              <w:spacing w:line="410" w:lineRule="exact"/>
              <w:ind w:firstLine="480" w:firstLineChars="200"/>
              <w:rPr>
                <w:rFonts w:hint="eastAsia" w:eastAsia="宋体"/>
                <w:bCs/>
                <w:color w:val="auto"/>
                <w:kern w:val="0"/>
                <w:sz w:val="24"/>
                <w:highlight w:val="none"/>
                <w:lang w:val="en-US" w:eastAsia="zh-CN"/>
              </w:rPr>
            </w:pPr>
            <w:r>
              <w:rPr>
                <w:rFonts w:hint="eastAsia" w:ascii="Times New Roman" w:hAnsi="Times New Roman" w:eastAsia="宋体" w:cs="Times New Roman"/>
                <w:bCs/>
                <w:color w:val="auto"/>
                <w:sz w:val="24"/>
                <w:highlight w:val="none"/>
                <w:lang w:val="en-US" w:eastAsia="zh-CN"/>
              </w:rPr>
              <w:t>行唐县龙鑫机械制造有限公司</w:t>
            </w:r>
            <w:r>
              <w:rPr>
                <w:rFonts w:hint="eastAsia" w:cs="Times New Roman"/>
                <w:bCs/>
                <w:color w:val="auto"/>
                <w:sz w:val="24"/>
                <w:highlight w:val="none"/>
                <w:lang w:val="en-US" w:eastAsia="zh-CN"/>
              </w:rPr>
              <w:t>原有</w:t>
            </w:r>
            <w:r>
              <w:rPr>
                <w:rFonts w:hint="eastAsia" w:ascii="Times New Roman" w:hAnsi="Times New Roman" w:eastAsia="宋体" w:cs="Times New Roman"/>
                <w:bCs/>
                <w:color w:val="auto"/>
                <w:sz w:val="24"/>
                <w:highlight w:val="none"/>
                <w:lang w:val="en-US" w:eastAsia="zh-CN"/>
              </w:rPr>
              <w:t>“</w:t>
            </w:r>
            <w:r>
              <w:rPr>
                <w:rFonts w:hint="eastAsia" w:ascii="Times New Roman" w:hAnsi="Times New Roman" w:eastAsia="宋体" w:cs="Times New Roman"/>
                <w:bCs/>
                <w:color w:val="auto"/>
                <w:sz w:val="24"/>
                <w:highlight w:val="none"/>
                <w:lang w:eastAsia="zh-CN"/>
              </w:rPr>
              <w:t>年产5400吨汽车制动鼓、制动盘精密铸造项目</w:t>
            </w:r>
            <w:r>
              <w:rPr>
                <w:rFonts w:hint="eastAsia" w:ascii="Times New Roman" w:hAnsi="Times New Roman" w:eastAsia="宋体" w:cs="Times New Roman"/>
                <w:bCs/>
                <w:color w:val="auto"/>
                <w:sz w:val="24"/>
                <w:highlight w:val="none"/>
                <w:lang w:val="en-US" w:eastAsia="zh-CN"/>
              </w:rPr>
              <w:t>”</w:t>
            </w:r>
            <w:r>
              <w:rPr>
                <w:rFonts w:hint="eastAsia" w:ascii="Times New Roman" w:hAnsi="Times New Roman" w:eastAsia="宋体" w:cs="Times New Roman"/>
                <w:bCs/>
                <w:color w:val="auto"/>
                <w:sz w:val="24"/>
                <w:highlight w:val="none"/>
              </w:rPr>
              <w:t>位于</w:t>
            </w:r>
            <w:r>
              <w:rPr>
                <w:rFonts w:hint="eastAsia"/>
                <w:bCs/>
                <w:color w:val="auto"/>
                <w:kern w:val="0"/>
                <w:sz w:val="24"/>
                <w:szCs w:val="24"/>
                <w:highlight w:val="none"/>
              </w:rPr>
              <w:t>行唐县经济开发区南区</w:t>
            </w:r>
            <w:r>
              <w:rPr>
                <w:rFonts w:hint="eastAsia" w:ascii="Times New Roman" w:hAnsi="Times New Roman" w:cs="宋体"/>
                <w:color w:val="auto"/>
                <w:sz w:val="24"/>
                <w:szCs w:val="24"/>
                <w:highlight w:val="none"/>
                <w:u w:val="none"/>
                <w:lang w:val="en-US" w:eastAsia="zh-CN"/>
              </w:rPr>
              <w:t>胜利大街北侧、玉晶路西侧</w:t>
            </w:r>
            <w:r>
              <w:rPr>
                <w:rFonts w:hint="eastAsia"/>
                <w:bCs/>
                <w:color w:val="auto"/>
                <w:kern w:val="0"/>
                <w:sz w:val="24"/>
                <w:szCs w:val="24"/>
                <w:highlight w:val="none"/>
                <w:u w:val="none"/>
              </w:rPr>
              <w:t>，</w:t>
            </w:r>
            <w:r>
              <w:rPr>
                <w:rFonts w:hint="default"/>
                <w:color w:val="auto"/>
                <w:sz w:val="24"/>
                <w:szCs w:val="24"/>
                <w:highlight w:val="none"/>
                <w:lang w:eastAsia="zh-CN"/>
              </w:rPr>
              <w:t>主要</w:t>
            </w:r>
            <w:r>
              <w:rPr>
                <w:rFonts w:hint="eastAsia"/>
                <w:color w:val="auto"/>
                <w:sz w:val="24"/>
                <w:szCs w:val="24"/>
                <w:highlight w:val="none"/>
                <w:lang w:val="en-US" w:eastAsia="zh-CN"/>
              </w:rPr>
              <w:t>生产汽车制动盘、制动鼓等</w:t>
            </w:r>
            <w:r>
              <w:rPr>
                <w:rFonts w:hint="eastAsia"/>
                <w:bCs/>
                <w:color w:val="auto"/>
                <w:kern w:val="0"/>
                <w:sz w:val="24"/>
                <w:szCs w:val="24"/>
                <w:highlight w:val="none"/>
                <w:u w:val="none"/>
              </w:rPr>
              <w:t>，</w:t>
            </w:r>
            <w:r>
              <w:rPr>
                <w:rFonts w:hint="eastAsia"/>
                <w:bCs/>
                <w:color w:val="auto"/>
                <w:kern w:val="0"/>
                <w:sz w:val="24"/>
                <w:szCs w:val="24"/>
                <w:highlight w:val="none"/>
                <w:u w:val="none"/>
                <w:lang w:val="en-US" w:eastAsia="zh-CN"/>
              </w:rPr>
              <w:t>为汽车配件，符合装备制造产业定位，技改项目位于</w:t>
            </w:r>
            <w:r>
              <w:rPr>
                <w:rFonts w:hint="eastAsia"/>
                <w:bCs/>
                <w:color w:val="auto"/>
                <w:sz w:val="24"/>
                <w:szCs w:val="24"/>
                <w:highlight w:val="none"/>
              </w:rPr>
              <w:t>装备制造</w:t>
            </w:r>
            <w:r>
              <w:rPr>
                <w:rFonts w:hint="eastAsia"/>
                <w:bCs/>
                <w:color w:val="auto"/>
                <w:sz w:val="24"/>
                <w:szCs w:val="24"/>
                <w:highlight w:val="none"/>
                <w:lang w:val="en-US" w:eastAsia="zh-CN"/>
              </w:rPr>
              <w:t>产业园内，占</w:t>
            </w:r>
            <w:r>
              <w:rPr>
                <w:rFonts w:hint="eastAsia"/>
                <w:bCs/>
                <w:color w:val="auto"/>
                <w:kern w:val="0"/>
                <w:sz w:val="24"/>
                <w:szCs w:val="24"/>
                <w:highlight w:val="none"/>
              </w:rPr>
              <w:t>地类型为规划的工业用地，符合开发区用地规划和产业规划</w:t>
            </w:r>
            <w:r>
              <w:rPr>
                <w:rFonts w:hint="eastAsia"/>
                <w:bCs/>
                <w:color w:val="auto"/>
                <w:kern w:val="0"/>
                <w:sz w:val="24"/>
                <w:highlight w:val="none"/>
              </w:rPr>
              <w:t>。河北行唐经济开发区管理委员会已出具关于</w:t>
            </w:r>
            <w:r>
              <w:rPr>
                <w:rFonts w:hint="eastAsia" w:ascii="Times New Roman" w:hAnsi="Times New Roman" w:eastAsia="宋体" w:cs="Times New Roman"/>
                <w:bCs/>
                <w:color w:val="auto"/>
                <w:sz w:val="24"/>
                <w:highlight w:val="none"/>
                <w:lang w:val="en-US" w:eastAsia="zh-CN"/>
              </w:rPr>
              <w:t>“</w:t>
            </w:r>
            <w:r>
              <w:rPr>
                <w:rFonts w:hint="eastAsia" w:ascii="Times New Roman" w:hAnsi="Times New Roman" w:eastAsia="宋体" w:cs="Times New Roman"/>
                <w:bCs/>
                <w:color w:val="auto"/>
                <w:sz w:val="24"/>
                <w:highlight w:val="none"/>
                <w:lang w:eastAsia="zh-CN"/>
              </w:rPr>
              <w:t>年产5400吨汽车制动鼓制动盘精密铸造项目</w:t>
            </w:r>
            <w:r>
              <w:rPr>
                <w:rFonts w:hint="eastAsia" w:ascii="Times New Roman" w:hAnsi="Times New Roman" w:eastAsia="宋体" w:cs="Times New Roman"/>
                <w:bCs/>
                <w:color w:val="auto"/>
                <w:sz w:val="24"/>
                <w:highlight w:val="none"/>
                <w:lang w:val="en-US" w:eastAsia="zh-CN"/>
              </w:rPr>
              <w:t>”</w:t>
            </w:r>
            <w:r>
              <w:rPr>
                <w:rFonts w:hint="eastAsia"/>
                <w:bCs/>
                <w:color w:val="auto"/>
                <w:kern w:val="0"/>
                <w:sz w:val="24"/>
                <w:highlight w:val="none"/>
              </w:rPr>
              <w:t>的选址意见，项目选址符合园区产业规划</w:t>
            </w:r>
            <w:r>
              <w:rPr>
                <w:rFonts w:hint="eastAsia"/>
                <w:bCs/>
                <w:color w:val="auto"/>
                <w:kern w:val="0"/>
                <w:sz w:val="24"/>
                <w:highlight w:val="none"/>
                <w:lang w:eastAsia="zh-CN"/>
              </w:rPr>
              <w:t>。</w:t>
            </w:r>
            <w:r>
              <w:rPr>
                <w:rFonts w:hint="eastAsia" w:ascii="Times New Roman" w:hAnsi="Times New Roman" w:eastAsia="宋体" w:cs="Times New Roman"/>
                <w:bCs/>
                <w:color w:val="auto"/>
                <w:sz w:val="24"/>
                <w:highlight w:val="none"/>
                <w:lang w:val="en-US" w:eastAsia="zh-CN"/>
              </w:rPr>
              <w:t>行唐县龙鑫机械制造有限公司</w:t>
            </w:r>
            <w:r>
              <w:rPr>
                <w:rFonts w:hint="eastAsia" w:ascii="Times New Roman" w:hAnsi="Times New Roman" w:eastAsia="宋体" w:cs="Times New Roman"/>
                <w:bCs/>
                <w:color w:val="auto"/>
                <w:sz w:val="24"/>
                <w:highlight w:val="none"/>
                <w:lang w:eastAsia="zh-CN"/>
              </w:rPr>
              <w:t>年产5400吨汽车制动鼓、制动盘精密铸造项目</w:t>
            </w:r>
            <w:r>
              <w:rPr>
                <w:rFonts w:hint="eastAsia" w:ascii="Times New Roman" w:hAnsi="Times New Roman" w:eastAsia="宋体" w:cs="Times New Roman"/>
                <w:bCs/>
                <w:color w:val="auto"/>
                <w:sz w:val="24"/>
                <w:highlight w:val="none"/>
                <w:lang w:val="en-US" w:eastAsia="zh-CN"/>
              </w:rPr>
              <w:t>占用两个批次建设用地，两个批次建设用地均已取得土地证、规划许可证，</w:t>
            </w:r>
            <w:r>
              <w:rPr>
                <w:rFonts w:hint="eastAsia"/>
                <w:bCs/>
                <w:color w:val="auto"/>
                <w:kern w:val="0"/>
                <w:sz w:val="24"/>
                <w:highlight w:val="none"/>
              </w:rPr>
              <w:t>详见附件。</w:t>
            </w:r>
          </w:p>
          <w:p w14:paraId="3521B09D">
            <w:pPr>
              <w:autoSpaceDE w:val="0"/>
              <w:autoSpaceDN w:val="0"/>
              <w:adjustRightInd w:val="0"/>
              <w:snapToGrid w:val="0"/>
              <w:spacing w:line="410" w:lineRule="exact"/>
              <w:ind w:firstLine="480" w:firstLineChars="200"/>
              <w:rPr>
                <w:rFonts w:hint="eastAsia" w:ascii="Times New Roman" w:hAnsi="Times New Roman" w:eastAsia="宋体" w:cs="Times New Roman"/>
                <w:bCs/>
                <w:color w:val="auto"/>
                <w:kern w:val="0"/>
                <w:sz w:val="24"/>
                <w:highlight w:val="none"/>
                <w:lang w:val="en-US" w:eastAsia="zh-CN"/>
              </w:rPr>
            </w:pPr>
            <w:r>
              <w:rPr>
                <w:rFonts w:hint="eastAsia" w:cs="Times New Roman"/>
                <w:bCs/>
                <w:color w:val="auto"/>
                <w:sz w:val="24"/>
                <w:highlight w:val="none"/>
                <w:lang w:val="en-US" w:eastAsia="zh-CN"/>
              </w:rPr>
              <w:t>2023年9月</w:t>
            </w:r>
            <w:r>
              <w:rPr>
                <w:rFonts w:hint="eastAsia" w:ascii="Times New Roman" w:hAnsi="Times New Roman" w:eastAsia="宋体" w:cs="Times New Roman"/>
                <w:bCs/>
                <w:color w:val="auto"/>
                <w:sz w:val="24"/>
                <w:highlight w:val="none"/>
                <w:lang w:val="en-US" w:eastAsia="zh-CN"/>
              </w:rPr>
              <w:t>利用已有生产车间，对“年产5400吨汽车制动鼓、制动盘精密铸造项目”的喷漆线进行技改：建设一台 XBJ-300 天然气燃烧炉燃烧天然气以替代电做热源，以降低成本，项目建成后全厂的原辅材料、生产工艺、生产规模均不变</w:t>
            </w:r>
            <w:r>
              <w:rPr>
                <w:rFonts w:hint="eastAsia" w:ascii="Times New Roman" w:hAnsi="Times New Roman" w:eastAsia="宋体" w:cs="Times New Roman"/>
                <w:bCs/>
                <w:color w:val="auto"/>
                <w:kern w:val="0"/>
                <w:sz w:val="24"/>
                <w:highlight w:val="none"/>
                <w:lang w:val="en-US" w:eastAsia="zh-CN"/>
              </w:rPr>
              <w:t>。</w:t>
            </w:r>
          </w:p>
          <w:p w14:paraId="048C3BFF">
            <w:pPr>
              <w:autoSpaceDE w:val="0"/>
              <w:autoSpaceDN w:val="0"/>
              <w:adjustRightInd w:val="0"/>
              <w:snapToGrid w:val="0"/>
              <w:spacing w:line="410" w:lineRule="exact"/>
              <w:ind w:firstLine="480" w:firstLineChars="200"/>
              <w:rPr>
                <w:rFonts w:hint="default" w:ascii="Times New Roman" w:hAnsi="Times New Roman" w:eastAsia="宋体" w:cs="Times New Roman"/>
                <w:bCs/>
                <w:color w:val="auto"/>
                <w:kern w:val="0"/>
                <w:sz w:val="24"/>
                <w:highlight w:val="none"/>
                <w:lang w:val="en-US" w:eastAsia="zh-CN"/>
              </w:rPr>
            </w:pPr>
            <w:r>
              <w:rPr>
                <w:rFonts w:hint="eastAsia" w:cs="Times New Roman"/>
                <w:bCs/>
                <w:color w:val="auto"/>
                <w:kern w:val="0"/>
                <w:sz w:val="24"/>
                <w:highlight w:val="none"/>
                <w:lang w:val="en-US" w:eastAsia="zh-CN"/>
              </w:rPr>
              <w:t>本次技改仍利用已有生产车间</w:t>
            </w:r>
            <w:r>
              <w:rPr>
                <w:rFonts w:hint="eastAsia"/>
                <w:bCs/>
                <w:color w:val="auto"/>
                <w:kern w:val="0"/>
                <w:sz w:val="24"/>
                <w:highlight w:val="none"/>
              </w:rPr>
              <w:t>，对喷漆线进行技改，喷漆前增加清洗烘干线，提高喷漆质量。故技改项目符合</w:t>
            </w:r>
            <w:r>
              <w:rPr>
                <w:rFonts w:hint="eastAsia"/>
                <w:bCs/>
                <w:color w:val="auto"/>
                <w:sz w:val="24"/>
                <w:highlight w:val="none"/>
              </w:rPr>
              <w:t>河北行唐经济开发区控制性详细规划。</w:t>
            </w:r>
          </w:p>
          <w:p w14:paraId="175F9E19">
            <w:pPr>
              <w:autoSpaceDE w:val="0"/>
              <w:autoSpaceDN w:val="0"/>
              <w:adjustRightInd w:val="0"/>
              <w:snapToGrid w:val="0"/>
              <w:spacing w:line="410" w:lineRule="exact"/>
              <w:ind w:firstLine="480" w:firstLineChars="200"/>
              <w:rPr>
                <w:color w:val="auto"/>
                <w:kern w:val="0"/>
                <w:sz w:val="24"/>
                <w:highlight w:val="none"/>
              </w:rPr>
            </w:pPr>
            <w:r>
              <w:rPr>
                <w:color w:val="auto"/>
                <w:kern w:val="0"/>
                <w:sz w:val="24"/>
                <w:highlight w:val="none"/>
              </w:rPr>
              <w:t>2、与规划环境影响评价结论符合性分析</w:t>
            </w:r>
          </w:p>
          <w:p w14:paraId="6828EDFC">
            <w:pPr>
              <w:autoSpaceDE w:val="0"/>
              <w:autoSpaceDN w:val="0"/>
              <w:adjustRightInd w:val="0"/>
              <w:snapToGrid w:val="0"/>
              <w:spacing w:line="410" w:lineRule="exact"/>
              <w:ind w:firstLine="480" w:firstLineChars="200"/>
              <w:jc w:val="left"/>
              <w:rPr>
                <w:color w:val="auto"/>
                <w:kern w:val="0"/>
                <w:sz w:val="24"/>
                <w:highlight w:val="none"/>
              </w:rPr>
            </w:pPr>
            <w:r>
              <w:rPr>
                <w:color w:val="auto"/>
                <w:kern w:val="0"/>
                <w:sz w:val="24"/>
                <w:highlight w:val="none"/>
              </w:rPr>
              <w:t>规划环境影响评价结论：</w:t>
            </w:r>
            <w:r>
              <w:rPr>
                <w:rFonts w:hint="eastAsia"/>
                <w:color w:val="auto"/>
                <w:kern w:val="0"/>
                <w:sz w:val="24"/>
                <w:highlight w:val="none"/>
              </w:rPr>
              <w:t>河北行唐经济开发区控制性详细规划注重经济建设与环境保护的协调发展，在落实本环评中提出的优化调整建议及环境影响减缓对策和措施、采纳公众参与意见的前提下，从环保角度分析，规划的实施对当地经济和环境保护协调发展具有重要指导作用，规划方案可行。</w:t>
            </w:r>
          </w:p>
          <w:p w14:paraId="0ECF47A5">
            <w:pPr>
              <w:autoSpaceDE w:val="0"/>
              <w:autoSpaceDN w:val="0"/>
              <w:adjustRightInd w:val="0"/>
              <w:snapToGrid w:val="0"/>
              <w:spacing w:line="410" w:lineRule="exact"/>
              <w:ind w:firstLine="480" w:firstLineChars="200"/>
              <w:jc w:val="left"/>
              <w:rPr>
                <w:bCs/>
                <w:color w:val="auto"/>
                <w:sz w:val="24"/>
                <w:highlight w:val="none"/>
              </w:rPr>
            </w:pPr>
            <w:r>
              <w:rPr>
                <w:rFonts w:hint="eastAsia" w:ascii="Times New Roman" w:hAnsi="Times New Roman" w:eastAsia="宋体" w:cs="Times New Roman"/>
                <w:bCs/>
                <w:color w:val="auto"/>
                <w:sz w:val="24"/>
                <w:highlight w:val="none"/>
                <w:lang w:val="en-US" w:eastAsia="zh-CN"/>
              </w:rPr>
              <w:t>行唐县龙鑫机械制造有限公司“</w:t>
            </w:r>
            <w:r>
              <w:rPr>
                <w:rFonts w:hint="eastAsia" w:ascii="Times New Roman" w:hAnsi="Times New Roman" w:eastAsia="宋体" w:cs="Times New Roman"/>
                <w:bCs/>
                <w:color w:val="auto"/>
                <w:sz w:val="24"/>
                <w:highlight w:val="none"/>
                <w:lang w:eastAsia="zh-CN"/>
              </w:rPr>
              <w:t>年产5400吨汽车制动鼓制动盘</w:t>
            </w:r>
            <w:r>
              <w:rPr>
                <w:rFonts w:hint="eastAsia" w:cs="Times New Roman"/>
                <w:bCs/>
                <w:color w:val="auto"/>
                <w:sz w:val="24"/>
                <w:highlight w:val="none"/>
                <w:lang w:val="en-US" w:eastAsia="zh-CN"/>
              </w:rPr>
              <w:t>喷漆线技改</w:t>
            </w:r>
            <w:r>
              <w:rPr>
                <w:rFonts w:hint="eastAsia" w:ascii="Times New Roman" w:hAnsi="Times New Roman" w:eastAsia="宋体" w:cs="Times New Roman"/>
                <w:bCs/>
                <w:color w:val="auto"/>
                <w:sz w:val="24"/>
                <w:highlight w:val="none"/>
                <w:lang w:eastAsia="zh-CN"/>
              </w:rPr>
              <w:t>项目</w:t>
            </w:r>
            <w:r>
              <w:rPr>
                <w:rFonts w:hint="eastAsia" w:ascii="Times New Roman" w:hAnsi="Times New Roman" w:eastAsia="宋体" w:cs="Times New Roman"/>
                <w:bCs/>
                <w:color w:val="auto"/>
                <w:sz w:val="24"/>
                <w:highlight w:val="none"/>
                <w:lang w:val="en-US" w:eastAsia="zh-CN"/>
              </w:rPr>
              <w:t>”</w:t>
            </w:r>
            <w:r>
              <w:rPr>
                <w:color w:val="auto"/>
                <w:sz w:val="24"/>
                <w:highlight w:val="none"/>
              </w:rPr>
              <w:t>为</w:t>
            </w:r>
            <w:r>
              <w:rPr>
                <w:rFonts w:hint="eastAsia"/>
                <w:bCs/>
                <w:color w:val="auto"/>
                <w:kern w:val="0"/>
                <w:sz w:val="24"/>
                <w:szCs w:val="24"/>
                <w:highlight w:val="none"/>
                <w:u w:val="none"/>
                <w:lang w:val="en-US" w:eastAsia="zh-CN"/>
              </w:rPr>
              <w:t>汽车零部件及配件</w:t>
            </w:r>
            <w:r>
              <w:rPr>
                <w:rFonts w:hint="eastAsia"/>
                <w:bCs/>
                <w:color w:val="auto"/>
                <w:kern w:val="0"/>
                <w:sz w:val="24"/>
                <w:highlight w:val="none"/>
                <w:lang w:val="en-US" w:eastAsia="zh-CN"/>
              </w:rPr>
              <w:t>生产</w:t>
            </w:r>
            <w:r>
              <w:rPr>
                <w:color w:val="auto"/>
                <w:sz w:val="24"/>
                <w:highlight w:val="none"/>
              </w:rPr>
              <w:t>项目，</w:t>
            </w:r>
            <w:r>
              <w:rPr>
                <w:rFonts w:hint="eastAsia"/>
                <w:color w:val="auto"/>
                <w:sz w:val="24"/>
                <w:highlight w:val="none"/>
              </w:rPr>
              <w:t>符合国家和地方产业政策要求，符合园区规划和区域“三线一单”要求</w:t>
            </w:r>
            <w:r>
              <w:rPr>
                <w:rFonts w:hint="eastAsia"/>
                <w:color w:val="auto"/>
                <w:sz w:val="24"/>
                <w:highlight w:val="none"/>
                <w:lang w:eastAsia="zh-CN"/>
              </w:rPr>
              <w:t>。</w:t>
            </w:r>
            <w:r>
              <w:rPr>
                <w:bCs/>
                <w:color w:val="auto"/>
                <w:sz w:val="24"/>
                <w:highlight w:val="none"/>
              </w:rPr>
              <w:t>对产生的废</w:t>
            </w:r>
            <w:r>
              <w:rPr>
                <w:rFonts w:hint="eastAsia"/>
                <w:bCs/>
                <w:color w:val="auto"/>
                <w:sz w:val="24"/>
                <w:highlight w:val="none"/>
                <w:lang w:val="en-US" w:eastAsia="zh-CN"/>
              </w:rPr>
              <w:t>水</w:t>
            </w:r>
            <w:r>
              <w:rPr>
                <w:bCs/>
                <w:color w:val="auto"/>
                <w:sz w:val="24"/>
                <w:highlight w:val="none"/>
              </w:rPr>
              <w:t>、噪声等污染物均采取了严格的治理措施，污染物均能达标排放。</w:t>
            </w:r>
          </w:p>
          <w:p w14:paraId="1ADCFD50">
            <w:pPr>
              <w:autoSpaceDE w:val="0"/>
              <w:autoSpaceDN w:val="0"/>
              <w:adjustRightInd w:val="0"/>
              <w:snapToGrid w:val="0"/>
              <w:spacing w:line="410" w:lineRule="exact"/>
              <w:ind w:firstLine="480" w:firstLineChars="200"/>
              <w:jc w:val="left"/>
              <w:rPr>
                <w:bCs/>
                <w:color w:val="auto"/>
                <w:spacing w:val="-4"/>
                <w:sz w:val="24"/>
                <w:highlight w:val="none"/>
              </w:rPr>
            </w:pPr>
            <w:r>
              <w:rPr>
                <w:rFonts w:hint="eastAsia"/>
                <w:bCs/>
                <w:color w:val="000000" w:themeColor="text1"/>
                <w:kern w:val="0"/>
                <w:sz w:val="24"/>
                <w:highlight w:val="none"/>
                <w:lang w:val="en-US" w:eastAsia="zh-CN"/>
                <w14:textFill>
                  <w14:solidFill>
                    <w14:schemeClr w14:val="tx1"/>
                  </w14:solidFill>
                </w14:textFill>
              </w:rPr>
              <w:t>技改项目为喷漆线技改，喷漆前增加清洗烘干线，提高喷漆质量。技改项目有少量气体挥发对大气环境影响很小；废水污染物主要为COD、石油类等，依据本次评价预测，COD、石油类经处理后最终排放浓度为147.31mg/L、0.228mg/L，符合排放标准；</w:t>
            </w:r>
            <w:r>
              <w:rPr>
                <w:rFonts w:hint="eastAsia"/>
                <w:bCs/>
                <w:color w:val="auto"/>
                <w:kern w:val="0"/>
                <w:sz w:val="24"/>
                <w:highlight w:val="none"/>
                <w:lang w:val="en-US" w:eastAsia="zh-CN"/>
              </w:rPr>
              <w:t>技改项目新增废包装桶为危险废物，委托有资质处置；项目采取了分区防渗措施，环境风险处于可接受水平，综上技改后整体工程对周围环境影响较小</w:t>
            </w:r>
            <w:r>
              <w:rPr>
                <w:bCs/>
                <w:color w:val="auto"/>
                <w:spacing w:val="-4"/>
                <w:sz w:val="24"/>
                <w:highlight w:val="none"/>
              </w:rPr>
              <w:t>。</w:t>
            </w:r>
          </w:p>
          <w:p w14:paraId="370307BA">
            <w:pPr>
              <w:autoSpaceDE w:val="0"/>
              <w:autoSpaceDN w:val="0"/>
              <w:adjustRightInd w:val="0"/>
              <w:snapToGrid w:val="0"/>
              <w:spacing w:line="410" w:lineRule="exact"/>
              <w:ind w:firstLine="480" w:firstLineChars="200"/>
              <w:jc w:val="left"/>
              <w:rPr>
                <w:bCs/>
                <w:color w:val="auto"/>
                <w:sz w:val="24"/>
                <w:highlight w:val="none"/>
              </w:rPr>
            </w:pPr>
            <w:r>
              <w:rPr>
                <w:bCs/>
                <w:color w:val="auto"/>
                <w:sz w:val="24"/>
                <w:highlight w:val="none"/>
              </w:rPr>
              <w:t>3、与规划环评审查意见的符合性分析</w:t>
            </w:r>
          </w:p>
          <w:p w14:paraId="674B39B0">
            <w:pPr>
              <w:autoSpaceDE w:val="0"/>
              <w:autoSpaceDN w:val="0"/>
              <w:adjustRightInd w:val="0"/>
              <w:snapToGrid w:val="0"/>
              <w:spacing w:line="410" w:lineRule="exact"/>
              <w:ind w:firstLine="480" w:firstLineChars="200"/>
              <w:jc w:val="left"/>
              <w:rPr>
                <w:color w:val="auto"/>
                <w:sz w:val="24"/>
                <w:highlight w:val="none"/>
              </w:rPr>
            </w:pPr>
            <w:r>
              <w:rPr>
                <w:rFonts w:hint="eastAsia"/>
                <w:color w:val="auto"/>
                <w:kern w:val="0"/>
                <w:sz w:val="24"/>
                <w:highlight w:val="none"/>
              </w:rPr>
              <w:t>与《</w:t>
            </w:r>
            <w:r>
              <w:rPr>
                <w:rFonts w:hint="eastAsia"/>
                <w:bCs/>
                <w:color w:val="auto"/>
                <w:sz w:val="24"/>
                <w:highlight w:val="none"/>
                <w:lang w:eastAsia="zh-CN"/>
              </w:rPr>
              <w:t>河北行唐经济开发区控制性详细规划环境影响报告书</w:t>
            </w:r>
            <w:r>
              <w:rPr>
                <w:color w:val="auto"/>
                <w:kern w:val="0"/>
                <w:sz w:val="24"/>
                <w:highlight w:val="none"/>
              </w:rPr>
              <w:t>》</w:t>
            </w:r>
            <w:r>
              <w:rPr>
                <w:rFonts w:hint="eastAsia"/>
                <w:color w:val="auto"/>
                <w:kern w:val="0"/>
                <w:sz w:val="24"/>
                <w:highlight w:val="none"/>
              </w:rPr>
              <w:t>审查意见</w:t>
            </w:r>
            <w:r>
              <w:rPr>
                <w:color w:val="auto"/>
                <w:kern w:val="0"/>
                <w:sz w:val="24"/>
                <w:highlight w:val="none"/>
              </w:rPr>
              <w:t>（</w:t>
            </w:r>
            <w:r>
              <w:rPr>
                <w:bCs/>
                <w:color w:val="auto"/>
                <w:kern w:val="0"/>
                <w:sz w:val="24"/>
                <w:highlight w:val="none"/>
              </w:rPr>
              <w:t>冀环</w:t>
            </w:r>
            <w:r>
              <w:rPr>
                <w:rFonts w:hint="eastAsia"/>
                <w:bCs/>
                <w:color w:val="auto"/>
                <w:kern w:val="0"/>
                <w:sz w:val="24"/>
                <w:highlight w:val="none"/>
              </w:rPr>
              <w:t>环</w:t>
            </w:r>
            <w:r>
              <w:rPr>
                <w:bCs/>
                <w:color w:val="auto"/>
                <w:kern w:val="0"/>
                <w:sz w:val="24"/>
                <w:highlight w:val="none"/>
              </w:rPr>
              <w:t>评函</w:t>
            </w:r>
            <w:r>
              <w:rPr>
                <w:rFonts w:hint="eastAsia"/>
                <w:bCs/>
                <w:color w:val="auto"/>
                <w:kern w:val="0"/>
                <w:sz w:val="24"/>
                <w:highlight w:val="none"/>
              </w:rPr>
              <w:t>[202</w:t>
            </w:r>
            <w:r>
              <w:rPr>
                <w:rFonts w:hint="eastAsia"/>
                <w:bCs/>
                <w:color w:val="auto"/>
                <w:kern w:val="0"/>
                <w:sz w:val="24"/>
                <w:highlight w:val="none"/>
                <w:lang w:val="en-US" w:eastAsia="zh-CN"/>
              </w:rPr>
              <w:t>3</w:t>
            </w:r>
            <w:r>
              <w:rPr>
                <w:rFonts w:hint="eastAsia"/>
                <w:bCs/>
                <w:color w:val="auto"/>
                <w:kern w:val="0"/>
                <w:sz w:val="24"/>
                <w:highlight w:val="none"/>
              </w:rPr>
              <w:t>]</w:t>
            </w:r>
            <w:r>
              <w:rPr>
                <w:rFonts w:hint="eastAsia"/>
                <w:bCs/>
                <w:color w:val="auto"/>
                <w:kern w:val="0"/>
                <w:sz w:val="24"/>
                <w:highlight w:val="none"/>
                <w:lang w:val="en-US" w:eastAsia="zh-CN"/>
              </w:rPr>
              <w:t>1177</w:t>
            </w:r>
            <w:r>
              <w:rPr>
                <w:rFonts w:hint="eastAsia"/>
                <w:bCs/>
                <w:color w:val="auto"/>
                <w:kern w:val="0"/>
                <w:sz w:val="24"/>
                <w:highlight w:val="none"/>
              </w:rPr>
              <w:t>号</w:t>
            </w:r>
            <w:r>
              <w:rPr>
                <w:color w:val="auto"/>
                <w:kern w:val="0"/>
                <w:sz w:val="24"/>
                <w:highlight w:val="none"/>
              </w:rPr>
              <w:t>）</w:t>
            </w:r>
            <w:r>
              <w:rPr>
                <w:rFonts w:hint="eastAsia"/>
                <w:color w:val="auto"/>
                <w:sz w:val="24"/>
                <w:highlight w:val="none"/>
              </w:rPr>
              <w:t>符合性分析见</w:t>
            </w:r>
            <w:r>
              <w:rPr>
                <w:color w:val="auto"/>
                <w:sz w:val="24"/>
                <w:highlight w:val="none"/>
              </w:rPr>
              <w:t>下表。</w:t>
            </w:r>
          </w:p>
          <w:p w14:paraId="507EDCE0">
            <w:pPr>
              <w:pStyle w:val="2"/>
              <w:rPr>
                <w:color w:val="auto"/>
                <w:sz w:val="24"/>
                <w:highlight w:val="none"/>
              </w:rPr>
            </w:pPr>
          </w:p>
          <w:p w14:paraId="35D88139">
            <w:pPr>
              <w:pStyle w:val="3"/>
              <w:rPr>
                <w:color w:val="auto"/>
                <w:sz w:val="24"/>
                <w:highlight w:val="none"/>
              </w:rPr>
            </w:pPr>
          </w:p>
          <w:p w14:paraId="2DAB95A3">
            <w:pPr>
              <w:pStyle w:val="2"/>
            </w:pPr>
          </w:p>
          <w:p w14:paraId="7246B82E">
            <w:pPr>
              <w:autoSpaceDE w:val="0"/>
              <w:autoSpaceDN w:val="0"/>
              <w:spacing w:line="440" w:lineRule="exact"/>
              <w:ind w:firstLine="713" w:firstLineChars="296"/>
              <w:rPr>
                <w:b/>
                <w:bCs/>
                <w:color w:val="auto"/>
                <w:sz w:val="24"/>
                <w:highlight w:val="none"/>
              </w:rPr>
            </w:pPr>
            <w:r>
              <w:rPr>
                <w:b/>
                <w:color w:val="auto"/>
                <w:kern w:val="0"/>
                <w:sz w:val="24"/>
                <w:highlight w:val="none"/>
                <w:lang w:bidi="ar"/>
              </w:rPr>
              <w:t>表1</w:t>
            </w:r>
            <w:r>
              <w:rPr>
                <w:rFonts w:hint="eastAsia"/>
                <w:b/>
                <w:color w:val="auto"/>
                <w:kern w:val="0"/>
                <w:sz w:val="24"/>
                <w:highlight w:val="none"/>
                <w:lang w:bidi="ar"/>
              </w:rPr>
              <w:t>-</w:t>
            </w:r>
            <w:r>
              <w:rPr>
                <w:rFonts w:hint="eastAsia"/>
                <w:b/>
                <w:color w:val="auto"/>
                <w:kern w:val="0"/>
                <w:sz w:val="24"/>
                <w:highlight w:val="none"/>
                <w:lang w:val="en-US" w:eastAsia="zh-CN" w:bidi="ar"/>
              </w:rPr>
              <w:t>2</w:t>
            </w:r>
            <w:r>
              <w:rPr>
                <w:b/>
                <w:color w:val="auto"/>
                <w:kern w:val="0"/>
                <w:sz w:val="24"/>
                <w:highlight w:val="none"/>
                <w:lang w:bidi="ar"/>
              </w:rPr>
              <w:t xml:space="preserve">  </w:t>
            </w:r>
            <w:r>
              <w:rPr>
                <w:rFonts w:hint="eastAsia"/>
                <w:b/>
                <w:color w:val="auto"/>
                <w:sz w:val="24"/>
                <w:highlight w:val="none"/>
                <w:lang w:bidi="ar"/>
              </w:rPr>
              <w:t>技改项目</w:t>
            </w:r>
            <w:r>
              <w:rPr>
                <w:b/>
                <w:bCs/>
                <w:color w:val="auto"/>
                <w:sz w:val="24"/>
                <w:highlight w:val="none"/>
              </w:rPr>
              <w:t>与</w:t>
            </w:r>
            <w:r>
              <w:rPr>
                <w:rFonts w:hint="eastAsia"/>
                <w:b/>
                <w:bCs/>
                <w:color w:val="auto"/>
                <w:sz w:val="24"/>
                <w:highlight w:val="none"/>
              </w:rPr>
              <w:t>冀环环评函[202</w:t>
            </w:r>
            <w:r>
              <w:rPr>
                <w:rFonts w:hint="eastAsia"/>
                <w:b/>
                <w:bCs/>
                <w:color w:val="auto"/>
                <w:sz w:val="24"/>
                <w:highlight w:val="none"/>
                <w:lang w:val="en-US" w:eastAsia="zh-CN"/>
              </w:rPr>
              <w:t>3</w:t>
            </w:r>
            <w:r>
              <w:rPr>
                <w:rFonts w:hint="eastAsia"/>
                <w:b/>
                <w:bCs/>
                <w:color w:val="auto"/>
                <w:sz w:val="24"/>
                <w:highlight w:val="none"/>
              </w:rPr>
              <w:t>]</w:t>
            </w:r>
            <w:r>
              <w:rPr>
                <w:rFonts w:hint="eastAsia"/>
                <w:b/>
                <w:bCs/>
                <w:color w:val="auto"/>
                <w:sz w:val="24"/>
                <w:highlight w:val="none"/>
                <w:lang w:val="en-US" w:eastAsia="zh-CN"/>
              </w:rPr>
              <w:t>1177</w:t>
            </w:r>
            <w:r>
              <w:rPr>
                <w:rFonts w:hint="eastAsia"/>
                <w:b/>
                <w:bCs/>
                <w:color w:val="auto"/>
                <w:sz w:val="24"/>
                <w:highlight w:val="none"/>
              </w:rPr>
              <w:t>号</w:t>
            </w:r>
            <w:r>
              <w:rPr>
                <w:b/>
                <w:bCs/>
                <w:color w:val="auto"/>
                <w:sz w:val="24"/>
                <w:highlight w:val="none"/>
              </w:rPr>
              <w:t>的符合性</w:t>
            </w:r>
          </w:p>
          <w:tbl>
            <w:tblPr>
              <w:tblStyle w:val="3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2"/>
              <w:gridCol w:w="3360"/>
              <w:gridCol w:w="2903"/>
              <w:gridCol w:w="619"/>
            </w:tblGrid>
            <w:tr w14:paraId="2E430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1ED14DEA">
                  <w:pPr>
                    <w:spacing w:line="290" w:lineRule="exact"/>
                    <w:ind w:left="-105" w:leftChars="-50" w:right="-105" w:rightChars="-50"/>
                    <w:jc w:val="center"/>
                    <w:rPr>
                      <w:b/>
                      <w:bCs w:val="0"/>
                      <w:color w:val="auto"/>
                      <w:szCs w:val="21"/>
                      <w:highlight w:val="none"/>
                    </w:rPr>
                  </w:pPr>
                  <w:r>
                    <w:rPr>
                      <w:b/>
                      <w:bCs w:val="0"/>
                      <w:color w:val="auto"/>
                      <w:szCs w:val="21"/>
                      <w:highlight w:val="none"/>
                      <w:lang w:bidi="ar"/>
                    </w:rPr>
                    <w:t>序号</w:t>
                  </w:r>
                </w:p>
              </w:tc>
              <w:tc>
                <w:tcPr>
                  <w:tcW w:w="2250" w:type="pct"/>
                  <w:noWrap w:val="0"/>
                  <w:vAlign w:val="center"/>
                </w:tcPr>
                <w:p w14:paraId="5824EC5F">
                  <w:pPr>
                    <w:autoSpaceDE w:val="0"/>
                    <w:autoSpaceDN w:val="0"/>
                    <w:spacing w:line="290" w:lineRule="exact"/>
                    <w:jc w:val="center"/>
                    <w:rPr>
                      <w:b/>
                      <w:bCs w:val="0"/>
                      <w:color w:val="auto"/>
                      <w:kern w:val="0"/>
                      <w:szCs w:val="21"/>
                      <w:highlight w:val="none"/>
                      <w:lang w:bidi="ar"/>
                    </w:rPr>
                  </w:pPr>
                  <w:r>
                    <w:rPr>
                      <w:rFonts w:hint="eastAsia"/>
                      <w:b/>
                      <w:bCs w:val="0"/>
                      <w:color w:val="auto"/>
                      <w:kern w:val="0"/>
                      <w:szCs w:val="21"/>
                      <w:highlight w:val="none"/>
                    </w:rPr>
                    <w:t>冀环环评函</w:t>
                  </w:r>
                  <w:r>
                    <w:rPr>
                      <w:rFonts w:hint="eastAsia"/>
                      <w:b/>
                      <w:bCs w:val="0"/>
                      <w:color w:val="auto"/>
                      <w:kern w:val="0"/>
                      <w:szCs w:val="21"/>
                      <w:highlight w:val="none"/>
                      <w:lang w:eastAsia="zh-CN"/>
                    </w:rPr>
                    <w:t>[2023]1177</w:t>
                  </w:r>
                  <w:r>
                    <w:rPr>
                      <w:rFonts w:hint="eastAsia"/>
                      <w:b/>
                      <w:bCs w:val="0"/>
                      <w:color w:val="auto"/>
                      <w:kern w:val="0"/>
                      <w:szCs w:val="21"/>
                      <w:highlight w:val="none"/>
                    </w:rPr>
                    <w:t>号</w:t>
                  </w:r>
                  <w:r>
                    <w:rPr>
                      <w:b/>
                      <w:bCs w:val="0"/>
                      <w:color w:val="auto"/>
                      <w:kern w:val="0"/>
                      <w:szCs w:val="21"/>
                      <w:highlight w:val="none"/>
                      <w:lang w:bidi="ar"/>
                    </w:rPr>
                    <w:t>文件</w:t>
                  </w:r>
                </w:p>
              </w:tc>
              <w:tc>
                <w:tcPr>
                  <w:tcW w:w="1944" w:type="pct"/>
                  <w:noWrap w:val="0"/>
                  <w:vAlign w:val="center"/>
                </w:tcPr>
                <w:p w14:paraId="45E5A416">
                  <w:pPr>
                    <w:autoSpaceDE w:val="0"/>
                    <w:autoSpaceDN w:val="0"/>
                    <w:spacing w:line="290" w:lineRule="exact"/>
                    <w:jc w:val="center"/>
                    <w:rPr>
                      <w:rFonts w:hint="eastAsia"/>
                      <w:b/>
                      <w:bCs w:val="0"/>
                      <w:color w:val="auto"/>
                      <w:kern w:val="0"/>
                      <w:szCs w:val="21"/>
                      <w:highlight w:val="none"/>
                      <w:lang w:bidi="ar"/>
                    </w:rPr>
                  </w:pPr>
                  <w:r>
                    <w:rPr>
                      <w:rFonts w:hint="eastAsia"/>
                      <w:b/>
                      <w:bCs w:val="0"/>
                      <w:color w:val="auto"/>
                      <w:kern w:val="0"/>
                      <w:szCs w:val="21"/>
                      <w:highlight w:val="none"/>
                      <w:lang w:bidi="ar"/>
                    </w:rPr>
                    <w:t>技改项目</w:t>
                  </w:r>
                </w:p>
              </w:tc>
              <w:tc>
                <w:tcPr>
                  <w:tcW w:w="414" w:type="pct"/>
                  <w:noWrap w:val="0"/>
                  <w:vAlign w:val="center"/>
                </w:tcPr>
                <w:p w14:paraId="3ADC0F38">
                  <w:pPr>
                    <w:spacing w:line="290" w:lineRule="exact"/>
                    <w:ind w:left="-210" w:leftChars="-100" w:right="-210" w:rightChars="-100"/>
                    <w:jc w:val="center"/>
                    <w:rPr>
                      <w:b/>
                      <w:bCs w:val="0"/>
                      <w:color w:val="auto"/>
                      <w:spacing w:val="-8"/>
                      <w:szCs w:val="21"/>
                      <w:highlight w:val="none"/>
                    </w:rPr>
                  </w:pPr>
                  <w:r>
                    <w:rPr>
                      <w:b/>
                      <w:bCs w:val="0"/>
                      <w:color w:val="auto"/>
                      <w:spacing w:val="-8"/>
                      <w:szCs w:val="21"/>
                      <w:highlight w:val="none"/>
                      <w:lang w:bidi="ar"/>
                    </w:rPr>
                    <w:t>符合性</w:t>
                  </w:r>
                </w:p>
              </w:tc>
            </w:tr>
            <w:tr w14:paraId="0C3AE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4" w:hRule="atLeast"/>
                <w:jc w:val="center"/>
              </w:trPr>
              <w:tc>
                <w:tcPr>
                  <w:tcW w:w="390" w:type="pct"/>
                  <w:noWrap w:val="0"/>
                  <w:vAlign w:val="center"/>
                </w:tcPr>
                <w:p w14:paraId="7315E026">
                  <w:pPr>
                    <w:spacing w:line="290" w:lineRule="exact"/>
                    <w:ind w:left="-105" w:leftChars="-50" w:right="-105" w:rightChars="-50"/>
                    <w:jc w:val="center"/>
                    <w:rPr>
                      <w:bCs/>
                      <w:color w:val="auto"/>
                      <w:szCs w:val="21"/>
                      <w:highlight w:val="none"/>
                      <w:lang w:bidi="ar"/>
                    </w:rPr>
                  </w:pPr>
                  <w:r>
                    <w:rPr>
                      <w:bCs/>
                      <w:color w:val="auto"/>
                      <w:szCs w:val="21"/>
                      <w:highlight w:val="none"/>
                      <w:lang w:bidi="ar"/>
                    </w:rPr>
                    <w:t>1</w:t>
                  </w:r>
                </w:p>
              </w:tc>
              <w:tc>
                <w:tcPr>
                  <w:tcW w:w="2250" w:type="pct"/>
                  <w:noWrap w:val="0"/>
                  <w:vAlign w:val="center"/>
                </w:tcPr>
                <w:p w14:paraId="7E350871">
                  <w:pPr>
                    <w:autoSpaceDE w:val="0"/>
                    <w:autoSpaceDN w:val="0"/>
                    <w:spacing w:line="290" w:lineRule="exact"/>
                    <w:ind w:left="-42" w:leftChars="-20" w:right="-42" w:rightChars="-20"/>
                    <w:rPr>
                      <w:rFonts w:hint="eastAsia" w:eastAsia="宋体"/>
                      <w:color w:val="auto"/>
                      <w:szCs w:val="21"/>
                      <w:highlight w:val="none"/>
                      <w:lang w:eastAsia="zh-CN"/>
                    </w:rPr>
                  </w:pPr>
                  <w:r>
                    <w:rPr>
                      <w:rFonts w:hint="eastAsia"/>
                      <w:color w:val="auto"/>
                      <w:szCs w:val="21"/>
                      <w:highlight w:val="none"/>
                    </w:rPr>
                    <w:t xml:space="preserve"> 落实国家、区域发展战略，坚持生态优先、提质增效，以生态环境质量改善为核心，做好与各级国土空间规划和“三线一单”生态环境分区管控体系的协调衔接，进一步优化《规划》布局、产业定位和发展规模</w:t>
                  </w:r>
                  <w:r>
                    <w:rPr>
                      <w:rFonts w:hint="eastAsia"/>
                      <w:color w:val="auto"/>
                      <w:szCs w:val="21"/>
                      <w:highlight w:val="none"/>
                      <w:lang w:eastAsia="zh-CN"/>
                    </w:rPr>
                    <w:t>。</w:t>
                  </w:r>
                </w:p>
              </w:tc>
              <w:tc>
                <w:tcPr>
                  <w:tcW w:w="1944" w:type="pct"/>
                  <w:noWrap w:val="0"/>
                  <w:vAlign w:val="center"/>
                </w:tcPr>
                <w:p w14:paraId="2DFBE46A">
                  <w:pPr>
                    <w:autoSpaceDE w:val="0"/>
                    <w:autoSpaceDN w:val="0"/>
                    <w:spacing w:line="290" w:lineRule="exact"/>
                    <w:ind w:left="-42" w:leftChars="-20" w:right="-42" w:rightChars="-20"/>
                    <w:rPr>
                      <w:color w:val="auto"/>
                      <w:kern w:val="0"/>
                      <w:szCs w:val="21"/>
                      <w:highlight w:val="none"/>
                      <w:lang w:bidi="ar"/>
                    </w:rPr>
                  </w:pPr>
                  <w:r>
                    <w:rPr>
                      <w:rFonts w:hint="eastAsia"/>
                      <w:color w:val="auto"/>
                      <w:sz w:val="21"/>
                      <w:szCs w:val="21"/>
                      <w:highlight w:val="none"/>
                    </w:rPr>
                    <w:t>对照</w:t>
                  </w:r>
                  <w:r>
                    <w:rPr>
                      <w:rFonts w:hint="eastAsia"/>
                      <w:color w:val="auto"/>
                      <w:sz w:val="21"/>
                      <w:szCs w:val="21"/>
                      <w:highlight w:val="none"/>
                      <w:lang w:eastAsia="zh-CN"/>
                    </w:rPr>
                    <w:t>《产业结构调整指导目录（20</w:t>
                  </w:r>
                  <w:r>
                    <w:rPr>
                      <w:rFonts w:hint="eastAsia"/>
                      <w:color w:val="auto"/>
                      <w:sz w:val="21"/>
                      <w:szCs w:val="21"/>
                      <w:highlight w:val="none"/>
                      <w:lang w:val="en-US" w:eastAsia="zh-CN"/>
                    </w:rPr>
                    <w:t>24</w:t>
                  </w:r>
                  <w:r>
                    <w:rPr>
                      <w:rFonts w:hint="eastAsia"/>
                      <w:color w:val="auto"/>
                      <w:sz w:val="21"/>
                      <w:szCs w:val="21"/>
                      <w:highlight w:val="none"/>
                      <w:lang w:eastAsia="zh-CN"/>
                    </w:rPr>
                    <w:t>年本）》</w:t>
                  </w:r>
                  <w:r>
                    <w:rPr>
                      <w:rFonts w:hint="eastAsia"/>
                      <w:color w:val="auto"/>
                      <w:sz w:val="21"/>
                      <w:szCs w:val="21"/>
                      <w:highlight w:val="none"/>
                    </w:rPr>
                    <w:t>，</w:t>
                  </w:r>
                  <w:r>
                    <w:rPr>
                      <w:rFonts w:hint="eastAsia"/>
                      <w:color w:val="auto"/>
                      <w:sz w:val="21"/>
                      <w:szCs w:val="21"/>
                      <w:highlight w:val="none"/>
                      <w:lang w:val="en-US" w:eastAsia="zh-CN"/>
                    </w:rPr>
                    <w:t>现有项目</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eastAsia="zh-CN"/>
                    </w:rPr>
                    <w:t>年产5400吨汽车制动鼓、制动盘精密铸造项目</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rPr>
                    <w:t>不属于限制类和淘汰类，为允许类，</w:t>
                  </w:r>
                  <w:r>
                    <w:rPr>
                      <w:rFonts w:hint="eastAsia"/>
                      <w:color w:val="auto"/>
                      <w:sz w:val="21"/>
                      <w:szCs w:val="21"/>
                      <w:highlight w:val="none"/>
                    </w:rPr>
                    <w:t>符合环办环评[2018]24号</w:t>
                  </w:r>
                  <w:r>
                    <w:rPr>
                      <w:rFonts w:hint="eastAsia" w:ascii="Times New Roman" w:hAnsi="Times New Roman" w:eastAsia="宋体" w:cs="Times New Roman"/>
                      <w:color w:val="auto"/>
                      <w:sz w:val="21"/>
                      <w:szCs w:val="21"/>
                      <w:highlight w:val="none"/>
                    </w:rPr>
                    <w:t>文件要求，满足园区“三线一单”要求。</w:t>
                  </w:r>
                  <w:r>
                    <w:rPr>
                      <w:rFonts w:hint="eastAsia" w:cs="Times New Roman"/>
                      <w:color w:val="auto"/>
                      <w:sz w:val="21"/>
                      <w:szCs w:val="21"/>
                      <w:highlight w:val="none"/>
                      <w:lang w:val="en-US" w:eastAsia="zh-CN"/>
                    </w:rPr>
                    <w:t>本</w:t>
                  </w:r>
                  <w:r>
                    <w:rPr>
                      <w:rFonts w:hint="eastAsia" w:ascii="Times New Roman" w:hAnsi="Times New Roman" w:eastAsia="宋体" w:cs="Times New Roman"/>
                      <w:color w:val="auto"/>
                      <w:sz w:val="21"/>
                      <w:szCs w:val="21"/>
                      <w:highlight w:val="none"/>
                      <w:lang w:val="en-US" w:eastAsia="zh-CN"/>
                    </w:rPr>
                    <w:t>技改项目为喷漆线技改，喷漆前增加清洗烘干线，提高喷漆质量。</w:t>
                  </w:r>
                  <w:r>
                    <w:rPr>
                      <w:rFonts w:hint="eastAsia" w:cs="Times New Roman"/>
                      <w:color w:val="auto"/>
                      <w:sz w:val="21"/>
                      <w:szCs w:val="21"/>
                      <w:highlight w:val="none"/>
                      <w:lang w:val="en-US" w:eastAsia="zh-CN"/>
                    </w:rPr>
                    <w:t>技改项目有少量气体挥发对大气环境影响很小</w:t>
                  </w:r>
                  <w:r>
                    <w:rPr>
                      <w:rFonts w:hint="eastAsia" w:ascii="Times New Roman" w:hAnsi="Times New Roman" w:eastAsia="宋体" w:cs="Times New Roman"/>
                      <w:color w:val="auto"/>
                      <w:sz w:val="21"/>
                      <w:szCs w:val="21"/>
                      <w:highlight w:val="none"/>
                      <w:lang w:val="en-US" w:eastAsia="zh-CN"/>
                    </w:rPr>
                    <w:t>；废水污染物主要为COD、石油类等，生产规模不变。因此技改项目符合各项产业政策。</w:t>
                  </w:r>
                </w:p>
              </w:tc>
              <w:tc>
                <w:tcPr>
                  <w:tcW w:w="414" w:type="pct"/>
                  <w:noWrap w:val="0"/>
                  <w:vAlign w:val="center"/>
                </w:tcPr>
                <w:p w14:paraId="7CBD635E">
                  <w:pPr>
                    <w:spacing w:line="290" w:lineRule="exact"/>
                    <w:ind w:left="-105" w:leftChars="-50" w:right="-105" w:rightChars="-50"/>
                    <w:jc w:val="center"/>
                    <w:rPr>
                      <w:bCs/>
                      <w:color w:val="auto"/>
                      <w:szCs w:val="21"/>
                      <w:highlight w:val="none"/>
                      <w:lang w:bidi="ar"/>
                    </w:rPr>
                  </w:pPr>
                  <w:r>
                    <w:rPr>
                      <w:bCs/>
                      <w:color w:val="auto"/>
                      <w:szCs w:val="21"/>
                      <w:highlight w:val="none"/>
                      <w:lang w:bidi="ar"/>
                    </w:rPr>
                    <w:t>符合</w:t>
                  </w:r>
                </w:p>
              </w:tc>
            </w:tr>
            <w:tr w14:paraId="62E83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6F44EE4E">
                  <w:pPr>
                    <w:spacing w:line="290" w:lineRule="exact"/>
                    <w:ind w:left="-105" w:leftChars="-50" w:right="-105" w:rightChars="-50"/>
                    <w:jc w:val="center"/>
                    <w:rPr>
                      <w:bCs/>
                      <w:color w:val="auto"/>
                      <w:szCs w:val="21"/>
                      <w:highlight w:val="none"/>
                      <w:lang w:bidi="ar"/>
                    </w:rPr>
                  </w:pPr>
                  <w:r>
                    <w:rPr>
                      <w:bCs/>
                      <w:color w:val="auto"/>
                      <w:szCs w:val="21"/>
                      <w:highlight w:val="none"/>
                      <w:lang w:bidi="ar"/>
                    </w:rPr>
                    <w:t>2</w:t>
                  </w:r>
                </w:p>
              </w:tc>
              <w:tc>
                <w:tcPr>
                  <w:tcW w:w="2250" w:type="pct"/>
                  <w:noWrap w:val="0"/>
                  <w:vAlign w:val="center"/>
                </w:tcPr>
                <w:p w14:paraId="1A4711AF">
                  <w:pPr>
                    <w:autoSpaceDE w:val="0"/>
                    <w:autoSpaceDN w:val="0"/>
                    <w:spacing w:line="290" w:lineRule="exact"/>
                    <w:ind w:left="-42" w:leftChars="-20" w:right="-42" w:rightChars="-20"/>
                    <w:rPr>
                      <w:rFonts w:hint="eastAsia" w:eastAsia="宋体"/>
                      <w:color w:val="auto"/>
                      <w:szCs w:val="21"/>
                      <w:highlight w:val="none"/>
                      <w:lang w:eastAsia="zh-CN"/>
                    </w:rPr>
                  </w:pPr>
                  <w:r>
                    <w:rPr>
                      <w:rFonts w:hint="eastAsia"/>
                      <w:color w:val="auto"/>
                      <w:szCs w:val="21"/>
                      <w:highlight w:val="none"/>
                    </w:rPr>
                    <w:t>推进绿色低碳发展，实现减污降碳协同增效目标。根据国家、地方碳减排和碳达峰行动方案及路径要求，进一步优化开发区能源结构、交通运输方式等《规划》内容</w:t>
                  </w:r>
                  <w:r>
                    <w:rPr>
                      <w:rFonts w:hint="eastAsia"/>
                      <w:color w:val="auto"/>
                      <w:szCs w:val="21"/>
                      <w:highlight w:val="none"/>
                      <w:lang w:eastAsia="zh-CN"/>
                    </w:rPr>
                    <w:t>。</w:t>
                  </w:r>
                </w:p>
              </w:tc>
              <w:tc>
                <w:tcPr>
                  <w:tcW w:w="1944" w:type="pct"/>
                  <w:noWrap w:val="0"/>
                  <w:vAlign w:val="center"/>
                </w:tcPr>
                <w:p w14:paraId="54577A2F">
                  <w:pPr>
                    <w:autoSpaceDE w:val="0"/>
                    <w:autoSpaceDN w:val="0"/>
                    <w:spacing w:line="290" w:lineRule="exact"/>
                    <w:ind w:left="-42" w:leftChars="-20" w:right="-42" w:rightChars="-20"/>
                    <w:rPr>
                      <w:rFonts w:hint="default" w:eastAsia="宋体"/>
                      <w:color w:val="auto"/>
                      <w:kern w:val="0"/>
                      <w:szCs w:val="21"/>
                      <w:highlight w:val="none"/>
                      <w:lang w:val="en-US" w:eastAsia="zh-CN" w:bidi="ar"/>
                    </w:rPr>
                  </w:pPr>
                  <w:r>
                    <w:rPr>
                      <w:rFonts w:hint="eastAsia" w:ascii="Times New Roman" w:hAnsi="Times New Roman" w:eastAsia="宋体" w:cs="Times New Roman"/>
                      <w:color w:val="auto"/>
                      <w:sz w:val="21"/>
                      <w:szCs w:val="21"/>
                      <w:highlight w:val="none"/>
                      <w:lang w:val="en-US" w:eastAsia="zh-CN"/>
                    </w:rPr>
                    <w:t>技改项目为喷漆线技改，喷漆前增加清洗烘干线，提高喷漆质量。</w:t>
                  </w:r>
                  <w:r>
                    <w:rPr>
                      <w:rFonts w:hint="eastAsia" w:cs="Times New Roman"/>
                      <w:color w:val="auto"/>
                      <w:sz w:val="21"/>
                      <w:szCs w:val="21"/>
                      <w:highlight w:val="none"/>
                      <w:lang w:val="en-US" w:eastAsia="zh-CN"/>
                    </w:rPr>
                    <w:t>技改项目有少量气体挥发对大气环境影响很小</w:t>
                  </w:r>
                  <w:r>
                    <w:rPr>
                      <w:rFonts w:hint="eastAsia" w:ascii="Times New Roman" w:hAnsi="Times New Roman" w:eastAsia="宋体" w:cs="Times New Roman"/>
                      <w:color w:val="auto"/>
                      <w:sz w:val="21"/>
                      <w:szCs w:val="21"/>
                      <w:highlight w:val="none"/>
                      <w:lang w:val="en-US" w:eastAsia="zh-CN"/>
                    </w:rPr>
                    <w:t>；废水污染物主要为COD、石油类等，依据本次评价预测，COD、石油类经处理后的</w:t>
                  </w:r>
                  <w:r>
                    <w:rPr>
                      <w:rFonts w:hint="eastAsia" w:cs="Times New Roman"/>
                      <w:color w:val="000000" w:themeColor="text1"/>
                      <w:sz w:val="21"/>
                      <w:szCs w:val="21"/>
                      <w:highlight w:val="none"/>
                      <w:lang w:val="en-US" w:eastAsia="zh-CN"/>
                      <w14:textFill>
                        <w14:solidFill>
                          <w14:schemeClr w14:val="tx1"/>
                        </w14:solidFill>
                      </w14:textFill>
                    </w:rPr>
                    <w:t>最终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浓度为</w:t>
                  </w:r>
                  <w:r>
                    <w:rPr>
                      <w:rFonts w:hint="eastAsia" w:cs="Times New Roman"/>
                      <w:color w:val="000000" w:themeColor="text1"/>
                      <w:sz w:val="21"/>
                      <w:szCs w:val="21"/>
                      <w:highlight w:val="none"/>
                      <w:lang w:val="en-US" w:eastAsia="zh-CN"/>
                      <w14:textFill>
                        <w14:solidFill>
                          <w14:schemeClr w14:val="tx1"/>
                        </w14:solidFill>
                      </w14:textFill>
                    </w:rPr>
                    <w:t>147.31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mg/L、</w:t>
                  </w:r>
                  <w:r>
                    <w:rPr>
                      <w:rFonts w:hint="eastAsia" w:cs="Times New Roman"/>
                      <w:color w:val="000000" w:themeColor="text1"/>
                      <w:sz w:val="21"/>
                      <w:szCs w:val="21"/>
                      <w:highlight w:val="none"/>
                      <w:lang w:val="en-US" w:eastAsia="zh-CN"/>
                      <w14:textFill>
                        <w14:solidFill>
                          <w14:schemeClr w14:val="tx1"/>
                        </w14:solidFill>
                      </w14:textFill>
                    </w:rPr>
                    <w:t>0.228</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mg/L</w:t>
                  </w:r>
                  <w:r>
                    <w:rPr>
                      <w:rFonts w:hint="eastAsia" w:cs="Times New Roman"/>
                      <w:color w:val="000000" w:themeColor="text1"/>
                      <w:sz w:val="21"/>
                      <w:szCs w:val="21"/>
                      <w:highlight w:val="none"/>
                      <w:lang w:val="en-US" w:eastAsia="zh-CN"/>
                      <w14:textFill>
                        <w14:solidFill>
                          <w14:schemeClr w14:val="tx1"/>
                        </w14:solidFill>
                      </w14:textFill>
                    </w:rPr>
                    <w:t>；满足</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排放标准；</w:t>
                  </w:r>
                  <w:r>
                    <w:rPr>
                      <w:rFonts w:hint="eastAsia" w:ascii="Times New Roman" w:hAnsi="Times New Roman" w:eastAsia="宋体" w:cs="Times New Roman"/>
                      <w:color w:val="auto"/>
                      <w:sz w:val="21"/>
                      <w:szCs w:val="21"/>
                      <w:highlight w:val="none"/>
                      <w:lang w:val="en-US" w:eastAsia="zh-CN"/>
                    </w:rPr>
                    <w:t>技改项目新增</w:t>
                  </w:r>
                  <w:r>
                    <w:rPr>
                      <w:rFonts w:hint="eastAsia" w:cs="Times New Roman"/>
                      <w:color w:val="auto"/>
                      <w:sz w:val="21"/>
                      <w:szCs w:val="21"/>
                      <w:highlight w:val="none"/>
                      <w:lang w:val="en-US" w:eastAsia="zh-CN"/>
                    </w:rPr>
                    <w:t>内衬袋、絮凝沉淀物等</w:t>
                  </w:r>
                  <w:r>
                    <w:rPr>
                      <w:rFonts w:hint="eastAsia" w:ascii="Times New Roman" w:hAnsi="Times New Roman" w:eastAsia="宋体" w:cs="Times New Roman"/>
                      <w:color w:val="auto"/>
                      <w:sz w:val="21"/>
                      <w:szCs w:val="21"/>
                      <w:highlight w:val="none"/>
                      <w:lang w:val="en-US" w:eastAsia="zh-CN"/>
                    </w:rPr>
                    <w:t>为危险废物，委托有资质处置；项目采取了分区防渗措施，环境风险处于可接受水平</w:t>
                  </w:r>
                  <w:r>
                    <w:rPr>
                      <w:rFonts w:hint="eastAsia"/>
                      <w:bCs/>
                      <w:color w:val="auto"/>
                      <w:kern w:val="0"/>
                      <w:sz w:val="24"/>
                      <w:highlight w:val="none"/>
                      <w:lang w:val="en-US" w:eastAsia="zh-CN"/>
                    </w:rPr>
                    <w:t>。</w:t>
                  </w:r>
                </w:p>
              </w:tc>
              <w:tc>
                <w:tcPr>
                  <w:tcW w:w="414" w:type="pct"/>
                  <w:noWrap w:val="0"/>
                  <w:vAlign w:val="center"/>
                </w:tcPr>
                <w:p w14:paraId="7A458BB4">
                  <w:pPr>
                    <w:spacing w:line="290" w:lineRule="exact"/>
                    <w:ind w:left="-105" w:leftChars="-50" w:right="-105" w:rightChars="-50"/>
                    <w:jc w:val="center"/>
                    <w:rPr>
                      <w:bCs/>
                      <w:color w:val="auto"/>
                      <w:szCs w:val="21"/>
                      <w:highlight w:val="none"/>
                      <w:lang w:bidi="ar"/>
                    </w:rPr>
                  </w:pPr>
                  <w:r>
                    <w:rPr>
                      <w:bCs/>
                      <w:color w:val="auto"/>
                      <w:szCs w:val="21"/>
                      <w:highlight w:val="none"/>
                      <w:lang w:bidi="ar"/>
                    </w:rPr>
                    <w:t>符合</w:t>
                  </w:r>
                </w:p>
              </w:tc>
            </w:tr>
            <w:tr w14:paraId="76E24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71CBA1C3">
                  <w:pPr>
                    <w:spacing w:line="290" w:lineRule="exact"/>
                    <w:ind w:left="-105" w:leftChars="-50" w:right="-105" w:rightChars="-50"/>
                    <w:jc w:val="center"/>
                    <w:rPr>
                      <w:bCs/>
                      <w:color w:val="auto"/>
                      <w:szCs w:val="21"/>
                      <w:highlight w:val="none"/>
                      <w:lang w:bidi="ar"/>
                    </w:rPr>
                  </w:pPr>
                  <w:r>
                    <w:rPr>
                      <w:bCs/>
                      <w:color w:val="auto"/>
                      <w:szCs w:val="21"/>
                      <w:highlight w:val="none"/>
                      <w:lang w:bidi="ar"/>
                    </w:rPr>
                    <w:t>3</w:t>
                  </w:r>
                </w:p>
              </w:tc>
              <w:tc>
                <w:tcPr>
                  <w:tcW w:w="2250" w:type="pct"/>
                  <w:noWrap w:val="0"/>
                  <w:vAlign w:val="center"/>
                </w:tcPr>
                <w:p w14:paraId="42523915">
                  <w:pPr>
                    <w:autoSpaceDE w:val="0"/>
                    <w:autoSpaceDN w:val="0"/>
                    <w:spacing w:line="290" w:lineRule="exact"/>
                    <w:ind w:left="-42" w:leftChars="-20" w:right="-42" w:rightChars="-20"/>
                    <w:rPr>
                      <w:rFonts w:hint="eastAsia" w:eastAsia="宋体"/>
                      <w:color w:val="auto"/>
                      <w:szCs w:val="21"/>
                      <w:highlight w:val="none"/>
                      <w:lang w:eastAsia="zh-CN"/>
                    </w:rPr>
                  </w:pPr>
                  <w:r>
                    <w:rPr>
                      <w:rFonts w:hint="eastAsia"/>
                      <w:color w:val="auto"/>
                      <w:szCs w:val="21"/>
                      <w:highlight w:val="none"/>
                    </w:rPr>
                    <w:t>严格环境准入条件，推动产业结构调整和转型升级落实《报告书》提出的开发区生态环境准入要求和与规划不符的现有企业环境管理要求，强化现有及入区企业污染物排放控制要求。开发区现有“两高”项目不得扩大生产规模，严禁新增“两高”项目，平板玻璃产能上限 2000 吨/天。现有企业不断提高清洁生产水平，促进开发区产业转型升级与生态环境保护、人居环境安全相协调</w:t>
                  </w:r>
                  <w:r>
                    <w:rPr>
                      <w:rFonts w:hint="eastAsia"/>
                      <w:color w:val="auto"/>
                      <w:szCs w:val="21"/>
                      <w:highlight w:val="none"/>
                      <w:lang w:eastAsia="zh-CN"/>
                    </w:rPr>
                    <w:t>。</w:t>
                  </w:r>
                </w:p>
              </w:tc>
              <w:tc>
                <w:tcPr>
                  <w:tcW w:w="1944" w:type="pct"/>
                  <w:noWrap w:val="0"/>
                  <w:vAlign w:val="center"/>
                </w:tcPr>
                <w:p w14:paraId="72C703A3">
                  <w:pPr>
                    <w:autoSpaceDE w:val="0"/>
                    <w:autoSpaceDN w:val="0"/>
                    <w:spacing w:line="290" w:lineRule="exact"/>
                    <w:ind w:left="-42" w:leftChars="-20" w:right="-42" w:rightChars="-20"/>
                    <w:rPr>
                      <w:rFonts w:hint="eastAsia"/>
                      <w:color w:val="auto"/>
                      <w:spacing w:val="-6"/>
                      <w:kern w:val="0"/>
                      <w:szCs w:val="21"/>
                      <w:highlight w:val="none"/>
                      <w:lang w:bidi="ar"/>
                    </w:rPr>
                  </w:pPr>
                  <w:r>
                    <w:rPr>
                      <w:rFonts w:hint="eastAsia"/>
                      <w:color w:val="auto"/>
                      <w:spacing w:val="-6"/>
                      <w:kern w:val="0"/>
                      <w:szCs w:val="21"/>
                      <w:highlight w:val="none"/>
                      <w:lang w:bidi="ar"/>
                    </w:rPr>
                    <w:t>技改项目</w:t>
                  </w:r>
                  <w:r>
                    <w:rPr>
                      <w:rFonts w:hint="eastAsia"/>
                      <w:color w:val="auto"/>
                      <w:spacing w:val="-6"/>
                      <w:kern w:val="0"/>
                      <w:szCs w:val="21"/>
                      <w:highlight w:val="none"/>
                      <w:lang w:val="en-US" w:eastAsia="zh-CN" w:bidi="ar"/>
                    </w:rPr>
                    <w:t>不属于“两高”项目</w:t>
                  </w:r>
                  <w:r>
                    <w:rPr>
                      <w:rFonts w:hint="eastAsia"/>
                      <w:color w:val="auto"/>
                      <w:spacing w:val="-6"/>
                      <w:kern w:val="0"/>
                      <w:szCs w:val="21"/>
                      <w:highlight w:val="none"/>
                      <w:lang w:bidi="ar"/>
                    </w:rPr>
                    <w:t>，</w:t>
                  </w:r>
                  <w:r>
                    <w:rPr>
                      <w:rFonts w:hint="eastAsia"/>
                      <w:color w:val="auto"/>
                      <w:spacing w:val="-6"/>
                      <w:kern w:val="0"/>
                      <w:szCs w:val="21"/>
                      <w:highlight w:val="none"/>
                      <w:lang w:val="en-US" w:eastAsia="zh-CN" w:bidi="ar"/>
                    </w:rPr>
                    <w:t>技改项目有少量气体挥发对大气环境影响很小，</w:t>
                  </w:r>
                  <w:r>
                    <w:rPr>
                      <w:rFonts w:hint="eastAsia" w:ascii="Times New Roman" w:hAnsi="Times New Roman" w:eastAsia="宋体" w:cs="Times New Roman"/>
                      <w:color w:val="auto"/>
                      <w:spacing w:val="-6"/>
                      <w:kern w:val="0"/>
                      <w:sz w:val="21"/>
                      <w:szCs w:val="21"/>
                      <w:highlight w:val="none"/>
                      <w:lang w:val="en-US" w:eastAsia="zh-CN" w:bidi="ar"/>
                    </w:rPr>
                    <w:t>废水污染物主要为COD、石油类等，</w:t>
                  </w:r>
                  <w:r>
                    <w:rPr>
                      <w:rFonts w:hint="eastAsia"/>
                      <w:color w:val="auto"/>
                      <w:spacing w:val="-6"/>
                      <w:kern w:val="0"/>
                      <w:szCs w:val="21"/>
                      <w:highlight w:val="none"/>
                      <w:lang w:bidi="ar"/>
                    </w:rPr>
                    <w:t>不会对周边敏感点造成影响。</w:t>
                  </w:r>
                </w:p>
              </w:tc>
              <w:tc>
                <w:tcPr>
                  <w:tcW w:w="414" w:type="pct"/>
                  <w:noWrap w:val="0"/>
                  <w:vAlign w:val="center"/>
                </w:tcPr>
                <w:p w14:paraId="08D9196B">
                  <w:pPr>
                    <w:spacing w:line="290" w:lineRule="exact"/>
                    <w:jc w:val="center"/>
                    <w:rPr>
                      <w:bCs/>
                      <w:color w:val="auto"/>
                      <w:szCs w:val="21"/>
                      <w:highlight w:val="none"/>
                      <w:lang w:bidi="ar"/>
                    </w:rPr>
                  </w:pPr>
                  <w:r>
                    <w:rPr>
                      <w:bCs/>
                      <w:color w:val="auto"/>
                      <w:szCs w:val="21"/>
                      <w:highlight w:val="none"/>
                      <w:lang w:bidi="ar"/>
                    </w:rPr>
                    <w:t>符合</w:t>
                  </w:r>
                </w:p>
              </w:tc>
            </w:tr>
            <w:tr w14:paraId="0E1C9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253A40A9">
                  <w:pPr>
                    <w:spacing w:line="290" w:lineRule="exact"/>
                    <w:ind w:left="-105" w:leftChars="-50" w:right="-105" w:rightChars="-50"/>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4</w:t>
                  </w:r>
                </w:p>
              </w:tc>
              <w:tc>
                <w:tcPr>
                  <w:tcW w:w="2250" w:type="pct"/>
                  <w:noWrap w:val="0"/>
                  <w:vAlign w:val="center"/>
                </w:tcPr>
                <w:p w14:paraId="2CCA7AE8">
                  <w:pPr>
                    <w:autoSpaceDE w:val="0"/>
                    <w:autoSpaceDN w:val="0"/>
                    <w:spacing w:line="290" w:lineRule="exact"/>
                    <w:ind w:left="-42" w:leftChars="-20" w:right="-42" w:rightChars="-20"/>
                    <w:rPr>
                      <w:rFonts w:hint="eastAsia"/>
                      <w:color w:val="auto"/>
                      <w:szCs w:val="21"/>
                      <w:highlight w:val="none"/>
                    </w:rPr>
                  </w:pPr>
                  <w:r>
                    <w:rPr>
                      <w:rFonts w:hint="eastAsia"/>
                      <w:color w:val="auto"/>
                      <w:szCs w:val="21"/>
                      <w:highlight w:val="none"/>
                    </w:rPr>
                    <w:t>严格空间管控，进一步优化开发区空间布局。统筹优化开发区产业布局和发展规模，加强对开发区周边生态保护红线及各类环境敏感区的保护。城镇开发边界以外的范围严格按照国土空间规划调整情况进行开发利用，并严格遵守其相关管理要求控制开发区边界外居民点向开发区方向发展，确保开发区内企业与敏感点保持足够的防护距离，减少突发事件可能对居民区环境产生的影响。</w:t>
                  </w:r>
                </w:p>
              </w:tc>
              <w:tc>
                <w:tcPr>
                  <w:tcW w:w="1944" w:type="pct"/>
                  <w:noWrap w:val="0"/>
                  <w:vAlign w:val="center"/>
                </w:tcPr>
                <w:p w14:paraId="299961EF">
                  <w:pPr>
                    <w:autoSpaceDE w:val="0"/>
                    <w:autoSpaceDN w:val="0"/>
                    <w:spacing w:line="290" w:lineRule="exact"/>
                    <w:ind w:left="-42" w:leftChars="-20" w:right="-42" w:rightChars="-20"/>
                    <w:rPr>
                      <w:rFonts w:hint="eastAsia"/>
                      <w:color w:val="auto"/>
                      <w:spacing w:val="-6"/>
                      <w:kern w:val="0"/>
                      <w:szCs w:val="21"/>
                      <w:highlight w:val="none"/>
                      <w:lang w:bidi="ar"/>
                    </w:rPr>
                  </w:pPr>
                  <w:r>
                    <w:rPr>
                      <w:rFonts w:hint="eastAsia"/>
                      <w:bCs/>
                      <w:color w:val="auto"/>
                      <w:kern w:val="0"/>
                      <w:sz w:val="21"/>
                      <w:szCs w:val="21"/>
                      <w:highlight w:val="none"/>
                      <w:lang w:val="en-US" w:eastAsia="zh-CN" w:bidi="ar"/>
                    </w:rPr>
                    <w:t>技改后，</w:t>
                  </w:r>
                  <w:r>
                    <w:rPr>
                      <w:rFonts w:hint="eastAsia"/>
                      <w:bCs/>
                      <w:color w:val="auto"/>
                      <w:kern w:val="0"/>
                      <w:sz w:val="21"/>
                      <w:szCs w:val="21"/>
                      <w:highlight w:val="none"/>
                      <w:lang w:bidi="ar"/>
                    </w:rPr>
                    <w:t>距离厂</w:t>
                  </w:r>
                  <w:r>
                    <w:rPr>
                      <w:bCs/>
                      <w:color w:val="auto"/>
                      <w:kern w:val="0"/>
                      <w:sz w:val="21"/>
                      <w:szCs w:val="21"/>
                      <w:highlight w:val="none"/>
                      <w:lang w:bidi="ar"/>
                    </w:rPr>
                    <w:t>界</w:t>
                  </w:r>
                  <w:r>
                    <w:rPr>
                      <w:rFonts w:hint="eastAsia"/>
                      <w:bCs/>
                      <w:color w:val="auto"/>
                      <w:kern w:val="0"/>
                      <w:sz w:val="21"/>
                      <w:szCs w:val="21"/>
                      <w:highlight w:val="none"/>
                      <w:lang w:bidi="ar"/>
                    </w:rPr>
                    <w:t>最近的敏感点</w:t>
                  </w:r>
                  <w:r>
                    <w:rPr>
                      <w:rFonts w:hint="eastAsia"/>
                      <w:bCs/>
                      <w:color w:val="auto"/>
                      <w:kern w:val="0"/>
                      <w:sz w:val="21"/>
                      <w:szCs w:val="21"/>
                      <w:highlight w:val="none"/>
                      <w:lang w:val="en-US" w:eastAsia="zh-CN" w:bidi="ar"/>
                    </w:rPr>
                    <w:t>仍为</w:t>
                  </w:r>
                  <w:r>
                    <w:rPr>
                      <w:rFonts w:hint="eastAsia"/>
                      <w:color w:val="auto"/>
                      <w:highlight w:val="none"/>
                      <w:lang w:val="en-US" w:eastAsia="zh-CN"/>
                    </w:rPr>
                    <w:t>东侧30m处为岳霍口村</w:t>
                  </w:r>
                  <w:r>
                    <w:rPr>
                      <w:rFonts w:hint="eastAsia"/>
                      <w:bCs/>
                      <w:color w:val="auto"/>
                      <w:kern w:val="0"/>
                      <w:sz w:val="21"/>
                      <w:szCs w:val="21"/>
                      <w:highlight w:val="none"/>
                      <w:lang w:bidi="ar"/>
                    </w:rPr>
                    <w:t>。项目用水由园区供水管网提供，不</w:t>
                  </w:r>
                  <w:r>
                    <w:rPr>
                      <w:rFonts w:hint="eastAsia"/>
                      <w:bCs/>
                      <w:color w:val="auto"/>
                      <w:kern w:val="0"/>
                      <w:sz w:val="21"/>
                      <w:szCs w:val="21"/>
                      <w:highlight w:val="none"/>
                      <w:lang w:val="en-US" w:eastAsia="zh-CN" w:bidi="ar"/>
                    </w:rPr>
                    <w:t>单独</w:t>
                  </w:r>
                  <w:r>
                    <w:rPr>
                      <w:rFonts w:hint="eastAsia"/>
                      <w:bCs/>
                      <w:color w:val="auto"/>
                      <w:kern w:val="0"/>
                      <w:sz w:val="21"/>
                      <w:szCs w:val="21"/>
                      <w:highlight w:val="none"/>
                      <w:lang w:bidi="ar"/>
                    </w:rPr>
                    <w:t>开采地下水，项目选址位于规划工业用地内，不在地下水水源井保护区范围内。</w:t>
                  </w:r>
                </w:p>
              </w:tc>
              <w:tc>
                <w:tcPr>
                  <w:tcW w:w="414" w:type="pct"/>
                  <w:noWrap w:val="0"/>
                  <w:vAlign w:val="center"/>
                </w:tcPr>
                <w:p w14:paraId="0B7FFADE">
                  <w:pPr>
                    <w:spacing w:line="290" w:lineRule="exact"/>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符合</w:t>
                  </w:r>
                </w:p>
              </w:tc>
            </w:tr>
            <w:tr w14:paraId="4A60B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7F8637B9">
                  <w:pPr>
                    <w:spacing w:line="290" w:lineRule="exact"/>
                    <w:ind w:left="-105" w:leftChars="-50" w:right="-105" w:rightChars="-50"/>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5</w:t>
                  </w:r>
                </w:p>
              </w:tc>
              <w:tc>
                <w:tcPr>
                  <w:tcW w:w="2250" w:type="pct"/>
                  <w:noWrap w:val="0"/>
                  <w:vAlign w:val="center"/>
                </w:tcPr>
                <w:p w14:paraId="1BCE0078">
                  <w:pPr>
                    <w:autoSpaceDE w:val="0"/>
                    <w:autoSpaceDN w:val="0"/>
                    <w:spacing w:line="290" w:lineRule="exact"/>
                    <w:ind w:left="-42" w:leftChars="-20" w:right="-42" w:rightChars="-20"/>
                    <w:rPr>
                      <w:rFonts w:hint="eastAsia" w:eastAsia="宋体"/>
                      <w:color w:val="auto"/>
                      <w:szCs w:val="21"/>
                      <w:highlight w:val="none"/>
                      <w:lang w:eastAsia="zh-CN"/>
                    </w:rPr>
                  </w:pPr>
                  <w:r>
                    <w:rPr>
                      <w:rFonts w:hint="eastAsia"/>
                      <w:color w:val="auto"/>
                      <w:szCs w:val="21"/>
                      <w:highlight w:val="none"/>
                    </w:rPr>
                    <w:t xml:space="preserve"> 严守环境质量底线，强化污染物排放总量管控。根据国家、河北省及石家庄市污染防治规划和区域“三线一单”生态环境分区管控相关要求，制定并落实开发区污染减排方案，采取有效措施减少主要污染物和特征污染物的排放量，确保区域环境质量持续改善，促进产业发展与生态环境保护相协调。严格落实《报告书》提出的污染物排放准入要求，车间排放口涉重金属废水严禁外排;环境质量未达到国家或者地方环境质量标准之前，建设项目主要污染物实行区域倍量削减</w:t>
                  </w:r>
                  <w:r>
                    <w:rPr>
                      <w:rFonts w:hint="eastAsia"/>
                      <w:color w:val="auto"/>
                      <w:szCs w:val="21"/>
                      <w:highlight w:val="none"/>
                      <w:lang w:eastAsia="zh-CN"/>
                    </w:rPr>
                    <w:t>。</w:t>
                  </w:r>
                </w:p>
              </w:tc>
              <w:tc>
                <w:tcPr>
                  <w:tcW w:w="1944" w:type="pct"/>
                  <w:noWrap w:val="0"/>
                  <w:vAlign w:val="center"/>
                </w:tcPr>
                <w:p w14:paraId="49CF907D">
                  <w:pPr>
                    <w:keepNext w:val="0"/>
                    <w:keepLines w:val="0"/>
                    <w:pageBreakBefore w:val="0"/>
                    <w:widowControl/>
                    <w:suppressLineNumbers w:val="0"/>
                    <w:kinsoku/>
                    <w:wordWrap/>
                    <w:overflowPunct/>
                    <w:topLinePunct w:val="0"/>
                    <w:autoSpaceDE/>
                    <w:autoSpaceDN/>
                    <w:bidi w:val="0"/>
                    <w:adjustRightInd/>
                    <w:snapToGrid/>
                    <w:spacing w:line="360" w:lineRule="auto"/>
                    <w:ind w:firstLine="396" w:firstLineChars="200"/>
                    <w:jc w:val="left"/>
                    <w:textAlignment w:val="auto"/>
                    <w:rPr>
                      <w:rFonts w:hint="default" w:eastAsia="宋体"/>
                      <w:color w:val="auto"/>
                      <w:spacing w:val="-6"/>
                      <w:kern w:val="0"/>
                      <w:szCs w:val="21"/>
                      <w:highlight w:val="none"/>
                      <w:lang w:val="en-US" w:eastAsia="zh-CN" w:bidi="ar"/>
                    </w:rPr>
                  </w:pPr>
                  <w:r>
                    <w:rPr>
                      <w:rFonts w:hint="eastAsia"/>
                      <w:color w:val="000000" w:themeColor="text1"/>
                      <w:spacing w:val="-6"/>
                      <w:kern w:val="0"/>
                      <w:szCs w:val="21"/>
                      <w:highlight w:val="none"/>
                      <w:lang w:bidi="ar"/>
                      <w14:textFill>
                        <w14:solidFill>
                          <w14:schemeClr w14:val="tx1"/>
                        </w14:solidFill>
                      </w14:textFill>
                    </w:rPr>
                    <w:t>技</w:t>
                  </w:r>
                  <w:r>
                    <w:rPr>
                      <w:rFonts w:hint="eastAsia"/>
                      <w:color w:val="000000" w:themeColor="text1"/>
                      <w:highlight w:val="none"/>
                      <w:lang w:val="en-US" w:eastAsia="zh-CN"/>
                      <w14:textFill>
                        <w14:solidFill>
                          <w14:schemeClr w14:val="tx1"/>
                        </w14:solidFill>
                      </w14:textFill>
                    </w:rPr>
                    <w:t>改项目新增废水排放量；技改项目新增总量指标如下：COD：0.t/a、氨氮：0t/a；总量控制指标无新增。</w:t>
                  </w:r>
                </w:p>
              </w:tc>
              <w:tc>
                <w:tcPr>
                  <w:tcW w:w="414" w:type="pct"/>
                  <w:noWrap w:val="0"/>
                  <w:vAlign w:val="center"/>
                </w:tcPr>
                <w:p w14:paraId="478EA7FC">
                  <w:pPr>
                    <w:spacing w:line="290" w:lineRule="exact"/>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符合</w:t>
                  </w:r>
                </w:p>
              </w:tc>
            </w:tr>
            <w:tr w14:paraId="65E7F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39FD3168">
                  <w:pPr>
                    <w:spacing w:line="290" w:lineRule="exact"/>
                    <w:ind w:left="-105" w:leftChars="-50" w:right="-105" w:rightChars="-50"/>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6</w:t>
                  </w:r>
                </w:p>
              </w:tc>
              <w:tc>
                <w:tcPr>
                  <w:tcW w:w="2250" w:type="pct"/>
                  <w:noWrap w:val="0"/>
                  <w:vAlign w:val="center"/>
                </w:tcPr>
                <w:p w14:paraId="6AA62892">
                  <w:pPr>
                    <w:autoSpaceDE w:val="0"/>
                    <w:autoSpaceDN w:val="0"/>
                    <w:spacing w:line="290" w:lineRule="exact"/>
                    <w:ind w:left="-42" w:leftChars="-20" w:right="-42" w:rightChars="-20"/>
                    <w:rPr>
                      <w:rFonts w:hint="eastAsia"/>
                      <w:color w:val="auto"/>
                      <w:szCs w:val="21"/>
                      <w:highlight w:val="none"/>
                    </w:rPr>
                  </w:pPr>
                  <w:r>
                    <w:rPr>
                      <w:rFonts w:hint="eastAsia"/>
                      <w:color w:val="auto"/>
                      <w:szCs w:val="21"/>
                      <w:highlight w:val="none"/>
                    </w:rPr>
                    <w:t>统筹基础设施建设，严格落实建设内容及时限。近期，开发区南区供水由建成的地下水厂供给，北区供水依托上方乡供水厂和阳关供水厂，水源为地下水;远期，开发区积极寻求地表水源，适时建设地表水厂。开发区南区污水排入建成的行唐县第二污水处理厂处理后部分回用，剩余部分排入正在建设的生态修复湿地进一步处理，最终排入邵河;北区污水排入建成的行唐县玉城污水处理厂后部分回用，剩余部分排入正在建设的生态修复湿地进一步处理，最终排入部河。开发区南区供热由建成的中电行唐生物质能热电有限公司供给，北区随入区企业发展规模，结合实际需求，适时建设集中供热。开发区南区供气由集中煤制气中心和天然气联合供给，北区供气由天然气供给</w:t>
                  </w:r>
                </w:p>
              </w:tc>
              <w:tc>
                <w:tcPr>
                  <w:tcW w:w="1944" w:type="pct"/>
                  <w:noWrap w:val="0"/>
                  <w:vAlign w:val="center"/>
                </w:tcPr>
                <w:p w14:paraId="338CC652">
                  <w:pPr>
                    <w:autoSpaceDE w:val="0"/>
                    <w:autoSpaceDN w:val="0"/>
                    <w:spacing w:line="290" w:lineRule="exact"/>
                    <w:ind w:left="-42" w:leftChars="-20" w:right="-42" w:rightChars="-20"/>
                    <w:rPr>
                      <w:rFonts w:hint="eastAsia"/>
                      <w:color w:val="auto"/>
                      <w:spacing w:val="-6"/>
                      <w:kern w:val="0"/>
                      <w:szCs w:val="21"/>
                      <w:highlight w:val="none"/>
                      <w:lang w:bidi="ar"/>
                    </w:rPr>
                  </w:pPr>
                  <w:r>
                    <w:rPr>
                      <w:rFonts w:hint="eastAsia"/>
                      <w:bCs/>
                      <w:color w:val="auto"/>
                      <w:kern w:val="0"/>
                      <w:szCs w:val="21"/>
                      <w:highlight w:val="none"/>
                      <w:lang w:bidi="ar"/>
                    </w:rPr>
                    <w:t>项目用水由园区供水管网提供，不开采地下水，</w:t>
                  </w:r>
                  <w:r>
                    <w:rPr>
                      <w:rFonts w:hint="eastAsia"/>
                      <w:bCs/>
                      <w:color w:val="auto"/>
                      <w:kern w:val="0"/>
                      <w:szCs w:val="21"/>
                      <w:highlight w:val="none"/>
                      <w:lang w:val="en-US" w:eastAsia="zh-CN" w:bidi="ar"/>
                    </w:rPr>
                    <w:t>用水量较小</w:t>
                  </w:r>
                  <w:r>
                    <w:rPr>
                      <w:rFonts w:hint="eastAsia"/>
                      <w:bCs/>
                      <w:color w:val="auto"/>
                      <w:kern w:val="0"/>
                      <w:szCs w:val="21"/>
                      <w:highlight w:val="none"/>
                      <w:lang w:bidi="ar"/>
                    </w:rPr>
                    <w:t>。</w:t>
                  </w:r>
                  <w:r>
                    <w:rPr>
                      <w:rFonts w:hint="eastAsia"/>
                      <w:color w:val="auto"/>
                      <w:spacing w:val="-6"/>
                      <w:kern w:val="0"/>
                      <w:szCs w:val="21"/>
                      <w:highlight w:val="none"/>
                      <w:lang w:bidi="ar"/>
                    </w:rPr>
                    <w:t>废水污染物主要为COD、石油类等，依据本次评价预测，COD、石油类经处理后的浓度远远低于排放标准，排入厂区化粪池预处理后排入行唐县第二污水处理厂处理。</w:t>
                  </w:r>
                </w:p>
              </w:tc>
              <w:tc>
                <w:tcPr>
                  <w:tcW w:w="414" w:type="pct"/>
                  <w:noWrap w:val="0"/>
                  <w:vAlign w:val="center"/>
                </w:tcPr>
                <w:p w14:paraId="49379EBB">
                  <w:pPr>
                    <w:spacing w:line="290" w:lineRule="exact"/>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符合</w:t>
                  </w:r>
                </w:p>
              </w:tc>
            </w:tr>
            <w:tr w14:paraId="44F2C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3A0F35A7">
                  <w:pPr>
                    <w:spacing w:line="290" w:lineRule="exact"/>
                    <w:ind w:left="-105" w:leftChars="-50" w:right="-105" w:rightChars="-50"/>
                    <w:jc w:val="center"/>
                    <w:rPr>
                      <w:rFonts w:hint="default"/>
                      <w:bCs/>
                      <w:color w:val="auto"/>
                      <w:szCs w:val="21"/>
                      <w:highlight w:val="none"/>
                      <w:lang w:val="en-US" w:eastAsia="zh-CN" w:bidi="ar"/>
                    </w:rPr>
                  </w:pPr>
                  <w:r>
                    <w:rPr>
                      <w:rFonts w:hint="eastAsia"/>
                      <w:bCs/>
                      <w:color w:val="auto"/>
                      <w:szCs w:val="21"/>
                      <w:highlight w:val="none"/>
                      <w:lang w:val="en-US" w:eastAsia="zh-CN" w:bidi="ar"/>
                    </w:rPr>
                    <w:t>7</w:t>
                  </w:r>
                </w:p>
              </w:tc>
              <w:tc>
                <w:tcPr>
                  <w:tcW w:w="2250" w:type="pct"/>
                  <w:noWrap w:val="0"/>
                  <w:vAlign w:val="center"/>
                </w:tcPr>
                <w:p w14:paraId="5C5D51CF">
                  <w:pPr>
                    <w:autoSpaceDE w:val="0"/>
                    <w:autoSpaceDN w:val="0"/>
                    <w:spacing w:line="290" w:lineRule="exact"/>
                    <w:ind w:left="-42" w:leftChars="-20" w:right="-42" w:rightChars="-20"/>
                    <w:rPr>
                      <w:rFonts w:hint="eastAsia" w:eastAsia="宋体"/>
                      <w:color w:val="auto"/>
                      <w:szCs w:val="21"/>
                      <w:highlight w:val="none"/>
                      <w:lang w:eastAsia="zh-CN"/>
                    </w:rPr>
                  </w:pPr>
                  <w:r>
                    <w:rPr>
                      <w:rFonts w:hint="eastAsia"/>
                      <w:color w:val="auto"/>
                      <w:szCs w:val="21"/>
                      <w:highlight w:val="none"/>
                    </w:rPr>
                    <w:t>优化运输方式，落实应急运输响应方案。鼓励开发区提高清洁能源汽车运输比例，优化区域运输方式，减轻运输产生的不利环境影响。结合秋冬行业错峰生产和重污染天气应急响应要求，在黄色及以上重污染天气预警期间，重点用车企业实施应急运输响应</w:t>
                  </w:r>
                  <w:r>
                    <w:rPr>
                      <w:rFonts w:hint="eastAsia"/>
                      <w:color w:val="auto"/>
                      <w:szCs w:val="21"/>
                      <w:highlight w:val="none"/>
                      <w:lang w:eastAsia="zh-CN"/>
                    </w:rPr>
                    <w:t>。</w:t>
                  </w:r>
                </w:p>
              </w:tc>
              <w:tc>
                <w:tcPr>
                  <w:tcW w:w="1944" w:type="pct"/>
                  <w:noWrap w:val="0"/>
                  <w:vAlign w:val="center"/>
                </w:tcPr>
                <w:p w14:paraId="0994661A">
                  <w:pPr>
                    <w:autoSpaceDE w:val="0"/>
                    <w:autoSpaceDN w:val="0"/>
                    <w:spacing w:line="290" w:lineRule="exact"/>
                    <w:ind w:left="-42" w:leftChars="-20" w:right="-42" w:rightChars="-20"/>
                    <w:rPr>
                      <w:rFonts w:hint="default" w:eastAsia="宋体"/>
                      <w:color w:val="auto"/>
                      <w:spacing w:val="-6"/>
                      <w:kern w:val="0"/>
                      <w:szCs w:val="21"/>
                      <w:highlight w:val="none"/>
                      <w:lang w:val="en-US" w:eastAsia="zh-CN" w:bidi="ar"/>
                    </w:rPr>
                  </w:pPr>
                  <w:r>
                    <w:rPr>
                      <w:rFonts w:hint="eastAsia" w:ascii="Times New Roman" w:hAnsi="Times New Roman" w:eastAsia="宋体" w:cs="Times New Roman"/>
                      <w:color w:val="auto"/>
                      <w:sz w:val="21"/>
                      <w:szCs w:val="21"/>
                      <w:highlight w:val="none"/>
                      <w:lang w:val="en-US" w:eastAsia="zh-CN"/>
                    </w:rPr>
                    <w:t>技改项目利用已有生产车间，喷漆前增加清洗烘干线，提高喷漆质量</w:t>
                  </w:r>
                  <w:r>
                    <w:rPr>
                      <w:rFonts w:hint="eastAsia"/>
                      <w:color w:val="auto"/>
                      <w:szCs w:val="21"/>
                      <w:highlight w:val="none"/>
                    </w:rPr>
                    <w:t>。</w:t>
                  </w:r>
                  <w:r>
                    <w:rPr>
                      <w:rFonts w:hint="eastAsia"/>
                      <w:color w:val="auto"/>
                      <w:szCs w:val="21"/>
                      <w:highlight w:val="none"/>
                      <w:lang w:val="en-US" w:eastAsia="zh-CN"/>
                    </w:rPr>
                    <w:t>不涉及运输。</w:t>
                  </w:r>
                </w:p>
              </w:tc>
              <w:tc>
                <w:tcPr>
                  <w:tcW w:w="414" w:type="pct"/>
                  <w:noWrap w:val="0"/>
                  <w:vAlign w:val="center"/>
                </w:tcPr>
                <w:p w14:paraId="64251EB8">
                  <w:pPr>
                    <w:spacing w:line="290" w:lineRule="exact"/>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不涉及</w:t>
                  </w:r>
                </w:p>
              </w:tc>
            </w:tr>
            <w:tr w14:paraId="3314B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0" w:type="pct"/>
                  <w:noWrap w:val="0"/>
                  <w:vAlign w:val="center"/>
                </w:tcPr>
                <w:p w14:paraId="1396394A">
                  <w:pPr>
                    <w:spacing w:line="290" w:lineRule="exact"/>
                    <w:ind w:left="-105" w:leftChars="-50" w:right="-105" w:rightChars="-50"/>
                    <w:jc w:val="center"/>
                    <w:rPr>
                      <w:rFonts w:hint="default"/>
                      <w:bCs/>
                      <w:color w:val="auto"/>
                      <w:szCs w:val="21"/>
                      <w:highlight w:val="none"/>
                      <w:lang w:val="en-US" w:eastAsia="zh-CN" w:bidi="ar"/>
                    </w:rPr>
                  </w:pPr>
                  <w:r>
                    <w:rPr>
                      <w:rFonts w:hint="eastAsia"/>
                      <w:bCs/>
                      <w:color w:val="auto"/>
                      <w:szCs w:val="21"/>
                      <w:highlight w:val="none"/>
                      <w:lang w:val="en-US" w:eastAsia="zh-CN" w:bidi="ar"/>
                    </w:rPr>
                    <w:t>8</w:t>
                  </w:r>
                </w:p>
              </w:tc>
              <w:tc>
                <w:tcPr>
                  <w:tcW w:w="2250" w:type="pct"/>
                  <w:noWrap w:val="0"/>
                  <w:vAlign w:val="center"/>
                </w:tcPr>
                <w:p w14:paraId="71E310BC">
                  <w:pPr>
                    <w:autoSpaceDE w:val="0"/>
                    <w:autoSpaceDN w:val="0"/>
                    <w:spacing w:line="290" w:lineRule="exact"/>
                    <w:ind w:left="-42" w:leftChars="-20" w:right="-42" w:rightChars="-20"/>
                    <w:rPr>
                      <w:rFonts w:hint="eastAsia"/>
                      <w:color w:val="auto"/>
                      <w:szCs w:val="21"/>
                      <w:highlight w:val="none"/>
                    </w:rPr>
                  </w:pPr>
                  <w:r>
                    <w:rPr>
                      <w:rFonts w:hint="eastAsia"/>
                      <w:color w:val="auto"/>
                      <w:szCs w:val="21"/>
                      <w:highlight w:val="none"/>
                    </w:rPr>
                    <w:t>健全完善环境监测体系，强化环境风险防范。建立完善包括环境空气、地表水、地下水、土壤等环境要素的监控体系;强化区域环境风险防范体系，建立应急响应联动机制。严格落实《报告书》提出的各项环境风险防控措施，提升环境风险防控和应急响应能力，保障区域</w:t>
                  </w:r>
                  <w:r>
                    <w:rPr>
                      <w:rFonts w:hint="eastAsia"/>
                      <w:color w:val="auto"/>
                      <w:szCs w:val="21"/>
                      <w:highlight w:val="none"/>
                      <w:lang w:val="en-US" w:eastAsia="zh-CN"/>
                    </w:rPr>
                    <w:t>环</w:t>
                  </w:r>
                  <w:r>
                    <w:rPr>
                      <w:rFonts w:hint="eastAsia"/>
                      <w:color w:val="auto"/>
                      <w:szCs w:val="21"/>
                      <w:highlight w:val="none"/>
                    </w:rPr>
                    <w:t>境安全。</w:t>
                  </w:r>
                </w:p>
              </w:tc>
              <w:tc>
                <w:tcPr>
                  <w:tcW w:w="1944" w:type="pct"/>
                  <w:noWrap w:val="0"/>
                  <w:vAlign w:val="center"/>
                </w:tcPr>
                <w:p w14:paraId="6A3C0317">
                  <w:pPr>
                    <w:autoSpaceDE w:val="0"/>
                    <w:autoSpaceDN w:val="0"/>
                    <w:spacing w:line="290" w:lineRule="exact"/>
                    <w:ind w:left="-42" w:leftChars="-20" w:right="-42" w:rightChars="-20"/>
                    <w:rPr>
                      <w:rFonts w:hint="eastAsia"/>
                      <w:color w:val="auto"/>
                      <w:spacing w:val="-6"/>
                      <w:kern w:val="0"/>
                      <w:szCs w:val="21"/>
                      <w:highlight w:val="none"/>
                      <w:lang w:bidi="ar"/>
                    </w:rPr>
                  </w:pPr>
                  <w:r>
                    <w:rPr>
                      <w:rFonts w:hint="eastAsia"/>
                      <w:color w:val="auto"/>
                      <w:spacing w:val="-6"/>
                      <w:kern w:val="0"/>
                      <w:szCs w:val="21"/>
                      <w:highlight w:val="none"/>
                      <w:lang w:bidi="ar"/>
                    </w:rPr>
                    <w:t>技改项目</w:t>
                  </w:r>
                  <w:r>
                    <w:rPr>
                      <w:rFonts w:hint="eastAsia" w:cs="Times New Roman"/>
                      <w:color w:val="auto"/>
                      <w:spacing w:val="-6"/>
                      <w:kern w:val="0"/>
                      <w:sz w:val="21"/>
                      <w:szCs w:val="21"/>
                      <w:highlight w:val="none"/>
                      <w:lang w:val="en-US" w:eastAsia="zh-CN" w:bidi="ar"/>
                    </w:rPr>
                    <w:t>增加废水排放量，有COD、氨氮污染物等排放，</w:t>
                  </w:r>
                  <w:r>
                    <w:rPr>
                      <w:rFonts w:hint="eastAsia" w:ascii="Times New Roman" w:hAnsi="Times New Roman" w:eastAsia="宋体" w:cs="Times New Roman"/>
                      <w:color w:val="auto"/>
                      <w:spacing w:val="-6"/>
                      <w:kern w:val="0"/>
                      <w:sz w:val="21"/>
                      <w:szCs w:val="21"/>
                      <w:highlight w:val="none"/>
                      <w:lang w:val="en-US" w:eastAsia="zh-CN" w:bidi="ar"/>
                    </w:rPr>
                    <w:t>远低于排放标准；</w:t>
                  </w:r>
                  <w:r>
                    <w:rPr>
                      <w:rFonts w:hint="eastAsia" w:cs="Times New Roman"/>
                      <w:color w:val="auto"/>
                      <w:spacing w:val="-6"/>
                      <w:kern w:val="0"/>
                      <w:sz w:val="21"/>
                      <w:szCs w:val="21"/>
                      <w:highlight w:val="none"/>
                      <w:lang w:val="en-US" w:eastAsia="zh-CN" w:bidi="ar"/>
                    </w:rPr>
                    <w:t>新增废包装桶等危废。</w:t>
                  </w:r>
                  <w:r>
                    <w:rPr>
                      <w:rFonts w:hint="eastAsia" w:ascii="Times New Roman" w:hAnsi="Times New Roman" w:eastAsia="宋体" w:cs="Times New Roman"/>
                      <w:color w:val="auto"/>
                      <w:spacing w:val="-6"/>
                      <w:kern w:val="0"/>
                      <w:sz w:val="21"/>
                      <w:szCs w:val="21"/>
                      <w:highlight w:val="none"/>
                      <w:lang w:val="en-US" w:eastAsia="zh-CN" w:bidi="ar"/>
                    </w:rPr>
                    <w:t>环境风险处于可接受水平。</w:t>
                  </w:r>
                  <w:r>
                    <w:rPr>
                      <w:rFonts w:hint="eastAsia" w:cs="Times New Roman"/>
                      <w:color w:val="auto"/>
                      <w:spacing w:val="-6"/>
                      <w:kern w:val="0"/>
                      <w:sz w:val="21"/>
                      <w:szCs w:val="21"/>
                      <w:highlight w:val="none"/>
                      <w:lang w:val="en-US" w:eastAsia="zh-CN" w:bidi="ar"/>
                    </w:rPr>
                    <w:t>企业</w:t>
                  </w:r>
                  <w:r>
                    <w:rPr>
                      <w:rFonts w:hint="eastAsia" w:ascii="Times New Roman" w:hAnsi="Times New Roman" w:eastAsia="宋体" w:cs="Times New Roman"/>
                      <w:color w:val="auto"/>
                      <w:spacing w:val="-6"/>
                      <w:kern w:val="0"/>
                      <w:sz w:val="21"/>
                      <w:szCs w:val="21"/>
                      <w:highlight w:val="none"/>
                      <w:lang w:val="en-US" w:eastAsia="zh-CN" w:bidi="ar"/>
                    </w:rPr>
                    <w:t>加强环境风险防范措施和应急处置，不会对周边敏感点造成影响。</w:t>
                  </w:r>
                  <w:r>
                    <w:rPr>
                      <w:rFonts w:hint="eastAsia" w:cs="Times New Roman"/>
                      <w:color w:val="auto"/>
                      <w:spacing w:val="-6"/>
                      <w:kern w:val="0"/>
                      <w:sz w:val="21"/>
                      <w:szCs w:val="21"/>
                      <w:highlight w:val="none"/>
                      <w:lang w:val="en-US" w:eastAsia="zh-CN" w:bidi="ar"/>
                    </w:rPr>
                    <w:t>技改后不会影响区域环境。</w:t>
                  </w:r>
                </w:p>
              </w:tc>
              <w:tc>
                <w:tcPr>
                  <w:tcW w:w="414" w:type="pct"/>
                  <w:noWrap w:val="0"/>
                  <w:vAlign w:val="center"/>
                </w:tcPr>
                <w:p w14:paraId="350E3B0C">
                  <w:pPr>
                    <w:spacing w:line="290" w:lineRule="exact"/>
                    <w:jc w:val="center"/>
                    <w:rPr>
                      <w:rFonts w:hint="eastAsia" w:eastAsia="宋体"/>
                      <w:bCs/>
                      <w:color w:val="auto"/>
                      <w:szCs w:val="21"/>
                      <w:highlight w:val="none"/>
                      <w:lang w:val="en-US" w:eastAsia="zh-CN" w:bidi="ar"/>
                    </w:rPr>
                  </w:pPr>
                  <w:r>
                    <w:rPr>
                      <w:rFonts w:hint="eastAsia"/>
                      <w:bCs/>
                      <w:color w:val="auto"/>
                      <w:szCs w:val="21"/>
                      <w:highlight w:val="none"/>
                      <w:lang w:val="en-US" w:eastAsia="zh-CN" w:bidi="ar"/>
                    </w:rPr>
                    <w:t>符合</w:t>
                  </w:r>
                </w:p>
              </w:tc>
            </w:tr>
          </w:tbl>
          <w:p w14:paraId="62950730">
            <w:pPr>
              <w:pStyle w:val="118"/>
              <w:keepNext w:val="0"/>
              <w:keepLines w:val="0"/>
              <w:pageBreakBefore w:val="0"/>
              <w:widowControl/>
              <w:kinsoku/>
              <w:wordWrap/>
              <w:overflowPunct/>
              <w:topLinePunct w:val="0"/>
              <w:autoSpaceDE/>
              <w:autoSpaceDN/>
              <w:bidi w:val="0"/>
              <w:adjustRightInd/>
              <w:snapToGrid/>
              <w:spacing w:before="63" w:beforeLines="20" w:line="360" w:lineRule="auto"/>
              <w:textAlignment w:val="auto"/>
              <w:rPr>
                <w:bCs/>
                <w:color w:val="auto"/>
                <w:kern w:val="2"/>
                <w:sz w:val="24"/>
                <w:szCs w:val="24"/>
                <w:highlight w:val="none"/>
              </w:rPr>
            </w:pPr>
            <w:r>
              <w:rPr>
                <w:rFonts w:hint="eastAsia"/>
                <w:color w:val="auto"/>
                <w:sz w:val="24"/>
                <w:szCs w:val="24"/>
                <w:highlight w:val="none"/>
              </w:rPr>
              <w:t>4、</w:t>
            </w:r>
            <w:r>
              <w:rPr>
                <w:color w:val="auto"/>
                <w:sz w:val="24"/>
                <w:szCs w:val="24"/>
                <w:highlight w:val="none"/>
              </w:rPr>
              <w:t>基础设施</w:t>
            </w:r>
            <w:r>
              <w:rPr>
                <w:rFonts w:hint="eastAsia"/>
                <w:color w:val="auto"/>
                <w:sz w:val="24"/>
                <w:szCs w:val="24"/>
                <w:highlight w:val="none"/>
              </w:rPr>
              <w:t>规划符合性分析</w:t>
            </w:r>
          </w:p>
          <w:p w14:paraId="580553A4">
            <w:pPr>
              <w:pStyle w:val="112"/>
              <w:keepNext w:val="0"/>
              <w:keepLines w:val="0"/>
              <w:pageBreakBefore w:val="0"/>
              <w:widowControl/>
              <w:kinsoku/>
              <w:wordWrap/>
              <w:overflowPunct/>
              <w:topLinePunct w:val="0"/>
              <w:autoSpaceDE/>
              <w:autoSpaceDN/>
              <w:bidi w:val="0"/>
              <w:adjustRightInd/>
              <w:snapToGrid/>
              <w:textAlignment w:val="auto"/>
              <w:rPr>
                <w:rFonts w:hint="default"/>
                <w:color w:val="auto"/>
                <w:sz w:val="24"/>
                <w:szCs w:val="24"/>
                <w:highlight w:val="none"/>
                <w:lang w:val="en-US" w:eastAsia="zh-CN"/>
              </w:rPr>
            </w:pPr>
            <w:r>
              <w:rPr>
                <w:rFonts w:hint="default"/>
                <w:color w:val="auto"/>
                <w:sz w:val="24"/>
                <w:szCs w:val="24"/>
                <w:highlight w:val="none"/>
                <w:lang w:val="en-US" w:eastAsia="zh-CN"/>
              </w:rPr>
              <w:t>（1）给水</w:t>
            </w:r>
          </w:p>
          <w:p w14:paraId="2EE282B0">
            <w:pPr>
              <w:pStyle w:val="112"/>
              <w:bidi w:val="0"/>
              <w:rPr>
                <w:rFonts w:hint="default"/>
                <w:color w:val="FF0000"/>
                <w:sz w:val="24"/>
                <w:szCs w:val="24"/>
                <w:highlight w:val="none"/>
                <w:lang w:val="en-US" w:eastAsia="zh-CN"/>
              </w:rPr>
            </w:pPr>
            <w:r>
              <w:rPr>
                <w:rFonts w:hint="eastAsia"/>
                <w:color w:val="auto"/>
                <w:sz w:val="24"/>
                <w:szCs w:val="24"/>
                <w:highlight w:val="none"/>
                <w:lang w:val="en-US" w:eastAsia="zh-CN"/>
              </w:rPr>
              <w:t>目前，行唐经济开发区（南区）已实施集中供水，居民生活用水和企业生产用水由行唐经济开发区（南区）水厂供应，水源为地下水。行唐经济开发区（南区）范围内企业自备井均已关停。行唐经济开发区（南区）水厂位于行唐县安香乡北部，现状由安香乡西留营村和东伏流村水源地8眼取水井供水，取水许可量为178.76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/a。行唐经济开发区（南区）水厂规划供水规模5.5万m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/d（一期2万m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/d，二期3.5万m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/d），一期已建成，实际供水能力1.0万m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该水厂规划供水范围为南区企业及周边七个行政村，实际供水范围为南区企业、行唐县第二污水处理厂、开发区管委会、东留营庄村及安香乡政府。截至目前，南区给水管网较完善，已建成道路均铺设给水管网。</w:t>
            </w:r>
            <w:r>
              <w:rPr>
                <w:rFonts w:hint="eastAsia"/>
                <w:color w:val="000000" w:themeColor="text1"/>
                <w:sz w:val="24"/>
                <w:szCs w:val="24"/>
                <w:highlight w:val="none"/>
                <w:lang w:val="en-US" w:eastAsia="zh-CN"/>
                <w14:textFill>
                  <w14:solidFill>
                    <w14:schemeClr w14:val="tx1"/>
                  </w14:solidFill>
                </w14:textFill>
              </w:rPr>
              <w:t>技改项目新增用水</w:t>
            </w:r>
            <w:r>
              <w:rPr>
                <w:rFonts w:hint="default"/>
                <w:color w:val="000000" w:themeColor="text1"/>
                <w:sz w:val="24"/>
                <w:szCs w:val="24"/>
                <w:highlight w:val="none"/>
                <w:lang w:val="en-US" w:eastAsia="zh-CN"/>
                <w14:textFill>
                  <w14:solidFill>
                    <w14:schemeClr w14:val="tx1"/>
                  </w14:solidFill>
                </w14:textFill>
              </w:rPr>
              <w:t>。</w:t>
            </w:r>
          </w:p>
          <w:p w14:paraId="36A96DB3">
            <w:pPr>
              <w:pStyle w:val="112"/>
              <w:bidi w:val="0"/>
              <w:rPr>
                <w:rFonts w:hint="default"/>
                <w:color w:val="auto"/>
                <w:sz w:val="24"/>
                <w:szCs w:val="24"/>
                <w:highlight w:val="none"/>
                <w:lang w:val="en-US" w:eastAsia="zh-CN"/>
              </w:rPr>
            </w:pPr>
            <w:r>
              <w:rPr>
                <w:rFonts w:hint="default"/>
                <w:color w:val="auto"/>
                <w:sz w:val="24"/>
                <w:szCs w:val="24"/>
                <w:highlight w:val="none"/>
                <w:lang w:val="en-US" w:eastAsia="zh-CN"/>
              </w:rPr>
              <w:t>（2）排水</w:t>
            </w:r>
          </w:p>
          <w:p w14:paraId="3904A9A2">
            <w:pPr>
              <w:pStyle w:val="112"/>
              <w:bidi w:val="0"/>
              <w:rPr>
                <w:rFonts w:hint="default"/>
                <w:color w:val="auto"/>
                <w:sz w:val="24"/>
                <w:szCs w:val="24"/>
                <w:highlight w:val="none"/>
                <w:vertAlign w:val="baseline"/>
                <w:lang w:val="en-US" w:eastAsia="zh-CN"/>
              </w:rPr>
            </w:pPr>
            <w:r>
              <w:rPr>
                <w:rFonts w:hint="eastAsia"/>
                <w:color w:val="auto"/>
                <w:sz w:val="24"/>
                <w:szCs w:val="24"/>
                <w:highlight w:val="none"/>
                <w:lang w:val="en-US" w:eastAsia="zh-CN"/>
              </w:rPr>
              <w:t>行唐经济开发区（南区）污水排入行唐县第二污水处理厂。行唐县第二污水处理厂位于开发区东正庄西南约300米，占地面积70亩，设计规模2万m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/d，实际运行规模为1万m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/d，实际处理污水量2500m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/d。目前运行正常。行唐县第二污水处理厂收水范围是行唐经济开发区（南区）工业废水及生活污水。开发区南区已建成道路均铺设污水管网。</w:t>
            </w:r>
          </w:p>
          <w:p w14:paraId="1DDA716E">
            <w:pPr>
              <w:pStyle w:val="112"/>
              <w:bidi w:val="0"/>
              <w:rPr>
                <w:rFonts w:hint="default"/>
                <w:color w:val="auto"/>
                <w:sz w:val="24"/>
                <w:szCs w:val="24"/>
                <w:highlight w:val="none"/>
                <w:vertAlign w:val="baseline"/>
                <w:lang w:val="en-US" w:eastAsia="zh-CN"/>
              </w:rPr>
            </w:pPr>
            <w:r>
              <w:rPr>
                <w:rFonts w:hint="eastAsia"/>
                <w:color w:val="auto"/>
                <w:sz w:val="24"/>
                <w:szCs w:val="24"/>
                <w:highlight w:val="none"/>
                <w:vertAlign w:val="baseline"/>
                <w:lang w:val="en-US" w:eastAsia="zh-CN"/>
              </w:rPr>
              <w:t>行唐县第二污水处理厂提标改造工程已完成，采用“预处理+A</w:t>
            </w:r>
            <w:r>
              <w:rPr>
                <w:rFonts w:hint="eastAsia"/>
                <w:color w:val="auto"/>
                <w:sz w:val="24"/>
                <w:szCs w:val="24"/>
                <w:highlight w:val="none"/>
                <w:vertAlign w:val="superscript"/>
                <w:lang w:val="en-US" w:eastAsia="zh-CN"/>
              </w:rPr>
              <w:t>2</w:t>
            </w:r>
            <w:r>
              <w:rPr>
                <w:rFonts w:hint="eastAsia"/>
                <w:color w:val="auto"/>
                <w:sz w:val="24"/>
                <w:szCs w:val="24"/>
                <w:highlight w:val="none"/>
                <w:vertAlign w:val="baseline"/>
                <w:lang w:val="en-US" w:eastAsia="zh-CN"/>
              </w:rPr>
              <w:t>O生化工艺+沉淀池+絮凝沉淀池+高效反硝化生物滤池-中间水池+臭氧催化氧化+高效曝气生物滤池+V型滤池+消毒”工艺，提标改造设计规模1万m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d，出水水质满足《大清河流域水污染物排放标准》（DB13/2798-2018）重点控制区标准及《城镇污水处理厂污染物排放标准》（GB18918-2002）及其修改单中表1中一级A标准要求，部分回用，剩余部分排入行唐县玉城污水处理厂。</w:t>
            </w:r>
          </w:p>
          <w:p w14:paraId="5288C1E2">
            <w:pPr>
              <w:pStyle w:val="112"/>
              <w:bidi w:val="0"/>
              <w:rPr>
                <w:rFonts w:hint="default"/>
                <w:color w:val="000000" w:themeColor="text1"/>
                <w:sz w:val="24"/>
                <w:szCs w:val="24"/>
                <w:highlight w:val="none"/>
                <w:lang w:val="en-US" w:eastAsia="zh-CN"/>
                <w14:textFill>
                  <w14:solidFill>
                    <w14:schemeClr w14:val="tx1"/>
                  </w14:solidFill>
                </w14:textFill>
              </w:rPr>
            </w:pPr>
            <w:r>
              <w:rPr>
                <w:rFonts w:hint="default"/>
                <w:color w:val="auto"/>
                <w:sz w:val="24"/>
                <w:szCs w:val="24"/>
                <w:highlight w:val="none"/>
                <w:lang w:val="en-US" w:eastAsia="zh-CN"/>
              </w:rPr>
              <w:t>本项目位于行唐县第二污水处理厂收水范围内，</w:t>
            </w:r>
            <w:r>
              <w:rPr>
                <w:rFonts w:hint="eastAsia"/>
                <w:color w:val="000000" w:themeColor="text1"/>
                <w:sz w:val="24"/>
                <w:szCs w:val="24"/>
                <w:highlight w:val="none"/>
                <w:lang w:val="en-US" w:eastAsia="zh-CN"/>
                <w14:textFill>
                  <w14:solidFill>
                    <w14:schemeClr w14:val="tx1"/>
                  </w14:solidFill>
                </w14:textFill>
              </w:rPr>
              <w:t>技改项目新增少量排水</w:t>
            </w:r>
            <w:r>
              <w:rPr>
                <w:rFonts w:hint="default"/>
                <w:color w:val="000000" w:themeColor="text1"/>
                <w:sz w:val="24"/>
                <w:szCs w:val="24"/>
                <w:highlight w:val="none"/>
                <w:lang w:val="en-US" w:eastAsia="zh-CN"/>
                <w14:textFill>
                  <w14:solidFill>
                    <w14:schemeClr w14:val="tx1"/>
                  </w14:solidFill>
                </w14:textFill>
              </w:rPr>
              <w:t>。</w:t>
            </w:r>
          </w:p>
          <w:p w14:paraId="1D610BD9">
            <w:pPr>
              <w:pStyle w:val="112"/>
              <w:bidi w:val="0"/>
              <w:rPr>
                <w:rFonts w:hint="default"/>
                <w:color w:val="auto"/>
                <w:sz w:val="24"/>
                <w:szCs w:val="24"/>
                <w:highlight w:val="none"/>
                <w:lang w:val="en-US" w:eastAsia="zh-CN"/>
              </w:rPr>
            </w:pPr>
            <w:r>
              <w:rPr>
                <w:rFonts w:hint="default"/>
                <w:color w:val="auto"/>
                <w:sz w:val="24"/>
                <w:szCs w:val="24"/>
                <w:highlight w:val="none"/>
                <w:lang w:val="en-US" w:eastAsia="zh-CN"/>
              </w:rPr>
              <w:t>（3）供热</w:t>
            </w:r>
          </w:p>
          <w:p w14:paraId="007C61DB">
            <w:pPr>
              <w:pStyle w:val="112"/>
              <w:bidi w:val="0"/>
              <w:rPr>
                <w:rFonts w:hint="eastAsia"/>
                <w:color w:val="auto"/>
                <w:sz w:val="24"/>
                <w:szCs w:val="24"/>
                <w:highlight w:val="none"/>
                <w:lang w:val="en-US" w:eastAsia="zh-CN"/>
              </w:rPr>
            </w:pPr>
            <w:r>
              <w:rPr>
                <w:rFonts w:hint="eastAsia"/>
                <w:color w:val="auto"/>
                <w:sz w:val="24"/>
                <w:szCs w:val="24"/>
                <w:highlight w:val="none"/>
                <w:lang w:val="en-US" w:eastAsia="zh-CN"/>
              </w:rPr>
              <w:t>行唐经济开发区（南区）用热由中电行唐生物质能热电有限公司集中供热。中电行唐生物质能热电有限公司以农作物秸秆作为燃料，建有1台130t/h直燃式水冷振动炉排生物质锅炉，年供热量1139465GJ。行唐经济开发区（南区）供热管道已铺设完成，大部分企业已实现集中供热。</w:t>
            </w:r>
          </w:p>
          <w:p w14:paraId="0A22355E">
            <w:pPr>
              <w:pStyle w:val="112"/>
              <w:bidi w:val="0"/>
              <w:rPr>
                <w:rFonts w:hint="default"/>
                <w:color w:val="FF0000"/>
                <w:sz w:val="24"/>
                <w:szCs w:val="24"/>
                <w:highlight w:val="none"/>
                <w:lang w:val="en-US" w:eastAsia="zh-CN"/>
              </w:rPr>
            </w:pPr>
            <w:r>
              <w:rPr>
                <w:rFonts w:hint="eastAsia"/>
                <w:color w:val="auto"/>
                <w:sz w:val="24"/>
                <w:szCs w:val="24"/>
                <w:highlight w:val="none"/>
                <w:lang w:val="en-US" w:eastAsia="zh-CN"/>
              </w:rPr>
              <w:t>石家庄玉晶玻璃有限公司利用工业余热为生产区及办公区供暖，剩余热量为县城供暖，2022年实际供暖范围为40万平方米，使用热水供暖，无富裕供热能力。行唐经济开发区（南区）部分企业用热由自备锅炉提供。</w:t>
            </w:r>
            <w:r>
              <w:rPr>
                <w:rFonts w:hint="eastAsia"/>
                <w:color w:val="000000" w:themeColor="text1"/>
                <w:sz w:val="24"/>
                <w:szCs w:val="24"/>
                <w:highlight w:val="none"/>
                <w:lang w:val="en-US" w:eastAsia="zh-CN"/>
                <w14:textFill>
                  <w14:solidFill>
                    <w14:schemeClr w14:val="tx1"/>
                  </w14:solidFill>
                </w14:textFill>
              </w:rPr>
              <w:t>本</w:t>
            </w:r>
            <w:r>
              <w:rPr>
                <w:rFonts w:hint="eastAsia" w:ascii="Times New Roman" w:hAnsi="Times New Roman"/>
                <w:color w:val="000000" w:themeColor="text1"/>
                <w:sz w:val="24"/>
                <w:szCs w:val="24"/>
                <w:highlight w:val="none"/>
                <w14:textFill>
                  <w14:solidFill>
                    <w14:schemeClr w14:val="tx1"/>
                  </w14:solidFill>
                </w14:textFill>
              </w:rPr>
              <w:t>技改后</w:t>
            </w:r>
            <w:r>
              <w:rPr>
                <w:rFonts w:hint="eastAsia" w:ascii="Times New Roman" w:hAnsi="Times New Roman"/>
                <w:color w:val="000000" w:themeColor="text1"/>
                <w:sz w:val="24"/>
                <w:szCs w:val="24"/>
                <w:highlight w:val="none"/>
                <w:lang w:val="en-US" w:eastAsia="zh-CN"/>
                <w14:textFill>
                  <w14:solidFill>
                    <w14:schemeClr w14:val="tx1"/>
                  </w14:solidFill>
                </w14:textFill>
              </w:rPr>
              <w:t>喷漆</w:t>
            </w:r>
            <w:r>
              <w:rPr>
                <w:rFonts w:hint="eastAsia"/>
                <w:color w:val="000000" w:themeColor="text1"/>
                <w:sz w:val="24"/>
                <w:szCs w:val="24"/>
                <w:highlight w:val="none"/>
                <w:lang w:val="en-US" w:eastAsia="zh-CN"/>
                <w14:textFill>
                  <w14:solidFill>
                    <w14:schemeClr w14:val="tx1"/>
                  </w14:solidFill>
                </w14:textFill>
              </w:rPr>
              <w:t>清洗</w:t>
            </w:r>
            <w:r>
              <w:rPr>
                <w:rFonts w:hint="eastAsia" w:ascii="Times New Roman" w:hAnsi="Times New Roman"/>
                <w:color w:val="000000" w:themeColor="text1"/>
                <w:sz w:val="24"/>
                <w:szCs w:val="24"/>
                <w:highlight w:val="none"/>
                <w:lang w:val="en-US" w:eastAsia="zh-CN"/>
                <w14:textFill>
                  <w14:solidFill>
                    <w14:schemeClr w14:val="tx1"/>
                  </w14:solidFill>
                </w14:textFill>
              </w:rPr>
              <w:t>烘干用热采用</w:t>
            </w:r>
            <w:r>
              <w:rPr>
                <w:rFonts w:hint="eastAsia"/>
                <w:color w:val="000000" w:themeColor="text1"/>
                <w:sz w:val="24"/>
                <w:szCs w:val="24"/>
                <w:highlight w:val="none"/>
                <w:lang w:val="en-US" w:eastAsia="zh-CN"/>
                <w14:textFill>
                  <w14:solidFill>
                    <w14:schemeClr w14:val="tx1"/>
                  </w14:solidFill>
                </w14:textFill>
              </w:rPr>
              <w:t>电</w:t>
            </w:r>
            <w:r>
              <w:rPr>
                <w:rFonts w:hint="eastAsia" w:ascii="Times New Roman" w:hAnsi="Times New Roman"/>
                <w:color w:val="000000" w:themeColor="text1"/>
                <w:sz w:val="24"/>
                <w:szCs w:val="24"/>
                <w:highlight w:val="none"/>
                <w:lang w:val="en-US" w:eastAsia="zh-CN"/>
                <w14:textFill>
                  <w14:solidFill>
                    <w14:schemeClr w14:val="tx1"/>
                  </w14:solidFill>
                </w14:textFill>
              </w:rPr>
              <w:t>加热</w:t>
            </w:r>
            <w:r>
              <w:rPr>
                <w:rFonts w:hint="eastAsia" w:ascii="Times New Roman" w:hAnsi="Times New Roman"/>
                <w:color w:val="000000" w:themeColor="text1"/>
                <w:sz w:val="24"/>
                <w:szCs w:val="24"/>
                <w:highlight w:val="none"/>
                <w14:textFill>
                  <w14:solidFill>
                    <w14:schemeClr w14:val="tx1"/>
                  </w14:solidFill>
                </w14:textFill>
              </w:rPr>
              <w:t>。</w:t>
            </w:r>
          </w:p>
          <w:p w14:paraId="5164392A">
            <w:pPr>
              <w:pStyle w:val="112"/>
              <w:bidi w:val="0"/>
              <w:rPr>
                <w:rFonts w:hint="default"/>
                <w:color w:val="auto"/>
                <w:sz w:val="24"/>
                <w:szCs w:val="24"/>
                <w:highlight w:val="none"/>
                <w:lang w:val="en-US" w:eastAsia="zh-CN"/>
              </w:rPr>
            </w:pPr>
            <w:r>
              <w:rPr>
                <w:rFonts w:hint="default"/>
                <w:color w:val="auto"/>
                <w:sz w:val="24"/>
                <w:szCs w:val="24"/>
                <w:highlight w:val="none"/>
                <w:lang w:val="en-US" w:eastAsia="zh-CN"/>
              </w:rPr>
              <w:t>（4）供气</w:t>
            </w:r>
          </w:p>
          <w:p w14:paraId="7DBF054C">
            <w:pPr>
              <w:pStyle w:val="112"/>
              <w:bidi w:val="0"/>
              <w:rPr>
                <w:rFonts w:hint="eastAsia"/>
                <w:color w:val="auto"/>
                <w:sz w:val="24"/>
                <w:szCs w:val="24"/>
                <w:highlight w:val="none"/>
                <w:lang w:val="en-US" w:eastAsia="zh-CN"/>
              </w:rPr>
            </w:pPr>
            <w:r>
              <w:rPr>
                <w:rFonts w:hint="eastAsia"/>
                <w:color w:val="auto"/>
                <w:sz w:val="24"/>
                <w:szCs w:val="24"/>
                <w:highlight w:val="none"/>
                <w:lang w:val="en-US" w:eastAsia="zh-CN"/>
              </w:rPr>
              <w:t>河北行唐经济开发区内已建成供气管网，天然气气源为河北中石油昆仑天然气有限公司行唐门站（行唐末站），由石家庄昆仑新奥燃气有限公司负责为行唐经济开发区企业及周边村庄供气。行唐末站位于南区北部，玉晶路与唐尧大道交叉口，天然气管道已铺设入园区。</w:t>
            </w:r>
          </w:p>
          <w:p w14:paraId="207665AF">
            <w:pPr>
              <w:pStyle w:val="112"/>
              <w:bidi w:val="0"/>
              <w:rPr>
                <w:rFonts w:hint="default"/>
                <w:color w:val="auto"/>
                <w:sz w:val="24"/>
                <w:szCs w:val="24"/>
                <w:highlight w:val="none"/>
                <w:vertAlign w:val="baseline"/>
                <w:lang w:val="en-US" w:eastAsia="zh-CN"/>
              </w:rPr>
            </w:pPr>
            <w:r>
              <w:rPr>
                <w:rFonts w:hint="eastAsia"/>
                <w:color w:val="auto"/>
                <w:sz w:val="24"/>
                <w:szCs w:val="24"/>
                <w:highlight w:val="none"/>
                <w:lang w:val="en-US" w:eastAsia="zh-CN"/>
              </w:rPr>
              <w:t>新奥燃气公司燃气指标为4200万m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/a。其中，居民生活用气量为1900万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/a，河北行唐经济开发区工业用气量为2300万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/a。开发区南区现状天然气消耗量为536.59万</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/a。石家庄玉晶玻璃有限公司现状煤气用量约6.2亿</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/a，折合天然气约1.4亿</w:t>
            </w:r>
            <w:r>
              <w:rPr>
                <w:rFonts w:hint="eastAsia"/>
                <w:color w:val="auto"/>
                <w:sz w:val="24"/>
                <w:szCs w:val="24"/>
                <w:highlight w:val="none"/>
                <w:lang w:val="en-US" w:eastAsia="zh-CN"/>
              </w:rPr>
              <w:t>m</w:t>
            </w:r>
            <w:r>
              <w:rPr>
                <w:rFonts w:hint="eastAsia"/>
                <w:color w:val="auto"/>
                <w:sz w:val="24"/>
                <w:szCs w:val="24"/>
                <w:highlight w:val="none"/>
                <w:vertAlign w:val="superscript"/>
                <w:lang w:val="en-US" w:eastAsia="zh-CN"/>
              </w:rPr>
              <w:t>3</w:t>
            </w:r>
            <w:r>
              <w:rPr>
                <w:rFonts w:hint="eastAsia"/>
                <w:color w:val="auto"/>
                <w:sz w:val="24"/>
                <w:szCs w:val="24"/>
                <w:highlight w:val="none"/>
                <w:vertAlign w:val="baseline"/>
                <w:lang w:val="en-US" w:eastAsia="zh-CN"/>
              </w:rPr>
              <w:t>/a。</w:t>
            </w:r>
          </w:p>
          <w:p w14:paraId="4A361516">
            <w:pPr>
              <w:pStyle w:val="112"/>
              <w:bidi w:val="0"/>
              <w:rPr>
                <w:rFonts w:hint="default"/>
                <w:color w:val="auto"/>
                <w:sz w:val="24"/>
                <w:szCs w:val="24"/>
                <w:highlight w:val="none"/>
                <w:lang w:val="en-US" w:eastAsia="zh-CN"/>
              </w:rPr>
            </w:pPr>
            <w:r>
              <w:rPr>
                <w:rFonts w:hint="eastAsia" w:ascii="Times New Roman" w:hAnsi="Times New Roman"/>
                <w:color w:val="auto"/>
                <w:sz w:val="24"/>
                <w:szCs w:val="24"/>
                <w:highlight w:val="none"/>
              </w:rPr>
              <w:t>技改后</w:t>
            </w:r>
            <w:r>
              <w:rPr>
                <w:rFonts w:hint="eastAsia" w:ascii="Times New Roman" w:hAnsi="Times New Roman"/>
                <w:color w:val="auto"/>
                <w:sz w:val="24"/>
                <w:szCs w:val="24"/>
                <w:highlight w:val="none"/>
                <w:lang w:val="en-US" w:eastAsia="zh-CN"/>
              </w:rPr>
              <w:t>喷漆烘干用热采用天然气加热，由园区天然气管网输送至项目厂区</w:t>
            </w:r>
            <w:r>
              <w:rPr>
                <w:rFonts w:hint="eastAsia"/>
                <w:color w:val="auto"/>
                <w:sz w:val="24"/>
                <w:szCs w:val="24"/>
                <w:highlight w:val="none"/>
                <w:lang w:val="en-US" w:eastAsia="zh-CN"/>
              </w:rPr>
              <w:t>。</w:t>
            </w:r>
          </w:p>
          <w:p w14:paraId="6331DE54">
            <w:pPr>
              <w:pStyle w:val="112"/>
              <w:bidi w:val="0"/>
              <w:rPr>
                <w:rFonts w:hint="default"/>
                <w:color w:val="auto"/>
                <w:sz w:val="24"/>
                <w:szCs w:val="24"/>
                <w:highlight w:val="none"/>
                <w:lang w:val="en-US" w:eastAsia="zh-CN"/>
              </w:rPr>
            </w:pPr>
            <w:r>
              <w:rPr>
                <w:rFonts w:hint="default"/>
                <w:color w:val="auto"/>
                <w:sz w:val="24"/>
                <w:szCs w:val="24"/>
                <w:highlight w:val="none"/>
                <w:lang w:val="en-US" w:eastAsia="zh-CN"/>
              </w:rPr>
              <w:t>（5）供电</w:t>
            </w:r>
          </w:p>
          <w:p w14:paraId="7A1306B7">
            <w:pPr>
              <w:pStyle w:val="112"/>
              <w:bidi w:val="0"/>
              <w:rPr>
                <w:rFonts w:hint="eastAsia"/>
                <w:color w:val="auto"/>
                <w:sz w:val="24"/>
                <w:szCs w:val="24"/>
                <w:highlight w:val="none"/>
                <w:lang w:val="en-US" w:eastAsia="zh-CN"/>
              </w:rPr>
            </w:pPr>
            <w:r>
              <w:rPr>
                <w:rFonts w:hint="eastAsia"/>
                <w:color w:val="auto"/>
                <w:sz w:val="24"/>
                <w:szCs w:val="24"/>
                <w:highlight w:val="none"/>
                <w:lang w:val="en-US" w:eastAsia="zh-CN"/>
              </w:rPr>
              <w:t>行唐县输配电网络目前已形成220kV、110kV、35kV、10kV四级送配电电力网，成为石家庄电网的组成部分。</w:t>
            </w:r>
          </w:p>
          <w:p w14:paraId="777FCB47">
            <w:pPr>
              <w:pStyle w:val="112"/>
              <w:bidi w:val="0"/>
              <w:rPr>
                <w:rFonts w:hint="default"/>
                <w:color w:val="auto"/>
                <w:sz w:val="24"/>
                <w:szCs w:val="24"/>
                <w:highlight w:val="none"/>
                <w:lang w:val="en-US" w:eastAsia="zh-CN"/>
              </w:rPr>
            </w:pPr>
            <w:r>
              <w:rPr>
                <w:rFonts w:hint="eastAsia"/>
                <w:color w:val="auto"/>
                <w:sz w:val="24"/>
                <w:szCs w:val="24"/>
                <w:highlight w:val="none"/>
                <w:lang w:val="en-US" w:eastAsia="zh-CN"/>
              </w:rPr>
              <w:t>行唐经济开发区（南区）供电由石家庄供电公司留营110kV变电站供电。</w:t>
            </w:r>
          </w:p>
          <w:p w14:paraId="0D521C5D">
            <w:pPr>
              <w:pStyle w:val="112"/>
              <w:bidi w:val="0"/>
              <w:rPr>
                <w:rFonts w:hint="default"/>
                <w:color w:val="auto"/>
                <w:highlight w:val="none"/>
                <w:lang w:val="en-US" w:eastAsia="zh-CN"/>
              </w:rPr>
            </w:pPr>
            <w:r>
              <w:rPr>
                <w:rFonts w:hint="default"/>
                <w:color w:val="auto"/>
                <w:sz w:val="24"/>
                <w:szCs w:val="24"/>
                <w:highlight w:val="none"/>
                <w:lang w:val="en-US" w:eastAsia="zh-CN"/>
              </w:rPr>
              <w:t>本项目用电由园区供电线路提供，能满足项目生产需求。综上所述，本项目符合河北行唐经济开发区规划、规划环评要求。</w:t>
            </w:r>
          </w:p>
        </w:tc>
      </w:tr>
      <w:tr w14:paraId="77B1E3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79" w:type="dxa"/>
            <w:noWrap w:val="0"/>
            <w:vAlign w:val="center"/>
          </w:tcPr>
          <w:p w14:paraId="0C5AEABE">
            <w:pPr>
              <w:autoSpaceDE w:val="0"/>
              <w:autoSpaceDN w:val="0"/>
              <w:adjustRightInd w:val="0"/>
              <w:snapToGrid w:val="0"/>
              <w:jc w:val="center"/>
              <w:rPr>
                <w:color w:val="auto"/>
                <w:kern w:val="0"/>
                <w:sz w:val="24"/>
                <w:highlight w:val="none"/>
              </w:rPr>
            </w:pPr>
            <w:r>
              <w:rPr>
                <w:color w:val="auto"/>
                <w:kern w:val="0"/>
                <w:sz w:val="24"/>
                <w:highlight w:val="none"/>
              </w:rPr>
              <w:t>其他符合性分析</w:t>
            </w:r>
          </w:p>
        </w:tc>
        <w:tc>
          <w:tcPr>
            <w:tcW w:w="7691" w:type="dxa"/>
            <w:gridSpan w:val="5"/>
            <w:noWrap w:val="0"/>
            <w:vAlign w:val="center"/>
          </w:tcPr>
          <w:p w14:paraId="0B706B32">
            <w:pPr>
              <w:spacing w:line="360" w:lineRule="auto"/>
              <w:ind w:firstLine="480" w:firstLineChars="200"/>
              <w:rPr>
                <w:rFonts w:hint="eastAsia" w:ascii="Times New Roman" w:hAnsi="Times New Roman" w:eastAsia="宋体" w:cs="Times New Roman"/>
                <w:bCs/>
                <w:color w:val="auto"/>
                <w:kern w:val="0"/>
                <w:sz w:val="24"/>
                <w:highlight w:val="none"/>
                <w:lang w:val="en-US" w:eastAsia="zh-CN"/>
              </w:rPr>
            </w:pPr>
            <w:r>
              <w:rPr>
                <w:rFonts w:hint="eastAsia" w:cs="Times New Roman"/>
                <w:bCs/>
                <w:color w:val="auto"/>
                <w:kern w:val="0"/>
                <w:sz w:val="24"/>
                <w:highlight w:val="none"/>
                <w:lang w:val="en-US" w:eastAsia="zh-CN"/>
              </w:rPr>
              <w:t>本次技改仍利用已有生产车间</w:t>
            </w:r>
            <w:r>
              <w:rPr>
                <w:rFonts w:hint="eastAsia"/>
                <w:bCs/>
                <w:color w:val="auto"/>
                <w:kern w:val="0"/>
                <w:sz w:val="24"/>
                <w:highlight w:val="none"/>
              </w:rPr>
              <w:t>，对喷漆线进行技改，喷漆前增加清洗烘干线，提高喷漆质量</w:t>
            </w:r>
            <w:r>
              <w:rPr>
                <w:rFonts w:hint="eastAsia"/>
                <w:bCs/>
                <w:color w:val="auto"/>
                <w:kern w:val="0"/>
                <w:sz w:val="24"/>
                <w:highlight w:val="none"/>
                <w:lang w:eastAsia="zh-CN"/>
              </w:rPr>
              <w:t>；</w:t>
            </w:r>
            <w:r>
              <w:rPr>
                <w:rFonts w:hint="eastAsia"/>
                <w:bCs/>
                <w:color w:val="auto"/>
                <w:kern w:val="0"/>
                <w:sz w:val="24"/>
                <w:highlight w:val="none"/>
                <w:lang w:val="en-US" w:eastAsia="zh-CN"/>
              </w:rPr>
              <w:t>生产规模不变</w:t>
            </w:r>
            <w:r>
              <w:rPr>
                <w:rFonts w:hint="eastAsia" w:ascii="Times New Roman" w:hAnsi="Times New Roman" w:eastAsia="宋体" w:cs="Times New Roman"/>
                <w:bCs/>
                <w:color w:val="auto"/>
                <w:kern w:val="0"/>
                <w:sz w:val="24"/>
                <w:highlight w:val="none"/>
                <w:lang w:val="en-US" w:eastAsia="zh-CN"/>
              </w:rPr>
              <w:t>。</w:t>
            </w:r>
          </w:p>
          <w:p w14:paraId="5133AD67">
            <w:pPr>
              <w:spacing w:line="360" w:lineRule="auto"/>
              <w:ind w:firstLine="480" w:firstLineChars="200"/>
              <w:rPr>
                <w:rFonts w:hint="default" w:eastAsia="宋体"/>
                <w:color w:val="auto"/>
                <w:sz w:val="24"/>
                <w:szCs w:val="24"/>
                <w:highlight w:val="none"/>
                <w:lang w:val="en-US" w:eastAsia="zh-CN"/>
              </w:rPr>
            </w:pPr>
            <w:r>
              <w:rPr>
                <w:rFonts w:hint="eastAsia"/>
                <w:color w:val="auto"/>
                <w:sz w:val="24"/>
                <w:szCs w:val="24"/>
                <w:highlight w:val="none"/>
                <w:lang w:val="en-US" w:eastAsia="zh-CN"/>
              </w:rPr>
              <w:t>一</w:t>
            </w:r>
            <w:r>
              <w:rPr>
                <w:rFonts w:hint="default"/>
                <w:color w:val="auto"/>
                <w:sz w:val="24"/>
                <w:szCs w:val="24"/>
                <w:highlight w:val="none"/>
                <w:lang w:val="en-US" w:eastAsia="zh-CN"/>
              </w:rPr>
              <w:t>、</w:t>
            </w:r>
            <w:r>
              <w:rPr>
                <w:rFonts w:hint="eastAsia"/>
                <w:color w:val="auto"/>
                <w:sz w:val="24"/>
                <w:highlight w:val="none"/>
              </w:rPr>
              <w:t>“三线一单</w:t>
            </w:r>
            <w:r>
              <w:rPr>
                <w:color w:val="auto"/>
                <w:sz w:val="24"/>
                <w:highlight w:val="none"/>
              </w:rPr>
              <w:t>”</w:t>
            </w:r>
            <w:r>
              <w:rPr>
                <w:rFonts w:hint="eastAsia"/>
                <w:color w:val="auto"/>
                <w:sz w:val="24"/>
                <w:highlight w:val="none"/>
                <w:lang w:val="en-US" w:eastAsia="zh-CN"/>
              </w:rPr>
              <w:t>符合性分析</w:t>
            </w:r>
          </w:p>
          <w:p w14:paraId="35C6B9DB">
            <w:pPr>
              <w:spacing w:line="360" w:lineRule="auto"/>
              <w:ind w:firstLine="480" w:firstLineChars="200"/>
              <w:rPr>
                <w:rFonts w:hint="default" w:ascii="Times New Roman" w:hAnsi="Times New Roman"/>
                <w:b w:val="0"/>
                <w:bCs/>
                <w:color w:val="auto"/>
                <w:highlight w:val="none"/>
                <w:lang w:val="en-US" w:eastAsia="zh-CN"/>
              </w:rPr>
            </w:pPr>
            <w:r>
              <w:rPr>
                <w:rFonts w:hint="eastAsia"/>
                <w:color w:val="auto"/>
                <w:sz w:val="24"/>
                <w:highlight w:val="none"/>
                <w:lang w:eastAsia="zh-CN"/>
              </w:rPr>
              <w:t>（</w:t>
            </w:r>
            <w:r>
              <w:rPr>
                <w:rFonts w:hint="eastAsia"/>
                <w:color w:val="auto"/>
                <w:sz w:val="24"/>
                <w:highlight w:val="none"/>
                <w:lang w:val="en-US" w:eastAsia="zh-CN"/>
              </w:rPr>
              <w:t>1</w:t>
            </w:r>
            <w:r>
              <w:rPr>
                <w:rFonts w:hint="eastAsia"/>
                <w:color w:val="auto"/>
                <w:sz w:val="24"/>
                <w:highlight w:val="none"/>
                <w:lang w:eastAsia="zh-CN"/>
              </w:rPr>
              <w:t>）</w:t>
            </w:r>
            <w:r>
              <w:rPr>
                <w:rFonts w:hint="eastAsia" w:ascii="Times New Roman" w:hAnsi="Times New Roman" w:cs="Times New Roman"/>
                <w:b w:val="0"/>
                <w:bCs/>
                <w:color w:val="auto"/>
                <w:sz w:val="24"/>
                <w:szCs w:val="24"/>
                <w:highlight w:val="none"/>
                <w:lang w:val="en-US" w:eastAsia="zh-CN"/>
              </w:rPr>
              <w:t>与《河北省人民政府关于加快实施“三线一单”生态环境分区管控的意见》（冀政字【2020】71号）</w:t>
            </w:r>
            <w:r>
              <w:rPr>
                <w:rFonts w:hint="eastAsia" w:ascii="Times New Roman" w:hAnsi="Times New Roman" w:eastAsia="宋体" w:cs="Times New Roman"/>
                <w:b w:val="0"/>
                <w:bCs/>
                <w:caps w:val="0"/>
                <w:color w:val="auto"/>
                <w:sz w:val="24"/>
                <w:szCs w:val="24"/>
                <w:highlight w:val="none"/>
                <w:lang w:val="en-US" w:eastAsia="zh-CN"/>
              </w:rPr>
              <w:t>符合性分析。</w:t>
            </w:r>
          </w:p>
          <w:p w14:paraId="7DDEB9ED">
            <w:pPr>
              <w:spacing w:line="360" w:lineRule="auto"/>
              <w:ind w:firstLine="480" w:firstLineChars="200"/>
              <w:rPr>
                <w:rFonts w:hint="eastAsia"/>
                <w:color w:val="auto"/>
                <w:sz w:val="24"/>
                <w:highlight w:val="none"/>
                <w:lang w:val="en-US" w:eastAsia="zh-CN"/>
              </w:rPr>
            </w:pPr>
            <w:r>
              <w:rPr>
                <w:rFonts w:hint="eastAsia"/>
                <w:color w:val="auto"/>
                <w:sz w:val="24"/>
                <w:highlight w:val="none"/>
                <w:lang w:val="en-US" w:eastAsia="zh-CN"/>
              </w:rPr>
              <w:t>依据冀政字【2020】71号文，河北省划定全省环境管控单元分为优先保护单元、重点管控单元和一般管控单元。经比对河北省环境管控单元分布图（见附图），技改项目</w:t>
            </w:r>
            <w:r>
              <w:rPr>
                <w:rFonts w:hint="default"/>
                <w:color w:val="auto"/>
                <w:sz w:val="24"/>
                <w:highlight w:val="none"/>
                <w:lang w:val="en-US" w:eastAsia="zh-CN"/>
              </w:rPr>
              <w:t>位于</w:t>
            </w:r>
            <w:r>
              <w:rPr>
                <w:rFonts w:hint="eastAsia"/>
                <w:color w:val="auto"/>
                <w:sz w:val="24"/>
                <w:highlight w:val="none"/>
                <w:lang w:val="en-US" w:eastAsia="zh-CN"/>
              </w:rPr>
              <w:t>河北行唐经济开发区南区行唐县龙鑫机械制造有限公司厂区内，所属单元为省级以上产业园区重点管控单元，管控要求：严格产业准入，完善园区设施建设，推动设施提标改造；实施污染物总量控制，落实排污许可证制度；强化资源利用效率和地下水开采管控。</w:t>
            </w:r>
          </w:p>
          <w:p w14:paraId="6D5EC262">
            <w:pPr>
              <w:spacing w:line="360" w:lineRule="auto"/>
              <w:ind w:firstLine="480" w:firstLineChars="200"/>
              <w:rPr>
                <w:rFonts w:hint="eastAsia" w:ascii="Times New Roman" w:hAnsi="Times New Roman" w:eastAsia="宋体" w:cs="Times New Roman"/>
                <w:b w:val="0"/>
                <w:bCs/>
                <w:color w:val="auto"/>
                <w:kern w:val="2"/>
                <w:sz w:val="24"/>
                <w:szCs w:val="24"/>
                <w:highlight w:val="none"/>
                <w:lang w:val="en-US" w:eastAsia="zh-CN" w:bidi="ar-SA"/>
              </w:rPr>
            </w:pPr>
            <w:r>
              <w:rPr>
                <w:rFonts w:hint="eastAsia"/>
                <w:color w:val="auto"/>
                <w:sz w:val="24"/>
                <w:highlight w:val="none"/>
                <w:lang w:val="en-US" w:eastAsia="zh-CN"/>
              </w:rPr>
              <w:t>经过“规划及规划环境影响评价符合性分析”，技改项目符合</w:t>
            </w:r>
            <w:r>
              <w:rPr>
                <w:rFonts w:hint="default"/>
                <w:color w:val="auto"/>
                <w:sz w:val="24"/>
                <w:highlight w:val="none"/>
                <w:lang w:val="en-US" w:eastAsia="zh-CN"/>
              </w:rPr>
              <w:t>行唐经济开发区南区</w:t>
            </w:r>
            <w:r>
              <w:rPr>
                <w:rFonts w:hint="eastAsia"/>
                <w:color w:val="auto"/>
                <w:sz w:val="24"/>
                <w:highlight w:val="none"/>
                <w:lang w:val="en-US" w:eastAsia="zh-CN"/>
              </w:rPr>
              <w:t>产业布局且</w:t>
            </w:r>
            <w:r>
              <w:rPr>
                <w:rFonts w:hint="default"/>
                <w:color w:val="auto"/>
                <w:sz w:val="24"/>
                <w:highlight w:val="none"/>
                <w:lang w:val="en-US" w:eastAsia="zh-CN"/>
              </w:rPr>
              <w:t>行唐经济开</w:t>
            </w:r>
            <w:r>
              <w:rPr>
                <w:rFonts w:hint="default" w:ascii="Times New Roman" w:hAnsi="Times New Roman" w:eastAsia="宋体" w:cs="Times New Roman"/>
                <w:b w:val="0"/>
                <w:bCs/>
                <w:color w:val="auto"/>
                <w:kern w:val="2"/>
                <w:sz w:val="24"/>
                <w:szCs w:val="24"/>
                <w:highlight w:val="none"/>
                <w:lang w:val="en-US" w:eastAsia="zh-CN" w:bidi="ar-SA"/>
              </w:rPr>
              <w:t>发区南区</w:t>
            </w:r>
            <w:r>
              <w:rPr>
                <w:rFonts w:hint="eastAsia" w:ascii="Times New Roman" w:hAnsi="Times New Roman" w:eastAsia="宋体" w:cs="Times New Roman"/>
                <w:b w:val="0"/>
                <w:bCs/>
                <w:color w:val="auto"/>
                <w:kern w:val="2"/>
                <w:sz w:val="24"/>
                <w:szCs w:val="24"/>
                <w:highlight w:val="none"/>
                <w:lang w:val="en-US" w:eastAsia="zh-CN" w:bidi="ar-SA"/>
              </w:rPr>
              <w:t>设施建设完备，能够满足项目落户后要求；技改项目环境影响评价阶段与《排污许可证申请与核发技术规范 金属铸造工业》</w:t>
            </w:r>
            <w:r>
              <w:rPr>
                <w:rFonts w:hint="eastAsia" w:ascii="Times New Roman" w:hAnsi="Times New Roman" w:cs="Times New Roman"/>
                <w:b w:val="0"/>
                <w:bCs/>
                <w:color w:val="auto"/>
                <w:kern w:val="2"/>
                <w:sz w:val="24"/>
                <w:szCs w:val="24"/>
                <w:highlight w:val="none"/>
                <w:lang w:val="en-US" w:eastAsia="zh-CN" w:bidi="ar-SA"/>
              </w:rPr>
              <w:t>（HJ1115-2020）</w:t>
            </w:r>
            <w:r>
              <w:rPr>
                <w:rFonts w:hint="eastAsia" w:ascii="Times New Roman" w:hAnsi="Times New Roman" w:eastAsia="宋体" w:cs="Times New Roman"/>
                <w:b w:val="0"/>
                <w:bCs/>
                <w:color w:val="auto"/>
                <w:kern w:val="2"/>
                <w:sz w:val="24"/>
                <w:szCs w:val="24"/>
                <w:highlight w:val="none"/>
                <w:lang w:val="en-US" w:eastAsia="zh-CN" w:bidi="ar-SA"/>
              </w:rPr>
              <w:t>衔接，落实污染物总量控制和排污许可制度。</w:t>
            </w:r>
          </w:p>
          <w:p w14:paraId="661880D2">
            <w:pPr>
              <w:pStyle w:val="91"/>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center"/>
              <w:textAlignment w:val="auto"/>
              <w:rPr>
                <w:color w:val="auto"/>
                <w:sz w:val="24"/>
                <w:highlight w:val="none"/>
              </w:rPr>
            </w:pPr>
            <w:r>
              <w:rPr>
                <w:rFonts w:hint="eastAsia"/>
                <w:color w:val="auto"/>
                <w:sz w:val="24"/>
                <w:highlight w:val="none"/>
                <w:lang w:val="en-US" w:eastAsia="zh-CN"/>
              </w:rPr>
              <w:t xml:space="preserve">表1-3  </w:t>
            </w:r>
            <w:r>
              <w:rPr>
                <w:color w:val="auto"/>
                <w:sz w:val="24"/>
                <w:highlight w:val="none"/>
              </w:rPr>
              <w:t>“冀政字[2020]71号”符合性分析</w:t>
            </w:r>
          </w:p>
          <w:tbl>
            <w:tblPr>
              <w:tblStyle w:val="3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90"/>
              <w:gridCol w:w="2153"/>
              <w:gridCol w:w="4721"/>
            </w:tblGrid>
            <w:tr w14:paraId="0639D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noWrap w:val="0"/>
                  <w:vAlign w:val="center"/>
                </w:tcPr>
                <w:p w14:paraId="7BF18576">
                  <w:pPr>
                    <w:pStyle w:val="102"/>
                    <w:spacing w:before="24" w:after="24"/>
                    <w:rPr>
                      <w:rFonts w:hint="default"/>
                      <w:color w:val="auto"/>
                      <w:szCs w:val="21"/>
                      <w:highlight w:val="none"/>
                      <w:lang w:val="en-US"/>
                    </w:rPr>
                  </w:pPr>
                  <w:r>
                    <w:rPr>
                      <w:rFonts w:hint="default"/>
                      <w:color w:val="auto"/>
                      <w:szCs w:val="21"/>
                      <w:highlight w:val="none"/>
                      <w:lang w:val="en-US"/>
                    </w:rPr>
                    <w:t>内容</w:t>
                  </w:r>
                </w:p>
              </w:tc>
              <w:tc>
                <w:tcPr>
                  <w:tcW w:w="4604" w:type="pct"/>
                  <w:gridSpan w:val="2"/>
                  <w:noWrap w:val="0"/>
                  <w:vAlign w:val="center"/>
                </w:tcPr>
                <w:p w14:paraId="051D88E6">
                  <w:pPr>
                    <w:pStyle w:val="102"/>
                    <w:spacing w:before="24" w:after="24"/>
                    <w:rPr>
                      <w:rFonts w:hint="default"/>
                      <w:color w:val="auto"/>
                      <w:szCs w:val="21"/>
                      <w:highlight w:val="none"/>
                      <w:lang w:val="en-US"/>
                    </w:rPr>
                  </w:pPr>
                  <w:r>
                    <w:rPr>
                      <w:rFonts w:hint="default"/>
                      <w:color w:val="auto"/>
                      <w:szCs w:val="21"/>
                      <w:highlight w:val="none"/>
                      <w:lang w:val="en-US"/>
                    </w:rPr>
                    <w:t>符合性分析</w:t>
                  </w:r>
                </w:p>
              </w:tc>
            </w:tr>
            <w:tr w14:paraId="125E2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noWrap w:val="0"/>
                  <w:vAlign w:val="center"/>
                </w:tcPr>
                <w:p w14:paraId="29A831A9">
                  <w:pPr>
                    <w:pStyle w:val="103"/>
                    <w:rPr>
                      <w:color w:val="auto"/>
                      <w:szCs w:val="21"/>
                      <w:highlight w:val="none"/>
                      <w:lang w:val="en-US"/>
                    </w:rPr>
                  </w:pPr>
                  <w:r>
                    <w:rPr>
                      <w:color w:val="auto"/>
                      <w:szCs w:val="21"/>
                      <w:highlight w:val="none"/>
                      <w:lang w:val="en-US"/>
                    </w:rPr>
                    <w:t>生态保护红线</w:t>
                  </w:r>
                </w:p>
              </w:tc>
              <w:tc>
                <w:tcPr>
                  <w:tcW w:w="4604" w:type="pct"/>
                  <w:gridSpan w:val="2"/>
                  <w:noWrap w:val="0"/>
                  <w:vAlign w:val="center"/>
                </w:tcPr>
                <w:p w14:paraId="434F937D">
                  <w:pPr>
                    <w:pStyle w:val="103"/>
                    <w:jc w:val="left"/>
                    <w:rPr>
                      <w:color w:val="auto"/>
                      <w:szCs w:val="21"/>
                      <w:highlight w:val="none"/>
                      <w:lang w:val="en-US"/>
                    </w:rPr>
                  </w:pPr>
                  <w:r>
                    <w:rPr>
                      <w:color w:val="auto"/>
                      <w:szCs w:val="21"/>
                      <w:highlight w:val="none"/>
                      <w:lang w:val="en-US"/>
                    </w:rPr>
                    <w:t>根据《河北省生态保护红线》，全省生态保护红线类型分为坝上高原防风固沙生态保护红线、燕山水源涵养-生物多样性维护生态保护红线、太行山水土保持-生物多样性维护生态保护红线、河北平原河湖滨岸带生态保护红线、海岸海域生态保护红线五大类。</w:t>
                  </w:r>
                  <w:r>
                    <w:rPr>
                      <w:rFonts w:hint="eastAsia"/>
                      <w:color w:val="auto"/>
                      <w:szCs w:val="21"/>
                      <w:highlight w:val="none"/>
                      <w:lang w:val="en-US"/>
                    </w:rPr>
                    <w:t>本项目位于行唐经济技术开发区，</w:t>
                  </w:r>
                  <w:r>
                    <w:rPr>
                      <w:color w:val="auto"/>
                      <w:szCs w:val="21"/>
                      <w:highlight w:val="none"/>
                      <w:lang w:val="en-US"/>
                    </w:rPr>
                    <w:t>经查阅河北省生态保护红线区范围图，</w:t>
                  </w:r>
                  <w:r>
                    <w:rPr>
                      <w:rFonts w:hint="eastAsia"/>
                      <w:color w:val="auto"/>
                      <w:szCs w:val="21"/>
                      <w:highlight w:val="none"/>
                      <w:lang w:val="en-US"/>
                    </w:rPr>
                    <w:t>本项目西南距离生态保护红线磁河边界</w:t>
                  </w:r>
                  <w:r>
                    <w:rPr>
                      <w:rFonts w:hint="eastAsia"/>
                      <w:color w:val="auto"/>
                      <w:szCs w:val="21"/>
                      <w:highlight w:val="none"/>
                      <w:lang w:val="en-US" w:eastAsia="zh-CN"/>
                    </w:rPr>
                    <w:t>3.6k</w:t>
                  </w:r>
                  <w:r>
                    <w:rPr>
                      <w:rFonts w:hint="eastAsia"/>
                      <w:color w:val="auto"/>
                      <w:szCs w:val="21"/>
                      <w:highlight w:val="none"/>
                      <w:lang w:val="en-US"/>
                    </w:rPr>
                    <w:t>m，</w:t>
                  </w:r>
                  <w:r>
                    <w:rPr>
                      <w:color w:val="auto"/>
                      <w:szCs w:val="21"/>
                      <w:highlight w:val="none"/>
                      <w:lang w:val="en-US"/>
                    </w:rPr>
                    <w:t>本项目不涉及生态保护红线区</w:t>
                  </w:r>
                  <w:r>
                    <w:rPr>
                      <w:rFonts w:hint="eastAsia"/>
                      <w:color w:val="auto"/>
                      <w:szCs w:val="21"/>
                      <w:highlight w:val="none"/>
                      <w:lang w:val="en-US"/>
                    </w:rPr>
                    <w:t>。</w:t>
                  </w:r>
                </w:p>
              </w:tc>
            </w:tr>
            <w:tr w14:paraId="2AEB5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noWrap w:val="0"/>
                  <w:vAlign w:val="center"/>
                </w:tcPr>
                <w:p w14:paraId="29080498">
                  <w:pPr>
                    <w:pStyle w:val="103"/>
                    <w:rPr>
                      <w:color w:val="auto"/>
                      <w:szCs w:val="21"/>
                      <w:highlight w:val="none"/>
                      <w:lang w:val="en-US"/>
                    </w:rPr>
                  </w:pPr>
                  <w:r>
                    <w:rPr>
                      <w:color w:val="auto"/>
                      <w:szCs w:val="21"/>
                      <w:highlight w:val="none"/>
                      <w:lang w:val="en-US"/>
                    </w:rPr>
                    <w:t>环境质量底线</w:t>
                  </w:r>
                </w:p>
              </w:tc>
              <w:tc>
                <w:tcPr>
                  <w:tcW w:w="4604" w:type="pct"/>
                  <w:gridSpan w:val="2"/>
                  <w:noWrap w:val="0"/>
                  <w:vAlign w:val="center"/>
                </w:tcPr>
                <w:p w14:paraId="229ED1FB">
                  <w:pPr>
                    <w:pStyle w:val="103"/>
                    <w:jc w:val="left"/>
                    <w:rPr>
                      <w:color w:val="auto"/>
                      <w:szCs w:val="21"/>
                      <w:highlight w:val="none"/>
                      <w:lang w:val="en-US"/>
                    </w:rPr>
                  </w:pPr>
                  <w:r>
                    <w:rPr>
                      <w:color w:val="auto"/>
                      <w:szCs w:val="21"/>
                      <w:highlight w:val="none"/>
                      <w:lang w:val="en-US"/>
                    </w:rPr>
                    <w:t>项目所在区域为环境空气质量二类区，环境空气质量应满足《环境空气质量标准》（GB3095-2012）二级标准及修改单要求，根据《2022</w:t>
                  </w:r>
                  <w:r>
                    <w:rPr>
                      <w:color w:val="000000" w:themeColor="text1"/>
                      <w:szCs w:val="21"/>
                      <w:highlight w:val="none"/>
                      <w:lang w:val="en-US"/>
                      <w14:textFill>
                        <w14:solidFill>
                          <w14:schemeClr w14:val="tx1"/>
                        </w14:solidFill>
                      </w14:textFill>
                    </w:rPr>
                    <w:t>年</w:t>
                  </w:r>
                  <w:r>
                    <w:rPr>
                      <w:rFonts w:hint="eastAsia"/>
                      <w:color w:val="000000" w:themeColor="text1"/>
                      <w:szCs w:val="21"/>
                      <w:highlight w:val="none"/>
                      <w:lang w:val="en-US" w:eastAsia="zh-CN"/>
                      <w14:textFill>
                        <w14:solidFill>
                          <w14:schemeClr w14:val="tx1"/>
                        </w14:solidFill>
                      </w14:textFill>
                    </w:rPr>
                    <w:t>石家庄市</w:t>
                  </w:r>
                  <w:r>
                    <w:rPr>
                      <w:color w:val="auto"/>
                      <w:szCs w:val="21"/>
                      <w:highlight w:val="none"/>
                      <w:lang w:val="en-US"/>
                    </w:rPr>
                    <w:t>生态环境状况公报》，项目所在区域为环境空气质量</w:t>
                  </w:r>
                  <w:r>
                    <w:rPr>
                      <w:rFonts w:hint="eastAsia"/>
                      <w:color w:val="auto"/>
                      <w:szCs w:val="21"/>
                      <w:highlight w:val="none"/>
                      <w:lang w:val="en-US"/>
                    </w:rPr>
                    <w:t>不</w:t>
                  </w:r>
                  <w:r>
                    <w:rPr>
                      <w:color w:val="auto"/>
                      <w:szCs w:val="21"/>
                      <w:highlight w:val="none"/>
                      <w:lang w:val="en-US"/>
                    </w:rPr>
                    <w:t>达标区</w:t>
                  </w:r>
                  <w:r>
                    <w:rPr>
                      <w:rFonts w:hint="eastAsia"/>
                      <w:color w:val="auto"/>
                      <w:szCs w:val="21"/>
                      <w:highlight w:val="none"/>
                      <w:lang w:val="en-US"/>
                    </w:rPr>
                    <w:t>；</w:t>
                  </w:r>
                  <w:r>
                    <w:rPr>
                      <w:color w:val="auto"/>
                      <w:szCs w:val="21"/>
                      <w:highlight w:val="none"/>
                      <w:lang w:val="en-US"/>
                    </w:rPr>
                    <w:t>项目区域地下水水质较好，是当地居民生活及工农业生产的主要水源，水质可以达到《地下水质量标准》（GB/T14848-2017）Ⅲ类标准；本项目厂界满足《声环境质量标准》（GB3096-2008）</w:t>
                  </w:r>
                  <w:r>
                    <w:rPr>
                      <w:rFonts w:hint="eastAsia"/>
                      <w:color w:val="auto"/>
                      <w:szCs w:val="21"/>
                      <w:highlight w:val="none"/>
                      <w:lang w:val="en-US" w:eastAsia="zh-CN"/>
                    </w:rPr>
                    <w:t>3、4a类</w:t>
                  </w:r>
                  <w:r>
                    <w:rPr>
                      <w:color w:val="auto"/>
                      <w:szCs w:val="21"/>
                      <w:highlight w:val="none"/>
                      <w:lang w:val="en-US"/>
                    </w:rPr>
                    <w:t>标准</w:t>
                  </w:r>
                  <w:r>
                    <w:rPr>
                      <w:rFonts w:hint="eastAsia"/>
                      <w:color w:val="auto"/>
                      <w:szCs w:val="21"/>
                      <w:highlight w:val="none"/>
                      <w:lang w:val="en-US"/>
                    </w:rPr>
                    <w:t>，</w:t>
                  </w:r>
                  <w:r>
                    <w:rPr>
                      <w:color w:val="auto"/>
                      <w:szCs w:val="21"/>
                      <w:highlight w:val="none"/>
                      <w:lang w:val="en-US"/>
                    </w:rPr>
                    <w:t>声环境保护目标满足1类标准。</w:t>
                  </w:r>
                  <w:r>
                    <w:rPr>
                      <w:color w:val="000000" w:themeColor="text1"/>
                      <w:szCs w:val="21"/>
                      <w:highlight w:val="none"/>
                      <w:lang w:val="en-US"/>
                      <w14:textFill>
                        <w14:solidFill>
                          <w14:schemeClr w14:val="tx1"/>
                        </w14:solidFill>
                      </w14:textFill>
                    </w:rPr>
                    <w:t>项目</w:t>
                  </w:r>
                  <w:r>
                    <w:rPr>
                      <w:rFonts w:hint="eastAsia"/>
                      <w:color w:val="000000" w:themeColor="text1"/>
                      <w:szCs w:val="21"/>
                      <w:highlight w:val="none"/>
                      <w:lang w:val="en-US" w:eastAsia="zh-CN"/>
                      <w14:textFill>
                        <w14:solidFill>
                          <w14:schemeClr w14:val="tx1"/>
                        </w14:solidFill>
                      </w14:textFill>
                    </w:rPr>
                    <w:t>有少量气体挥发</w:t>
                  </w:r>
                  <w:r>
                    <w:rPr>
                      <w:color w:val="000000" w:themeColor="text1"/>
                      <w:szCs w:val="21"/>
                      <w:highlight w:val="none"/>
                      <w:lang w:val="en-US"/>
                      <w14:textFill>
                        <w14:solidFill>
                          <w14:schemeClr w14:val="tx1"/>
                        </w14:solidFill>
                      </w14:textFill>
                    </w:rPr>
                    <w:t>对</w:t>
                  </w:r>
                  <w:r>
                    <w:rPr>
                      <w:rFonts w:hint="eastAsia"/>
                      <w:color w:val="000000" w:themeColor="text1"/>
                      <w:szCs w:val="21"/>
                      <w:highlight w:val="none"/>
                      <w:lang w:val="en-US" w:eastAsia="zh-CN"/>
                      <w14:textFill>
                        <w14:solidFill>
                          <w14:schemeClr w14:val="tx1"/>
                        </w14:solidFill>
                      </w14:textFill>
                    </w:rPr>
                    <w:t>大气</w:t>
                  </w:r>
                  <w:r>
                    <w:rPr>
                      <w:color w:val="000000" w:themeColor="text1"/>
                      <w:szCs w:val="21"/>
                      <w:highlight w:val="none"/>
                      <w:lang w:val="en-US"/>
                      <w14:textFill>
                        <w14:solidFill>
                          <w14:schemeClr w14:val="tx1"/>
                        </w14:solidFill>
                      </w14:textFill>
                    </w:rPr>
                    <w:t>环境的影响</w:t>
                  </w:r>
                  <w:r>
                    <w:rPr>
                      <w:rFonts w:hint="eastAsia"/>
                      <w:color w:val="000000" w:themeColor="text1"/>
                      <w:szCs w:val="21"/>
                      <w:highlight w:val="none"/>
                      <w:lang w:val="en-US" w:eastAsia="zh-CN"/>
                      <w14:textFill>
                        <w14:solidFill>
                          <w14:schemeClr w14:val="tx1"/>
                        </w14:solidFill>
                      </w14:textFill>
                    </w:rPr>
                    <w:t>很小</w:t>
                  </w:r>
                  <w:r>
                    <w:rPr>
                      <w:color w:val="000000" w:themeColor="text1"/>
                      <w:szCs w:val="21"/>
                      <w:highlight w:val="none"/>
                      <w:lang w:val="en-US"/>
                      <w14:textFill>
                        <w14:solidFill>
                          <w14:schemeClr w14:val="tx1"/>
                        </w14:solidFill>
                      </w14:textFill>
                    </w:rPr>
                    <w:t>，当地环境空气质量可继续维持现状水平；</w:t>
                  </w:r>
                  <w:r>
                    <w:rPr>
                      <w:rFonts w:hint="eastAsia"/>
                      <w:color w:val="000000" w:themeColor="text1"/>
                      <w:szCs w:val="21"/>
                      <w:highlight w:val="none"/>
                      <w:lang w:val="en-US" w:eastAsia="zh-CN"/>
                      <w14:textFill>
                        <w14:solidFill>
                          <w14:schemeClr w14:val="tx1"/>
                        </w14:solidFill>
                      </w14:textFill>
                    </w:rPr>
                    <w:t>项目有固体废弃物产生</w:t>
                  </w:r>
                  <w:r>
                    <w:rPr>
                      <w:color w:val="000000" w:themeColor="text1"/>
                      <w:szCs w:val="21"/>
                      <w:highlight w:val="none"/>
                      <w:lang w:val="en-US"/>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新增少量废水产生</w:t>
                  </w:r>
                  <w:r>
                    <w:rPr>
                      <w:color w:val="000000" w:themeColor="text1"/>
                      <w:szCs w:val="21"/>
                      <w:highlight w:val="none"/>
                      <w:lang w:val="en-US"/>
                      <w14:textFill>
                        <w14:solidFill>
                          <w14:schemeClr w14:val="tx1"/>
                        </w14:solidFill>
                      </w14:textFill>
                    </w:rPr>
                    <w:t>。因此，本项目的建设不会触及环境质量底线。</w:t>
                  </w:r>
                </w:p>
              </w:tc>
            </w:tr>
            <w:tr w14:paraId="7F7A2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noWrap w:val="0"/>
                  <w:vAlign w:val="center"/>
                </w:tcPr>
                <w:p w14:paraId="5C9EED63">
                  <w:pPr>
                    <w:pStyle w:val="103"/>
                    <w:rPr>
                      <w:color w:val="auto"/>
                      <w:szCs w:val="21"/>
                      <w:highlight w:val="none"/>
                      <w:lang w:val="en-US"/>
                    </w:rPr>
                  </w:pPr>
                  <w:r>
                    <w:rPr>
                      <w:color w:val="auto"/>
                      <w:szCs w:val="21"/>
                      <w:highlight w:val="none"/>
                      <w:lang w:val="en-US"/>
                    </w:rPr>
                    <w:t>资源利用上线</w:t>
                  </w:r>
                </w:p>
              </w:tc>
              <w:tc>
                <w:tcPr>
                  <w:tcW w:w="4604" w:type="pct"/>
                  <w:gridSpan w:val="2"/>
                  <w:noWrap w:val="0"/>
                  <w:vAlign w:val="center"/>
                </w:tcPr>
                <w:p w14:paraId="6C7AB039">
                  <w:pPr>
                    <w:pStyle w:val="103"/>
                    <w:jc w:val="left"/>
                    <w:rPr>
                      <w:rFonts w:hint="default" w:eastAsia="宋体"/>
                      <w:color w:val="auto"/>
                      <w:szCs w:val="21"/>
                      <w:highlight w:val="none"/>
                      <w:lang w:val="en-US" w:eastAsia="zh-CN"/>
                    </w:rPr>
                  </w:pPr>
                  <w:r>
                    <w:rPr>
                      <w:color w:val="000000" w:themeColor="text1"/>
                      <w:szCs w:val="21"/>
                      <w:highlight w:val="none"/>
                      <w14:textFill>
                        <w14:solidFill>
                          <w14:schemeClr w14:val="tx1"/>
                        </w14:solidFill>
                      </w14:textFill>
                    </w:rPr>
                    <w:t>本项目</w:t>
                  </w:r>
                  <w:r>
                    <w:rPr>
                      <w:rFonts w:hint="eastAsia"/>
                      <w:color w:val="000000" w:themeColor="text1"/>
                      <w:szCs w:val="21"/>
                      <w:highlight w:val="none"/>
                      <w:lang w:val="en-US"/>
                      <w14:textFill>
                        <w14:solidFill>
                          <w14:schemeClr w14:val="tx1"/>
                        </w14:solidFill>
                      </w14:textFill>
                    </w:rPr>
                    <w:t>利用</w:t>
                  </w:r>
                  <w:r>
                    <w:rPr>
                      <w:color w:val="000000" w:themeColor="text1"/>
                      <w:szCs w:val="21"/>
                      <w:highlight w:val="none"/>
                      <w14:textFill>
                        <w14:solidFill>
                          <w14:schemeClr w14:val="tx1"/>
                        </w14:solidFill>
                      </w14:textFill>
                    </w:rPr>
                    <w:t>的资源主要</w:t>
                  </w:r>
                  <w:r>
                    <w:rPr>
                      <w:rFonts w:hint="eastAsia"/>
                      <w:color w:val="000000" w:themeColor="text1"/>
                      <w:szCs w:val="21"/>
                      <w:highlight w:val="none"/>
                      <w:lang w:val="en-US"/>
                      <w14:textFill>
                        <w14:solidFill>
                          <w14:schemeClr w14:val="tx1"/>
                        </w14:solidFill>
                      </w14:textFill>
                    </w:rPr>
                    <w:t>土地资源</w:t>
                  </w:r>
                  <w:r>
                    <w:rPr>
                      <w:rFonts w:hint="eastAsia"/>
                      <w:color w:val="000000" w:themeColor="text1"/>
                      <w:szCs w:val="21"/>
                      <w:highlight w:val="none"/>
                      <w:lang w:val="en-US" w:eastAsia="zh-CN"/>
                      <w14:textFill>
                        <w14:solidFill>
                          <w14:schemeClr w14:val="tx1"/>
                        </w14:solidFill>
                      </w14:textFill>
                    </w:rPr>
                    <w:t>、</w:t>
                  </w:r>
                  <w:r>
                    <w:rPr>
                      <w:color w:val="000000" w:themeColor="text1"/>
                      <w:szCs w:val="21"/>
                      <w:highlight w:val="none"/>
                      <w14:textFill>
                        <w14:solidFill>
                          <w14:schemeClr w14:val="tx1"/>
                        </w14:solidFill>
                      </w14:textFill>
                    </w:rPr>
                    <w:t>水资源</w:t>
                  </w:r>
                  <w:r>
                    <w:rPr>
                      <w:rFonts w:hint="eastAsia"/>
                      <w:color w:val="000000" w:themeColor="text1"/>
                      <w:szCs w:val="21"/>
                      <w:highlight w:val="none"/>
                      <w:lang w:val="en-US" w:eastAsia="zh-CN"/>
                      <w14:textFill>
                        <w14:solidFill>
                          <w14:schemeClr w14:val="tx1"/>
                        </w14:solidFill>
                      </w14:textFill>
                    </w:rPr>
                    <w:t>和电资源</w:t>
                  </w:r>
                  <w:r>
                    <w:rPr>
                      <w:color w:val="000000" w:themeColor="text1"/>
                      <w:szCs w:val="21"/>
                      <w:highlight w:val="none"/>
                      <w14:textFill>
                        <w14:solidFill>
                          <w14:schemeClr w14:val="tx1"/>
                        </w14:solidFill>
                      </w14:textFill>
                    </w:rPr>
                    <w:t>。项目</w:t>
                  </w:r>
                  <w:r>
                    <w:rPr>
                      <w:rFonts w:hint="eastAsia"/>
                      <w:color w:val="000000" w:themeColor="text1"/>
                      <w:szCs w:val="21"/>
                      <w:highlight w:val="none"/>
                      <w:lang w:val="en-US" w:eastAsia="zh-CN"/>
                      <w14:textFill>
                        <w14:solidFill>
                          <w14:schemeClr w14:val="tx1"/>
                        </w14:solidFill>
                      </w14:textFill>
                    </w:rPr>
                    <w:t>生产用水采用外购纯水，未新增员工无新增生活用水</w:t>
                  </w:r>
                  <w:r>
                    <w:rPr>
                      <w:color w:val="000000" w:themeColor="text1"/>
                      <w:szCs w:val="21"/>
                      <w:highlight w:val="none"/>
                      <w14:textFill>
                        <w14:solidFill>
                          <w14:schemeClr w14:val="tx1"/>
                        </w14:solidFill>
                      </w14:textFill>
                    </w:rPr>
                    <w:t>，符合当地的水资源条件、水功能区划以及水资源</w:t>
                  </w:r>
                  <w:r>
                    <w:rPr>
                      <w:rFonts w:hint="eastAsia"/>
                      <w:color w:val="000000" w:themeColor="text1"/>
                      <w:szCs w:val="21"/>
                      <w:highlight w:val="none"/>
                      <w:lang w:eastAsia="zh-CN"/>
                      <w14:textFill>
                        <w14:solidFill>
                          <w14:schemeClr w14:val="tx1"/>
                        </w14:solidFill>
                      </w14:textFill>
                    </w:rPr>
                    <w:t>配置</w:t>
                  </w:r>
                  <w:r>
                    <w:rPr>
                      <w:color w:val="000000" w:themeColor="text1"/>
                      <w:szCs w:val="21"/>
                      <w:highlight w:val="none"/>
                      <w14:textFill>
                        <w14:solidFill>
                          <w14:schemeClr w14:val="tx1"/>
                        </w14:solidFill>
                      </w14:textFill>
                    </w:rPr>
                    <w:t>的要求。项目</w:t>
                  </w:r>
                  <w:r>
                    <w:rPr>
                      <w:rFonts w:hint="eastAsia"/>
                      <w:color w:val="000000" w:themeColor="text1"/>
                      <w:szCs w:val="21"/>
                      <w:highlight w:val="none"/>
                      <w:lang w:val="en-US" w:eastAsia="zh-CN"/>
                      <w14:textFill>
                        <w14:solidFill>
                          <w14:schemeClr w14:val="tx1"/>
                        </w14:solidFill>
                      </w14:textFill>
                    </w:rPr>
                    <w:t>不新增占地</w:t>
                  </w:r>
                  <w:r>
                    <w:rPr>
                      <w:color w:val="000000" w:themeColor="text1"/>
                      <w:szCs w:val="21"/>
                      <w:highlight w:val="none"/>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在现有厂区建设，不占用新的土地资源，现有工程</w:t>
                  </w:r>
                  <w:r>
                    <w:rPr>
                      <w:color w:val="000000" w:themeColor="text1"/>
                      <w:szCs w:val="21"/>
                      <w:highlight w:val="none"/>
                      <w14:textFill>
                        <w14:solidFill>
                          <w14:schemeClr w14:val="tx1"/>
                        </w14:solidFill>
                      </w14:textFill>
                    </w:rPr>
                    <w:t>符合</w:t>
                  </w:r>
                  <w:r>
                    <w:rPr>
                      <w:rFonts w:hint="eastAsia"/>
                      <w:color w:val="000000" w:themeColor="text1"/>
                      <w:szCs w:val="21"/>
                      <w:highlight w:val="none"/>
                      <w:lang w:val="en-US"/>
                      <w14:textFill>
                        <w14:solidFill>
                          <w14:schemeClr w14:val="tx1"/>
                        </w14:solidFill>
                      </w14:textFill>
                    </w:rPr>
                    <w:t>石家庄</w:t>
                  </w:r>
                  <w:r>
                    <w:rPr>
                      <w:color w:val="000000" w:themeColor="text1"/>
                      <w:szCs w:val="21"/>
                      <w:highlight w:val="none"/>
                      <w:lang w:val="en-US"/>
                      <w14:textFill>
                        <w14:solidFill>
                          <w14:schemeClr w14:val="tx1"/>
                        </w14:solidFill>
                      </w14:textFill>
                    </w:rPr>
                    <w:t>市</w:t>
                  </w:r>
                  <w:r>
                    <w:rPr>
                      <w:color w:val="000000" w:themeColor="text1"/>
                      <w:szCs w:val="21"/>
                      <w:highlight w:val="none"/>
                      <w14:textFill>
                        <w14:solidFill>
                          <w14:schemeClr w14:val="tx1"/>
                        </w14:solidFill>
                      </w14:textFill>
                    </w:rPr>
                    <w:t>土地总体利用规划。因此，本项目符合区域土地资源利用要求</w:t>
                  </w:r>
                  <w:r>
                    <w:rPr>
                      <w:color w:val="000000" w:themeColor="text1"/>
                      <w:szCs w:val="21"/>
                      <w:highlight w:val="none"/>
                      <w:lang w:val="en-US"/>
                      <w14:textFill>
                        <w14:solidFill>
                          <w14:schemeClr w14:val="tx1"/>
                        </w14:solidFill>
                      </w14:textFill>
                    </w:rPr>
                    <w:t>。</w:t>
                  </w:r>
                  <w:r>
                    <w:rPr>
                      <w:rFonts w:hint="eastAsia"/>
                      <w:color w:val="000000" w:themeColor="text1"/>
                      <w:szCs w:val="21"/>
                      <w:highlight w:val="none"/>
                      <w:lang w:val="en-US" w:eastAsia="zh-CN"/>
                      <w14:textFill>
                        <w14:solidFill>
                          <w14:schemeClr w14:val="tx1"/>
                        </w14:solidFill>
                      </w14:textFill>
                    </w:rPr>
                    <w:t>技改项目用电依托现有工程由园区市政电网供电，年增用电量约45万KW.H，符合园区用电规划，未超电网负荷，满足园区供电配置要求。</w:t>
                  </w:r>
                </w:p>
              </w:tc>
            </w:tr>
            <w:tr w14:paraId="78BB8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vMerge w:val="restart"/>
                  <w:noWrap w:val="0"/>
                  <w:vAlign w:val="center"/>
                </w:tcPr>
                <w:p w14:paraId="6095E24A">
                  <w:pPr>
                    <w:pStyle w:val="103"/>
                    <w:rPr>
                      <w:color w:val="auto"/>
                      <w:szCs w:val="21"/>
                      <w:highlight w:val="none"/>
                      <w:lang w:val="en-US"/>
                    </w:rPr>
                  </w:pPr>
                  <w:r>
                    <w:rPr>
                      <w:rFonts w:hint="eastAsia"/>
                      <w:color w:val="auto"/>
                      <w:szCs w:val="21"/>
                      <w:highlight w:val="none"/>
                      <w:lang w:val="en-US"/>
                    </w:rPr>
                    <w:t>生态环境准入清单</w:t>
                  </w:r>
                </w:p>
              </w:tc>
              <w:tc>
                <w:tcPr>
                  <w:tcW w:w="1442" w:type="pct"/>
                  <w:noWrap w:val="0"/>
                  <w:vAlign w:val="center"/>
                </w:tcPr>
                <w:p w14:paraId="6DF13F29">
                  <w:pPr>
                    <w:pStyle w:val="103"/>
                    <w:rPr>
                      <w:color w:val="auto"/>
                      <w:szCs w:val="21"/>
                      <w:highlight w:val="none"/>
                      <w:lang w:val="en-US"/>
                    </w:rPr>
                  </w:pPr>
                  <w:r>
                    <w:rPr>
                      <w:rFonts w:hint="eastAsia"/>
                      <w:color w:val="auto"/>
                      <w:szCs w:val="21"/>
                      <w:highlight w:val="none"/>
                      <w:lang w:val="en-US"/>
                    </w:rPr>
                    <w:t>石家庄</w:t>
                  </w:r>
                  <w:r>
                    <w:rPr>
                      <w:color w:val="auto"/>
                      <w:szCs w:val="21"/>
                      <w:highlight w:val="none"/>
                      <w:lang w:val="en-US"/>
                    </w:rPr>
                    <w:t>市主体功能区负面清单</w:t>
                  </w:r>
                </w:p>
              </w:tc>
              <w:tc>
                <w:tcPr>
                  <w:tcW w:w="3162" w:type="pct"/>
                  <w:noWrap w:val="0"/>
                  <w:vAlign w:val="center"/>
                </w:tcPr>
                <w:p w14:paraId="2DF7786B">
                  <w:pPr>
                    <w:pStyle w:val="103"/>
                    <w:rPr>
                      <w:color w:val="auto"/>
                      <w:szCs w:val="21"/>
                      <w:highlight w:val="none"/>
                      <w:lang w:val="en-US"/>
                    </w:rPr>
                  </w:pPr>
                  <w:r>
                    <w:rPr>
                      <w:color w:val="auto"/>
                      <w:szCs w:val="21"/>
                      <w:highlight w:val="none"/>
                      <w:lang w:val="en-US"/>
                    </w:rPr>
                    <w:t>本项目未列入</w:t>
                  </w:r>
                  <w:r>
                    <w:rPr>
                      <w:rFonts w:hint="eastAsia"/>
                      <w:color w:val="auto"/>
                      <w:szCs w:val="21"/>
                      <w:highlight w:val="none"/>
                      <w:lang w:val="en-US"/>
                    </w:rPr>
                    <w:t>石家庄市</w:t>
                  </w:r>
                  <w:r>
                    <w:rPr>
                      <w:color w:val="auto"/>
                      <w:szCs w:val="21"/>
                      <w:highlight w:val="none"/>
                      <w:lang w:val="en-US"/>
                    </w:rPr>
                    <w:t>主体功能区负面清单</w:t>
                  </w:r>
                </w:p>
              </w:tc>
            </w:tr>
            <w:tr w14:paraId="2DDF4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395" w:type="pct"/>
                  <w:vMerge w:val="continue"/>
                  <w:noWrap w:val="0"/>
                  <w:vAlign w:val="center"/>
                </w:tcPr>
                <w:p w14:paraId="36C1CDB2">
                  <w:pPr>
                    <w:pStyle w:val="103"/>
                    <w:rPr>
                      <w:rFonts w:hint="eastAsia"/>
                      <w:color w:val="auto"/>
                      <w:szCs w:val="21"/>
                      <w:highlight w:val="none"/>
                      <w:lang w:val="en-US"/>
                    </w:rPr>
                  </w:pPr>
                </w:p>
              </w:tc>
              <w:tc>
                <w:tcPr>
                  <w:tcW w:w="1442" w:type="pct"/>
                  <w:noWrap w:val="0"/>
                  <w:vAlign w:val="center"/>
                </w:tcPr>
                <w:p w14:paraId="79DA5C87">
                  <w:pPr>
                    <w:pStyle w:val="103"/>
                    <w:rPr>
                      <w:color w:val="auto"/>
                      <w:szCs w:val="21"/>
                      <w:highlight w:val="none"/>
                      <w:lang w:val="en-US"/>
                    </w:rPr>
                  </w:pPr>
                  <w:r>
                    <w:rPr>
                      <w:rFonts w:hint="eastAsia"/>
                      <w:color w:val="auto"/>
                      <w:szCs w:val="21"/>
                      <w:highlight w:val="none"/>
                      <w:lang w:val="en-US" w:eastAsia="zh-CN"/>
                    </w:rPr>
                    <w:t>河北行唐经济开发区</w:t>
                  </w:r>
                  <w:r>
                    <w:rPr>
                      <w:color w:val="auto"/>
                      <w:szCs w:val="21"/>
                      <w:highlight w:val="none"/>
                      <w:lang w:val="en-US"/>
                    </w:rPr>
                    <w:t>环境准入负面清单</w:t>
                  </w:r>
                </w:p>
              </w:tc>
              <w:tc>
                <w:tcPr>
                  <w:tcW w:w="3162" w:type="pct"/>
                  <w:noWrap w:val="0"/>
                  <w:vAlign w:val="center"/>
                </w:tcPr>
                <w:p w14:paraId="2E572F59">
                  <w:pPr>
                    <w:pStyle w:val="103"/>
                    <w:jc w:val="left"/>
                    <w:rPr>
                      <w:color w:val="auto"/>
                      <w:szCs w:val="21"/>
                      <w:highlight w:val="none"/>
                      <w:lang w:val="en-US"/>
                    </w:rPr>
                  </w:pPr>
                  <w:r>
                    <w:rPr>
                      <w:color w:val="auto"/>
                      <w:szCs w:val="21"/>
                      <w:highlight w:val="none"/>
                      <w:lang w:val="en-US"/>
                    </w:rPr>
                    <w:t>本项目未列入</w:t>
                  </w:r>
                  <w:r>
                    <w:rPr>
                      <w:rFonts w:hint="eastAsia"/>
                      <w:color w:val="auto"/>
                      <w:szCs w:val="21"/>
                      <w:highlight w:val="none"/>
                      <w:lang w:val="en-US" w:eastAsia="zh-CN"/>
                    </w:rPr>
                    <w:t>河北行唐经济开发区</w:t>
                  </w:r>
                  <w:r>
                    <w:rPr>
                      <w:color w:val="auto"/>
                      <w:szCs w:val="21"/>
                      <w:highlight w:val="none"/>
                      <w:lang w:val="en-US"/>
                    </w:rPr>
                    <w:t>环境准入负面清单</w:t>
                  </w:r>
                </w:p>
              </w:tc>
            </w:tr>
          </w:tbl>
          <w:p w14:paraId="7315F949">
            <w:pPr>
              <w:autoSpaceDE w:val="0"/>
              <w:autoSpaceDN w:val="0"/>
              <w:adjustRightInd w:val="0"/>
              <w:snapToGrid w:val="0"/>
              <w:spacing w:line="360" w:lineRule="auto"/>
              <w:ind w:firstLine="480" w:firstLineChars="200"/>
              <w:rPr>
                <w:rFonts w:hint="eastAsia"/>
                <w:color w:val="auto"/>
                <w:sz w:val="24"/>
                <w:highlight w:val="none"/>
              </w:rPr>
            </w:pPr>
            <w:r>
              <w:rPr>
                <w:rFonts w:hint="eastAsia"/>
                <w:color w:val="auto"/>
                <w:sz w:val="24"/>
                <w:highlight w:val="none"/>
              </w:rPr>
              <w:t>由上表可知，本项目符合《河北省人民政府关于加快实施“三线一单”生态环境分区管控的意见》（冀政字[2020]71号）相关要求。</w:t>
            </w:r>
          </w:p>
          <w:p w14:paraId="63EE4BF0">
            <w:pPr>
              <w:numPr>
                <w:ilvl w:val="0"/>
                <w:numId w:val="0"/>
              </w:numPr>
              <w:spacing w:line="360" w:lineRule="auto"/>
              <w:ind w:firstLine="480" w:firstLineChars="200"/>
              <w:rPr>
                <w:color w:val="auto"/>
                <w:sz w:val="24"/>
                <w:highlight w:val="none"/>
              </w:rPr>
            </w:pPr>
            <w:r>
              <w:rPr>
                <w:rFonts w:ascii="Times New Roman" w:hAnsi="Times New Roman" w:eastAsia="宋体" w:cs="Times New Roman"/>
                <w:color w:val="auto"/>
                <w:kern w:val="2"/>
                <w:sz w:val="24"/>
                <w:szCs w:val="24"/>
                <w:lang w:val="en-US" w:eastAsia="zh-CN" w:bidi="ar-SA"/>
              </w:rPr>
              <w:t>（2）</w:t>
            </w:r>
            <w:r>
              <w:rPr>
                <w:rFonts w:hint="eastAsia"/>
                <w:color w:val="auto"/>
                <w:sz w:val="24"/>
                <w:highlight w:val="none"/>
              </w:rPr>
              <w:t>与《石家庄市区域空间生态环境评价暨“三线一单”编制工作协调小组办公室关于做好2023年生态环境分区管控动态更新成果实施应用工作的通知》(2024年4月28日）的符合性分析</w:t>
            </w:r>
            <w:r>
              <w:rPr>
                <w:rFonts w:hint="eastAsia"/>
                <w:color w:val="auto"/>
                <w:sz w:val="24"/>
                <w:highlight w:val="none"/>
                <w:lang w:eastAsia="zh-CN"/>
              </w:rPr>
              <w:t>。</w:t>
            </w:r>
          </w:p>
          <w:p w14:paraId="67352472">
            <w:pPr>
              <w:pStyle w:val="118"/>
              <w:spacing w:line="360" w:lineRule="auto"/>
              <w:rPr>
                <w:rFonts w:hint="eastAsia"/>
                <w:color w:val="auto"/>
                <w:highlight w:val="none"/>
              </w:rPr>
            </w:pPr>
            <w:r>
              <w:rPr>
                <w:rFonts w:hint="eastAsia" w:cs="Times New Roman"/>
                <w:color w:val="auto"/>
                <w:highlight w:val="none"/>
                <w:lang w:eastAsia="zh-CN"/>
              </w:rPr>
              <w:t>技改项目</w:t>
            </w:r>
            <w:r>
              <w:rPr>
                <w:rFonts w:hint="eastAsia" w:ascii="Times New Roman" w:hAnsi="Times New Roman" w:cs="Times New Roman"/>
                <w:color w:val="auto"/>
                <w:highlight w:val="none"/>
              </w:rPr>
              <w:t>位于河北行唐经济开发区，属于《</w:t>
            </w:r>
            <w:r>
              <w:rPr>
                <w:rFonts w:hint="eastAsia" w:ascii="Times New Roman" w:hAnsi="Times New Roman" w:cs="Times New Roman"/>
                <w:color w:val="auto"/>
                <w:highlight w:val="none"/>
                <w:lang w:val="en-US" w:eastAsia="zh-CN"/>
              </w:rPr>
              <w:t>石家庄市“三线一单”生态环境准入清单</w:t>
            </w:r>
            <w:r>
              <w:rPr>
                <w:color w:val="auto"/>
                <w:highlight w:val="none"/>
              </w:rPr>
              <w:t>》中的重点管控单元。</w:t>
            </w:r>
            <w:r>
              <w:rPr>
                <w:rFonts w:hint="eastAsia"/>
                <w:color w:val="auto"/>
                <w:highlight w:val="none"/>
              </w:rPr>
              <w:t>对照文件，符合性分析如下。</w:t>
            </w:r>
          </w:p>
          <w:p w14:paraId="4E491357">
            <w:pPr>
              <w:pStyle w:val="119"/>
              <w:numPr>
                <w:ilvl w:val="0"/>
                <w:numId w:val="0"/>
              </w:numPr>
              <w:bidi w:val="0"/>
              <w:ind w:leftChars="0"/>
              <w:jc w:val="center"/>
              <w:rPr>
                <w:rFonts w:hint="eastAsia" w:ascii="Times New Roman" w:hAnsi="Times New Roman" w:eastAsia="宋体" w:cs="Times New Roman"/>
                <w:b/>
                <w:color w:val="000000" w:themeColor="text1"/>
                <w:kern w:val="2"/>
                <w:sz w:val="24"/>
                <w:szCs w:val="24"/>
                <w:highlight w:val="none"/>
                <w:lang w:val="en-US" w:eastAsia="zh-CN" w:bidi="ar"/>
                <w14:textFill>
                  <w14:solidFill>
                    <w14:schemeClr w14:val="tx1"/>
                  </w14:solidFill>
                </w14:textFill>
              </w:rPr>
            </w:pPr>
            <w:r>
              <w:rPr>
                <w:rFonts w:hint="eastAsia" w:eastAsia="宋体" w:cs="Times New Roman"/>
                <w:b/>
                <w:color w:val="000000" w:themeColor="text1"/>
                <w:kern w:val="2"/>
                <w:sz w:val="24"/>
                <w:szCs w:val="24"/>
                <w:highlight w:val="none"/>
                <w:lang w:val="en-US" w:eastAsia="zh-CN" w:bidi="ar"/>
                <w14:textFill>
                  <w14:solidFill>
                    <w14:schemeClr w14:val="tx1"/>
                  </w14:solidFill>
                </w14:textFill>
              </w:rPr>
              <w:t>表1-4技改项目</w:t>
            </w:r>
            <w:r>
              <w:rPr>
                <w:rFonts w:hint="eastAsia" w:ascii="Times New Roman" w:hAnsi="Times New Roman" w:eastAsia="宋体" w:cs="Times New Roman"/>
                <w:b/>
                <w:color w:val="000000" w:themeColor="text1"/>
                <w:kern w:val="2"/>
                <w:sz w:val="24"/>
                <w:szCs w:val="24"/>
                <w:highlight w:val="none"/>
                <w:lang w:val="en-US" w:eastAsia="zh-CN" w:bidi="ar"/>
                <w14:textFill>
                  <w14:solidFill>
                    <w14:schemeClr w14:val="tx1"/>
                  </w14:solidFill>
                </w14:textFill>
              </w:rPr>
              <w:t>与《石家庄市“三线一单”生态环境准入清单》</w:t>
            </w:r>
          </w:p>
          <w:p w14:paraId="7EB5223D">
            <w:pPr>
              <w:pStyle w:val="119"/>
              <w:numPr>
                <w:ilvl w:val="0"/>
                <w:numId w:val="0"/>
              </w:numPr>
              <w:bidi w:val="0"/>
              <w:ind w:leftChars="0"/>
              <w:jc w:val="center"/>
              <w:rPr>
                <w:rFonts w:hint="default"/>
                <w:color w:val="000000" w:themeColor="text1"/>
                <w:highlight w:val="none"/>
                <w:lang w:val="en-US"/>
                <w14:textFill>
                  <w14:solidFill>
                    <w14:schemeClr w14:val="tx1"/>
                  </w14:solidFill>
                </w14:textFill>
              </w:rPr>
            </w:pPr>
            <w:r>
              <w:rPr>
                <w:rFonts w:hint="eastAsia" w:ascii="Times New Roman" w:hAnsi="Times New Roman" w:eastAsia="宋体" w:cs="Times New Roman"/>
                <w:b/>
                <w:color w:val="000000" w:themeColor="text1"/>
                <w:kern w:val="2"/>
                <w:sz w:val="24"/>
                <w:szCs w:val="24"/>
                <w:highlight w:val="none"/>
                <w:lang w:val="en-US" w:eastAsia="zh-CN" w:bidi="ar"/>
                <w14:textFill>
                  <w14:solidFill>
                    <w14:schemeClr w14:val="tx1"/>
                  </w14:solidFill>
                </w14:textFill>
              </w:rPr>
              <w:t>符合</w:t>
            </w:r>
            <w:r>
              <w:rPr>
                <w:rFonts w:hint="eastAsia" w:eastAsia="宋体" w:cs="Times New Roman"/>
                <w:b/>
                <w:color w:val="000000" w:themeColor="text1"/>
                <w:kern w:val="2"/>
                <w:sz w:val="24"/>
                <w:szCs w:val="24"/>
                <w:highlight w:val="none"/>
                <w:lang w:val="en-US" w:eastAsia="zh-CN" w:bidi="ar"/>
                <w14:textFill>
                  <w14:solidFill>
                    <w14:schemeClr w14:val="tx1"/>
                  </w14:solidFill>
                </w14:textFill>
              </w:rPr>
              <w:t>性分析一览表</w:t>
            </w:r>
          </w:p>
          <w:tbl>
            <w:tblPr>
              <w:tblStyle w:val="36"/>
              <w:tblW w:w="496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5"/>
              <w:gridCol w:w="323"/>
              <w:gridCol w:w="211"/>
              <w:gridCol w:w="135"/>
              <w:gridCol w:w="282"/>
              <w:gridCol w:w="3263"/>
              <w:gridCol w:w="2140"/>
              <w:gridCol w:w="607"/>
            </w:tblGrid>
            <w:tr w14:paraId="4FAE0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948" w:type="pct"/>
                  <w:gridSpan w:val="5"/>
                  <w:noWrap w:val="0"/>
                  <w:vAlign w:val="center"/>
                </w:tcPr>
                <w:p w14:paraId="17D02C7C">
                  <w:pPr>
                    <w:adjustRightInd w:val="0"/>
                    <w:snapToGrid w:val="0"/>
                    <w:jc w:val="center"/>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项目</w:t>
                  </w:r>
                </w:p>
              </w:tc>
              <w:tc>
                <w:tcPr>
                  <w:tcW w:w="2199" w:type="pct"/>
                  <w:noWrap w:val="0"/>
                  <w:vAlign w:val="center"/>
                </w:tcPr>
                <w:p w14:paraId="534A0B27">
                  <w:pPr>
                    <w:adjustRightInd w:val="0"/>
                    <w:snapToGrid w:val="0"/>
                    <w:jc w:val="center"/>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全市管控要求</w:t>
                  </w:r>
                </w:p>
              </w:tc>
              <w:tc>
                <w:tcPr>
                  <w:tcW w:w="1442" w:type="pct"/>
                  <w:noWrap w:val="0"/>
                  <w:vAlign w:val="center"/>
                </w:tcPr>
                <w:p w14:paraId="2CC199C4">
                  <w:pPr>
                    <w:adjustRightInd w:val="0"/>
                    <w:snapToGrid w:val="0"/>
                    <w:jc w:val="center"/>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技改项目</w:t>
                  </w:r>
                  <w:r>
                    <w:rPr>
                      <w:rFonts w:ascii="Times New Roman" w:hAnsi="Times New Roman" w:eastAsia="宋体" w:cs="Times New Roman"/>
                      <w:color w:val="auto"/>
                      <w:szCs w:val="21"/>
                      <w:highlight w:val="none"/>
                      <w:lang w:val="zh-CN" w:bidi="zh-CN"/>
                    </w:rPr>
                    <w:t>相关情况</w:t>
                  </w:r>
                </w:p>
              </w:tc>
              <w:tc>
                <w:tcPr>
                  <w:tcW w:w="409" w:type="pct"/>
                  <w:noWrap w:val="0"/>
                  <w:vAlign w:val="center"/>
                </w:tcPr>
                <w:p w14:paraId="12DE14AF">
                  <w:pPr>
                    <w:adjustRightInd w:val="0"/>
                    <w:snapToGrid w:val="0"/>
                    <w:jc w:val="center"/>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符合性</w:t>
                  </w:r>
                </w:p>
              </w:tc>
            </w:tr>
            <w:tr w14:paraId="452E1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7" w:hRule="atLeast"/>
                <w:jc w:val="center"/>
              </w:trPr>
              <w:tc>
                <w:tcPr>
                  <w:tcW w:w="307" w:type="pct"/>
                  <w:vMerge w:val="restart"/>
                  <w:noWrap w:val="0"/>
                  <w:vAlign w:val="center"/>
                </w:tcPr>
                <w:p w14:paraId="5F5834F5">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全市生态环境准入综合管控要求</w:t>
                  </w:r>
                </w:p>
                <w:p w14:paraId="62A312E7">
                  <w:pPr>
                    <w:adjustRightInd w:val="0"/>
                    <w:snapToGrid w:val="0"/>
                    <w:jc w:val="left"/>
                    <w:rPr>
                      <w:rFonts w:hint="eastAsia" w:ascii="Times New Roman" w:hAnsi="Times New Roman" w:eastAsia="宋体" w:cs="Times New Roman"/>
                      <w:color w:val="auto"/>
                      <w:szCs w:val="21"/>
                      <w:highlight w:val="none"/>
                      <w:lang w:val="en-US" w:eastAsia="zh-CN"/>
                    </w:rPr>
                  </w:pPr>
                </w:p>
                <w:p w14:paraId="5A2EBAD8">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4C7EBA72">
                  <w:pPr>
                    <w:adjustRightInd w:val="0"/>
                    <w:snapToGrid w:val="0"/>
                    <w:jc w:val="center"/>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全市域</w:t>
                  </w:r>
                </w:p>
              </w:tc>
              <w:tc>
                <w:tcPr>
                  <w:tcW w:w="2199" w:type="pct"/>
                  <w:noWrap w:val="0"/>
                  <w:vAlign w:val="center"/>
                </w:tcPr>
                <w:p w14:paraId="2B3F9810">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1、优化产业结构。落实国家、省、市产业政策，严格“两高”项目环评审批，落实区域削减要求，推进减污降碳协同控制。</w:t>
                  </w:r>
                </w:p>
                <w:p w14:paraId="18B92B07">
                  <w:pPr>
                    <w:adjustRightInd w:val="0"/>
                    <w:snapToGrid w:val="0"/>
                    <w:jc w:val="left"/>
                    <w:rPr>
                      <w:rFonts w:ascii="Times New Roman" w:hAnsi="Times New Roman" w:eastAsia="宋体" w:cs="Times New Roman"/>
                      <w:color w:val="auto"/>
                      <w:szCs w:val="21"/>
                      <w:highlight w:val="none"/>
                      <w:lang w:bidi="zh-CN"/>
                    </w:rPr>
                  </w:pPr>
                  <w:r>
                    <w:rPr>
                      <w:rFonts w:hint="eastAsia" w:ascii="Times New Roman" w:hAnsi="Times New Roman" w:eastAsia="宋体" w:cs="Times New Roman"/>
                      <w:color w:val="auto"/>
                      <w:szCs w:val="21"/>
                      <w:highlight w:val="none"/>
                      <w:lang w:val="en-US" w:eastAsia="zh-CN"/>
                    </w:rPr>
                    <w:t>2、强化产业入园。优化园区布局，提升园区规划、环评实效性，提升园区资源利用效率和绿色低碳水平，加强新建项目入园，严格现有分散企业污染管控。</w:t>
                  </w:r>
                </w:p>
              </w:tc>
              <w:tc>
                <w:tcPr>
                  <w:tcW w:w="1442" w:type="pct"/>
                  <w:noWrap w:val="0"/>
                  <w:vAlign w:val="center"/>
                </w:tcPr>
                <w:p w14:paraId="1A31A44C">
                  <w:pPr>
                    <w:adjustRightInd w:val="0"/>
                    <w:snapToGrid w:val="0"/>
                    <w:jc w:val="left"/>
                    <w:rPr>
                      <w:rFonts w:hint="default" w:ascii="Times New Roman" w:hAnsi="Times New Roman" w:eastAsia="宋体" w:cs="Times New Roman"/>
                      <w:color w:val="auto"/>
                      <w:szCs w:val="21"/>
                      <w:highlight w:val="none"/>
                      <w:lang w:val="en-US" w:bidi="zh-CN"/>
                    </w:rPr>
                  </w:pPr>
                  <w:r>
                    <w:rPr>
                      <w:rFonts w:hint="eastAsia" w:ascii="Times New Roman" w:hAnsi="Times New Roman" w:eastAsia="宋体" w:cs="Times New Roman"/>
                      <w:color w:val="auto"/>
                      <w:szCs w:val="21"/>
                      <w:highlight w:val="none"/>
                      <w:lang w:val="en-US" w:eastAsia="zh-CN"/>
                    </w:rPr>
                    <w:t>项目位于河北行唐经济开发区，属于技改项目，符合国家、地方产业政策，现有工程</w:t>
                  </w:r>
                  <w:r>
                    <w:rPr>
                      <w:rFonts w:hint="eastAsia" w:cs="Times New Roman"/>
                      <w:color w:val="auto"/>
                      <w:szCs w:val="21"/>
                      <w:highlight w:val="none"/>
                      <w:lang w:val="en-US" w:eastAsia="zh-CN"/>
                    </w:rPr>
                    <w:t>均</w:t>
                  </w:r>
                  <w:r>
                    <w:rPr>
                      <w:rFonts w:hint="eastAsia" w:ascii="Times New Roman" w:hAnsi="Times New Roman" w:eastAsia="宋体" w:cs="Times New Roman"/>
                      <w:color w:val="auto"/>
                      <w:szCs w:val="21"/>
                      <w:highlight w:val="none"/>
                      <w:lang w:val="en-US" w:eastAsia="zh-CN"/>
                    </w:rPr>
                    <w:t>已获批复、已取得排污许可证并完成验收。</w:t>
                  </w:r>
                </w:p>
              </w:tc>
              <w:tc>
                <w:tcPr>
                  <w:tcW w:w="409" w:type="pct"/>
                  <w:vMerge w:val="restart"/>
                  <w:noWrap w:val="0"/>
                  <w:vAlign w:val="center"/>
                </w:tcPr>
                <w:p w14:paraId="37B2C041">
                  <w:pPr>
                    <w:adjustRightInd w:val="0"/>
                    <w:snapToGrid w:val="0"/>
                    <w:jc w:val="center"/>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w:t>
                  </w:r>
                </w:p>
              </w:tc>
            </w:tr>
            <w:tr w14:paraId="472F4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13" w:hRule="atLeast"/>
                <w:jc w:val="center"/>
              </w:trPr>
              <w:tc>
                <w:tcPr>
                  <w:tcW w:w="307" w:type="pct"/>
                  <w:vMerge w:val="continue"/>
                  <w:noWrap w:val="0"/>
                  <w:vAlign w:val="center"/>
                </w:tcPr>
                <w:p w14:paraId="5CBFED31">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vMerge w:val="restart"/>
                  <w:noWrap w:val="0"/>
                  <w:vAlign w:val="center"/>
                </w:tcPr>
                <w:p w14:paraId="23D730FF">
                  <w:pPr>
                    <w:adjustRightInd w:val="0"/>
                    <w:snapToGrid w:val="0"/>
                    <w:jc w:val="center"/>
                    <w:rPr>
                      <w:rFonts w:hint="default" w:ascii="Times New Roman" w:hAnsi="Times New Roman" w:eastAsia="宋体" w:cs="Times New Roman"/>
                      <w:color w:val="auto"/>
                      <w:szCs w:val="21"/>
                      <w:highlight w:val="none"/>
                      <w:lang w:val="en-US" w:bidi="zh-CN"/>
                    </w:rPr>
                  </w:pPr>
                  <w:r>
                    <w:rPr>
                      <w:rFonts w:hint="eastAsia" w:cs="Times New Roman"/>
                      <w:color w:val="auto"/>
                      <w:szCs w:val="21"/>
                      <w:highlight w:val="none"/>
                      <w:lang w:val="en-US" w:bidi="zh-CN"/>
                    </w:rPr>
                    <w:t>一般生态空间</w:t>
                  </w:r>
                </w:p>
              </w:tc>
              <w:tc>
                <w:tcPr>
                  <w:tcW w:w="2199" w:type="pct"/>
                  <w:noWrap w:val="0"/>
                  <w:vAlign w:val="center"/>
                </w:tcPr>
                <w:p w14:paraId="4F99A15C">
                  <w:pPr>
                    <w:pStyle w:val="30"/>
                    <w:keepNext w:val="0"/>
                    <w:keepLines w:val="0"/>
                    <w:widowControl/>
                    <w:suppressLineNumbers w:val="0"/>
                    <w:spacing w:line="240" w:lineRule="auto"/>
                    <w:ind w:left="0" w:firstLine="0"/>
                    <w:jc w:val="left"/>
                    <w:textAlignment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kern w:val="2"/>
                      <w:sz w:val="21"/>
                      <w:szCs w:val="21"/>
                      <w:highlight w:val="none"/>
                      <w:lang w:val="en-US" w:eastAsia="zh-CN" w:bidi="ar-SA"/>
                    </w:rPr>
                    <w:t>总体要求：</w:t>
                  </w:r>
                  <w:r>
                    <w:rPr>
                      <w:rFonts w:hint="eastAsia" w:ascii="Times New Roman" w:hAnsi="Times New Roman" w:eastAsia="宋体" w:cs="Times New Roman"/>
                      <w:color w:val="auto"/>
                      <w:kern w:val="2"/>
                      <w:sz w:val="21"/>
                      <w:szCs w:val="21"/>
                      <w:highlight w:val="none"/>
                      <w:lang w:val="en-US" w:eastAsia="zh-CN" w:bidi="ar-SA"/>
                    </w:rPr>
                    <w:t>严格矿产资源开发与管控，矿产开发管控要求依照《河北省加强矿产资源开发管控十条措施》、《河北省人民政府办公厅关于转发河北省矿山综合治理攻坚行动方案的通知》（冀政办字〔2020〕75 号）、《河北省人民代表大会常务委员会关于加强矿产开发管控保护生态环境的决定》执行。</w:t>
                  </w:r>
                </w:p>
              </w:tc>
              <w:tc>
                <w:tcPr>
                  <w:tcW w:w="1442" w:type="pct"/>
                  <w:noWrap w:val="0"/>
                  <w:vAlign w:val="center"/>
                </w:tcPr>
                <w:p w14:paraId="2F0ECB4C">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项目不涉及</w:t>
                  </w:r>
                </w:p>
              </w:tc>
              <w:tc>
                <w:tcPr>
                  <w:tcW w:w="409" w:type="pct"/>
                  <w:vMerge w:val="continue"/>
                  <w:noWrap w:val="0"/>
                  <w:vAlign w:val="center"/>
                </w:tcPr>
                <w:p w14:paraId="49037D95">
                  <w:pPr>
                    <w:adjustRightInd w:val="0"/>
                    <w:snapToGrid w:val="0"/>
                    <w:jc w:val="center"/>
                    <w:rPr>
                      <w:rFonts w:ascii="Times New Roman" w:hAnsi="Times New Roman" w:eastAsia="宋体" w:cs="Times New Roman"/>
                      <w:color w:val="auto"/>
                      <w:szCs w:val="21"/>
                      <w:highlight w:val="none"/>
                      <w:lang w:val="zh-CN" w:bidi="zh-CN"/>
                    </w:rPr>
                  </w:pPr>
                </w:p>
              </w:tc>
            </w:tr>
            <w:tr w14:paraId="2EF91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2" w:hRule="atLeast"/>
                <w:jc w:val="center"/>
              </w:trPr>
              <w:tc>
                <w:tcPr>
                  <w:tcW w:w="307" w:type="pct"/>
                  <w:vMerge w:val="continue"/>
                  <w:noWrap w:val="0"/>
                  <w:vAlign w:val="center"/>
                </w:tcPr>
                <w:p w14:paraId="096ED18B">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vMerge w:val="continue"/>
                  <w:noWrap w:val="0"/>
                  <w:vAlign w:val="center"/>
                </w:tcPr>
                <w:p w14:paraId="63A165B9">
                  <w:pPr>
                    <w:adjustRightInd w:val="0"/>
                    <w:snapToGrid w:val="0"/>
                    <w:jc w:val="center"/>
                    <w:rPr>
                      <w:rFonts w:hint="eastAsia" w:cs="Times New Roman"/>
                      <w:color w:val="auto"/>
                      <w:szCs w:val="21"/>
                      <w:highlight w:val="none"/>
                      <w:lang w:val="en-US" w:bidi="zh-CN"/>
                    </w:rPr>
                  </w:pPr>
                </w:p>
              </w:tc>
              <w:tc>
                <w:tcPr>
                  <w:tcW w:w="2199" w:type="pct"/>
                  <w:noWrap w:val="0"/>
                  <w:vAlign w:val="center"/>
                </w:tcPr>
                <w:p w14:paraId="30AD1F7B">
                  <w:pPr>
                    <w:pStyle w:val="30"/>
                    <w:keepNext w:val="0"/>
                    <w:keepLines w:val="0"/>
                    <w:widowControl/>
                    <w:suppressLineNumbers w:val="0"/>
                    <w:spacing w:before="0" w:beforeAutospacing="0" w:after="0" w:afterAutospacing="0" w:line="240" w:lineRule="auto"/>
                    <w:ind w:left="0" w:firstLine="0"/>
                    <w:contextualSpacing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水源涵养：1、禁止新建与扩建各种损害生态系统水源涵养功能的项目，如无序采矿、毁林开荒、湿地和草地开垦、采砂采土等，现有相关开发建设活动，严格管控，引导其合理退出。</w:t>
                  </w:r>
                </w:p>
                <w:p w14:paraId="7B369026">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2、坚持自然恢复为主，严格限制在水源涵养区大规模人工造林。</w:t>
                  </w:r>
                </w:p>
              </w:tc>
              <w:tc>
                <w:tcPr>
                  <w:tcW w:w="1442" w:type="pct"/>
                  <w:noWrap w:val="0"/>
                  <w:vAlign w:val="center"/>
                </w:tcPr>
                <w:p w14:paraId="444A0070">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项目不涉及</w:t>
                  </w:r>
                </w:p>
              </w:tc>
              <w:tc>
                <w:tcPr>
                  <w:tcW w:w="409" w:type="pct"/>
                  <w:vMerge w:val="continue"/>
                  <w:noWrap w:val="0"/>
                  <w:vAlign w:val="center"/>
                </w:tcPr>
                <w:p w14:paraId="69482A7E">
                  <w:pPr>
                    <w:adjustRightInd w:val="0"/>
                    <w:snapToGrid w:val="0"/>
                    <w:jc w:val="center"/>
                    <w:rPr>
                      <w:rFonts w:ascii="Times New Roman" w:hAnsi="Times New Roman" w:eastAsia="宋体" w:cs="Times New Roman"/>
                      <w:color w:val="auto"/>
                      <w:szCs w:val="21"/>
                      <w:highlight w:val="none"/>
                      <w:lang w:val="zh-CN" w:bidi="zh-CN"/>
                    </w:rPr>
                  </w:pPr>
                </w:p>
              </w:tc>
            </w:tr>
            <w:tr w14:paraId="21EBE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2" w:hRule="atLeast"/>
                <w:jc w:val="center"/>
              </w:trPr>
              <w:tc>
                <w:tcPr>
                  <w:tcW w:w="307" w:type="pct"/>
                  <w:vMerge w:val="continue"/>
                  <w:noWrap w:val="0"/>
                  <w:vAlign w:val="center"/>
                </w:tcPr>
                <w:p w14:paraId="4E3D4FB1">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vMerge w:val="continue"/>
                  <w:noWrap w:val="0"/>
                  <w:vAlign w:val="center"/>
                </w:tcPr>
                <w:p w14:paraId="0D6F4E7E">
                  <w:pPr>
                    <w:adjustRightInd w:val="0"/>
                    <w:snapToGrid w:val="0"/>
                    <w:jc w:val="center"/>
                    <w:rPr>
                      <w:rFonts w:hint="eastAsia" w:cs="Times New Roman"/>
                      <w:color w:val="auto"/>
                      <w:szCs w:val="21"/>
                      <w:highlight w:val="none"/>
                      <w:lang w:val="en-US" w:bidi="zh-CN"/>
                    </w:rPr>
                  </w:pPr>
                </w:p>
              </w:tc>
              <w:tc>
                <w:tcPr>
                  <w:tcW w:w="2199" w:type="pct"/>
                  <w:noWrap w:val="0"/>
                  <w:vAlign w:val="center"/>
                </w:tcPr>
                <w:p w14:paraId="2AB87DBF">
                  <w:pPr>
                    <w:pStyle w:val="30"/>
                    <w:keepNext w:val="0"/>
                    <w:keepLines w:val="0"/>
                    <w:widowControl/>
                    <w:suppressLineNumbers w:val="0"/>
                    <w:spacing w:before="0" w:beforeAutospacing="0" w:after="0" w:afterAutospacing="0" w:line="240" w:lineRule="auto"/>
                    <w:ind w:left="0" w:firstLine="0"/>
                    <w:contextualSpacing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水土保持：1、严禁陡坡垦殖和过度放牧。</w:t>
                  </w:r>
                </w:p>
                <w:p w14:paraId="25D1F959">
                  <w:pPr>
                    <w:pStyle w:val="30"/>
                    <w:keepNext w:val="0"/>
                    <w:keepLines w:val="0"/>
                    <w:widowControl/>
                    <w:suppressLineNumbers w:val="0"/>
                    <w:spacing w:before="0" w:beforeAutospacing="0" w:after="0" w:afterAutospacing="0" w:line="240" w:lineRule="auto"/>
                    <w:ind w:left="0" w:firstLine="0"/>
                    <w:contextualSpacing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2、禁止毁林开荒、烧山开荒和陡坡地开垦，合理开发自然资源，保护和恢复自然生态系统，增强区域水土保持能力。</w:t>
                  </w:r>
                </w:p>
                <w:p w14:paraId="2D99A1B3">
                  <w:pPr>
                    <w:pStyle w:val="30"/>
                    <w:keepNext w:val="0"/>
                    <w:keepLines w:val="0"/>
                    <w:widowControl/>
                    <w:suppressLineNumbers w:val="0"/>
                    <w:spacing w:before="0" w:beforeAutospacing="0" w:after="0" w:afterAutospacing="0" w:line="240" w:lineRule="auto"/>
                    <w:ind w:left="0" w:firstLine="0"/>
                    <w:contextualSpacing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3、严格资源开发和建设项目的生态监管，控制新的人为水土流失。</w:t>
                  </w:r>
                </w:p>
                <w:p w14:paraId="1E23E131">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4、对水土保持林只能进行抚育和更新性质的采伐；对采伐区和集材道应当采取防止水土流失的措施，并在采伐后及时更新造林。</w:t>
                  </w:r>
                </w:p>
              </w:tc>
              <w:tc>
                <w:tcPr>
                  <w:tcW w:w="1442" w:type="pct"/>
                  <w:noWrap w:val="0"/>
                  <w:vAlign w:val="center"/>
                </w:tcPr>
                <w:p w14:paraId="53008174">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项目不涉及</w:t>
                  </w:r>
                </w:p>
              </w:tc>
              <w:tc>
                <w:tcPr>
                  <w:tcW w:w="409" w:type="pct"/>
                  <w:vMerge w:val="continue"/>
                  <w:noWrap w:val="0"/>
                  <w:vAlign w:val="center"/>
                </w:tcPr>
                <w:p w14:paraId="7743BB2E">
                  <w:pPr>
                    <w:adjustRightInd w:val="0"/>
                    <w:snapToGrid w:val="0"/>
                    <w:jc w:val="center"/>
                    <w:rPr>
                      <w:rFonts w:ascii="Times New Roman" w:hAnsi="Times New Roman" w:eastAsia="宋体" w:cs="Times New Roman"/>
                      <w:color w:val="auto"/>
                      <w:szCs w:val="21"/>
                      <w:highlight w:val="none"/>
                      <w:lang w:val="zh-CN" w:bidi="zh-CN"/>
                    </w:rPr>
                  </w:pPr>
                </w:p>
              </w:tc>
            </w:tr>
            <w:tr w14:paraId="54B9F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6" w:hRule="atLeast"/>
                <w:jc w:val="center"/>
              </w:trPr>
              <w:tc>
                <w:tcPr>
                  <w:tcW w:w="307" w:type="pct"/>
                  <w:vMerge w:val="continue"/>
                  <w:noWrap w:val="0"/>
                  <w:vAlign w:val="center"/>
                </w:tcPr>
                <w:p w14:paraId="47218349">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vMerge w:val="continue"/>
                  <w:noWrap w:val="0"/>
                  <w:vAlign w:val="center"/>
                </w:tcPr>
                <w:p w14:paraId="402843F3">
                  <w:pPr>
                    <w:adjustRightInd w:val="0"/>
                    <w:snapToGrid w:val="0"/>
                    <w:jc w:val="center"/>
                    <w:rPr>
                      <w:rFonts w:hint="eastAsia" w:cs="Times New Roman"/>
                      <w:color w:val="auto"/>
                      <w:szCs w:val="21"/>
                      <w:highlight w:val="none"/>
                      <w:lang w:val="en-US" w:bidi="zh-CN"/>
                    </w:rPr>
                  </w:pPr>
                </w:p>
              </w:tc>
              <w:tc>
                <w:tcPr>
                  <w:tcW w:w="2199" w:type="pct"/>
                  <w:noWrap w:val="0"/>
                  <w:vAlign w:val="center"/>
                </w:tcPr>
                <w:p w14:paraId="07068DE5">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生物多样性保护：1、禁止对野生动植物进行滥捕、滥采，保持并恢复野生动植物物种和种群的平衡，实现野生动植物资源的良性循环和永续利用。</w:t>
                  </w:r>
                </w:p>
                <w:p w14:paraId="64C506A6">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2、保护自然生态系统与重要物种栖息地，限制或禁止各种损害栖息地的经济社会活动和生产方式，如无序采矿、毁林开荒、湿地和草地开垦等，防止生态建设导致栖息环境的改变。</w:t>
                  </w:r>
                </w:p>
                <w:p w14:paraId="3DFC5A4D">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3、加强对外来物种入侵的控制，禁止在生物多样性保护功能区引进外来物种。</w:t>
                  </w:r>
                </w:p>
                <w:p w14:paraId="489485C9">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4、严格控制高耗能、高排放行业发展，新引入的行业、企业不得对优先区域生物多样性造成影响。</w:t>
                  </w:r>
                </w:p>
              </w:tc>
              <w:tc>
                <w:tcPr>
                  <w:tcW w:w="1442" w:type="pct"/>
                  <w:noWrap w:val="0"/>
                  <w:vAlign w:val="center"/>
                </w:tcPr>
                <w:p w14:paraId="6C50A20D">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项目不涉及</w:t>
                  </w:r>
                </w:p>
              </w:tc>
              <w:tc>
                <w:tcPr>
                  <w:tcW w:w="409" w:type="pct"/>
                  <w:vMerge w:val="continue"/>
                  <w:noWrap w:val="0"/>
                  <w:vAlign w:val="center"/>
                </w:tcPr>
                <w:p w14:paraId="1EF4EE51">
                  <w:pPr>
                    <w:adjustRightInd w:val="0"/>
                    <w:snapToGrid w:val="0"/>
                    <w:jc w:val="center"/>
                    <w:rPr>
                      <w:rFonts w:ascii="Times New Roman" w:hAnsi="Times New Roman" w:eastAsia="宋体" w:cs="Times New Roman"/>
                      <w:color w:val="auto"/>
                      <w:szCs w:val="21"/>
                      <w:highlight w:val="none"/>
                      <w:lang w:val="zh-CN" w:bidi="zh-CN"/>
                    </w:rPr>
                  </w:pPr>
                </w:p>
              </w:tc>
            </w:tr>
            <w:tr w14:paraId="664B0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 w:hRule="atLeast"/>
                <w:jc w:val="center"/>
              </w:trPr>
              <w:tc>
                <w:tcPr>
                  <w:tcW w:w="307" w:type="pct"/>
                  <w:vMerge w:val="continue"/>
                  <w:noWrap w:val="0"/>
                  <w:vAlign w:val="center"/>
                </w:tcPr>
                <w:p w14:paraId="1B25FA8A">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vMerge w:val="continue"/>
                  <w:noWrap w:val="0"/>
                  <w:vAlign w:val="center"/>
                </w:tcPr>
                <w:p w14:paraId="50F1D3C2">
                  <w:pPr>
                    <w:adjustRightInd w:val="0"/>
                    <w:snapToGrid w:val="0"/>
                    <w:jc w:val="center"/>
                    <w:rPr>
                      <w:rFonts w:hint="eastAsia" w:cs="Times New Roman"/>
                      <w:color w:val="auto"/>
                      <w:szCs w:val="21"/>
                      <w:highlight w:val="none"/>
                      <w:lang w:val="en-US" w:bidi="zh-CN"/>
                    </w:rPr>
                  </w:pPr>
                </w:p>
              </w:tc>
              <w:tc>
                <w:tcPr>
                  <w:tcW w:w="2199" w:type="pct"/>
                  <w:noWrap w:val="0"/>
                  <w:vAlign w:val="center"/>
                </w:tcPr>
                <w:p w14:paraId="68821A5A">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水土流失：禁止在崩塌、滑坡危险区区从事取土、挖砂、采石等可能造成水土流失的活动。禁止开垦、开发植物保护带。水土流失严重、生态脆弱的地区，应当限制或者禁止可能造成水土流失的生产建设活动。禁止在二十五度以上陡坡地开垦种植农作物。禁止毁林、毁草开垦和采集发菜。</w:t>
                  </w:r>
                </w:p>
              </w:tc>
              <w:tc>
                <w:tcPr>
                  <w:tcW w:w="1442" w:type="pct"/>
                  <w:noWrap w:val="0"/>
                  <w:vAlign w:val="center"/>
                </w:tcPr>
                <w:p w14:paraId="32D34AEC">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项目不涉及</w:t>
                  </w:r>
                </w:p>
              </w:tc>
              <w:tc>
                <w:tcPr>
                  <w:tcW w:w="409" w:type="pct"/>
                  <w:vMerge w:val="continue"/>
                  <w:noWrap w:val="0"/>
                  <w:vAlign w:val="center"/>
                </w:tcPr>
                <w:p w14:paraId="67E68A17">
                  <w:pPr>
                    <w:adjustRightInd w:val="0"/>
                    <w:snapToGrid w:val="0"/>
                    <w:jc w:val="center"/>
                    <w:rPr>
                      <w:rFonts w:ascii="Times New Roman" w:hAnsi="Times New Roman" w:eastAsia="宋体" w:cs="Times New Roman"/>
                      <w:color w:val="auto"/>
                      <w:szCs w:val="21"/>
                      <w:highlight w:val="none"/>
                      <w:lang w:val="zh-CN" w:bidi="zh-CN"/>
                    </w:rPr>
                  </w:pPr>
                </w:p>
              </w:tc>
            </w:tr>
            <w:tr w14:paraId="6B765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18" w:hRule="atLeast"/>
                <w:jc w:val="center"/>
              </w:trPr>
              <w:tc>
                <w:tcPr>
                  <w:tcW w:w="307" w:type="pct"/>
                  <w:vMerge w:val="continue"/>
                  <w:noWrap w:val="0"/>
                  <w:vAlign w:val="center"/>
                </w:tcPr>
                <w:p w14:paraId="5C190A3B">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127D3860">
                  <w:pPr>
                    <w:adjustRightInd w:val="0"/>
                    <w:snapToGrid w:val="0"/>
                    <w:jc w:val="center"/>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en-US" w:eastAsia="zh-CN" w:bidi="zh-CN"/>
                    </w:rPr>
                    <w:t>石家庄中部核心区及北部弱扩散</w:t>
                  </w:r>
                  <w:r>
                    <w:rPr>
                      <w:rFonts w:hint="eastAsia" w:ascii="宋体" w:hAnsi="宋体" w:eastAsia="宋体" w:cs="宋体"/>
                      <w:color w:val="auto"/>
                      <w:kern w:val="0"/>
                      <w:sz w:val="21"/>
                      <w:szCs w:val="21"/>
                      <w:highlight w:val="none"/>
                      <w:lang w:val="en-US" w:eastAsia="zh-CN" w:bidi="ar"/>
                    </w:rPr>
                    <w:t>区</w:t>
                  </w:r>
                </w:p>
              </w:tc>
              <w:tc>
                <w:tcPr>
                  <w:tcW w:w="2199" w:type="pct"/>
                  <w:noWrap w:val="0"/>
                  <w:vAlign w:val="center"/>
                </w:tcPr>
                <w:p w14:paraId="05B9DEAE">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1、严格电力、钢铁、焦化、水泥、平板玻璃等产能管控，加强重污染天气管控措施。</w:t>
                  </w:r>
                </w:p>
                <w:p w14:paraId="4FFA053B">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2、强化控煤为重点的能源清洁化战略。压减地区燃煤量、推动农村去散煤，倡导清洁能源。</w:t>
                  </w:r>
                </w:p>
                <w:p w14:paraId="6B8507D6">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3、强化机动车源头管控，实施重型柴油车第六阶段标准。强化在用机动车管控、非道路移动机械监管、加油站油气回收装置监管等。</w:t>
                  </w:r>
                </w:p>
                <w:p w14:paraId="42B3BF2F">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4、加强大气污染整治，推动钢铁、焦化、化工等产业升级，推进挥发性有机物和氮氧化物协同减排，加强细颗粒物和臭氧协同控制。</w:t>
                  </w:r>
                </w:p>
                <w:p w14:paraId="6A74A7AE">
                  <w:pPr>
                    <w:adjustRightInd w:val="0"/>
                    <w:snapToGrid w:val="0"/>
                    <w:jc w:val="left"/>
                    <w:rPr>
                      <w:rFonts w:hint="eastAsia"/>
                      <w:lang w:val="en-US" w:eastAsia="zh-CN"/>
                    </w:rPr>
                  </w:pPr>
                  <w:r>
                    <w:rPr>
                      <w:rFonts w:hint="eastAsia" w:ascii="Times New Roman" w:hAnsi="Times New Roman" w:eastAsia="宋体" w:cs="Times New Roman"/>
                      <w:color w:val="auto"/>
                      <w:szCs w:val="21"/>
                      <w:highlight w:val="none"/>
                      <w:lang w:val="en-US" w:eastAsia="zh-CN"/>
                    </w:rPr>
                    <w:t>5、加强空气质量一类功能区、城市建成区及上风向地区、工业园区等布局管控，引导敏感区重点行业转型升级、搬迁退出。</w:t>
                  </w:r>
                </w:p>
              </w:tc>
              <w:tc>
                <w:tcPr>
                  <w:tcW w:w="1442" w:type="pct"/>
                  <w:noWrap w:val="0"/>
                  <w:vAlign w:val="center"/>
                </w:tcPr>
                <w:p w14:paraId="566092A7">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1、本项目属于C3670汽车零部件及配件制造，不涉及上述行业。</w:t>
                  </w:r>
                </w:p>
                <w:p w14:paraId="2521DF7D">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2、本项目不涉及用煤。</w:t>
                  </w:r>
                </w:p>
                <w:p w14:paraId="53FC3830">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3、本项目车辆运输均采用满足相关标准的机动车。</w:t>
                  </w:r>
                </w:p>
                <w:p w14:paraId="4D27AB49">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4、本项目不涉及。</w:t>
                  </w:r>
                </w:p>
                <w:p w14:paraId="030F2560">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5、本项目位于行唐</w:t>
                  </w:r>
                  <w:r>
                    <w:rPr>
                      <w:rFonts w:hint="eastAsia" w:cs="Times New Roman"/>
                      <w:color w:val="auto"/>
                      <w:szCs w:val="21"/>
                      <w:highlight w:val="none"/>
                      <w:lang w:val="en-US" w:eastAsia="zh-CN"/>
                    </w:rPr>
                    <w:t>经济开发区</w:t>
                  </w:r>
                  <w:r>
                    <w:rPr>
                      <w:rFonts w:hint="eastAsia" w:ascii="Times New Roman" w:hAnsi="Times New Roman" w:eastAsia="宋体" w:cs="Times New Roman"/>
                      <w:color w:val="auto"/>
                      <w:szCs w:val="21"/>
                      <w:highlight w:val="none"/>
                      <w:lang w:val="en-US" w:eastAsia="zh-CN"/>
                    </w:rPr>
                    <w:t>，不属于敏感区重点行业。</w:t>
                  </w:r>
                </w:p>
              </w:tc>
              <w:tc>
                <w:tcPr>
                  <w:tcW w:w="409" w:type="pct"/>
                  <w:vMerge w:val="continue"/>
                  <w:noWrap w:val="0"/>
                  <w:vAlign w:val="center"/>
                </w:tcPr>
                <w:p w14:paraId="1F4D3C56">
                  <w:pPr>
                    <w:adjustRightInd w:val="0"/>
                    <w:snapToGrid w:val="0"/>
                    <w:jc w:val="center"/>
                    <w:rPr>
                      <w:rFonts w:ascii="Times New Roman" w:hAnsi="Times New Roman" w:eastAsia="宋体" w:cs="Times New Roman"/>
                      <w:color w:val="auto"/>
                      <w:szCs w:val="21"/>
                      <w:highlight w:val="none"/>
                      <w:lang w:val="zh-CN" w:bidi="zh-CN"/>
                    </w:rPr>
                  </w:pPr>
                </w:p>
              </w:tc>
            </w:tr>
            <w:tr w14:paraId="2F562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restart"/>
                  <w:noWrap w:val="0"/>
                  <w:vAlign w:val="center"/>
                </w:tcPr>
                <w:p w14:paraId="66047B6F">
                  <w:pPr>
                    <w:adjustRightInd w:val="0"/>
                    <w:snapToGrid w:val="0"/>
                    <w:jc w:val="center"/>
                    <w:rPr>
                      <w:rFonts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szCs w:val="21"/>
                      <w:highlight w:val="none"/>
                      <w:lang w:val="zh-CN" w:bidi="zh-CN"/>
                    </w:rPr>
                    <w:t>全市生态空间总体管控要求</w:t>
                  </w:r>
                </w:p>
              </w:tc>
              <w:tc>
                <w:tcPr>
                  <w:tcW w:w="640" w:type="pct"/>
                  <w:gridSpan w:val="4"/>
                  <w:noWrap w:val="0"/>
                  <w:vAlign w:val="center"/>
                </w:tcPr>
                <w:p w14:paraId="3BCBCFFE">
                  <w:pPr>
                    <w:adjustRightInd w:val="0"/>
                    <w:snapToGrid w:val="0"/>
                    <w:jc w:val="left"/>
                    <w:rPr>
                      <w:rFonts w:hint="eastAsia" w:ascii="Times New Roman" w:hAnsi="Times New Roman" w:eastAsia="宋体" w:cs="Times New Roman"/>
                      <w:color w:val="auto"/>
                      <w:szCs w:val="21"/>
                      <w:highlight w:val="none"/>
                      <w:lang w:val="zh-CN" w:eastAsia="zh-CN"/>
                    </w:rPr>
                  </w:pPr>
                  <w:r>
                    <w:rPr>
                      <w:rFonts w:hint="eastAsia" w:ascii="Times New Roman" w:hAnsi="Times New Roman" w:eastAsia="宋体" w:cs="Times New Roman"/>
                      <w:color w:val="auto"/>
                      <w:szCs w:val="21"/>
                      <w:highlight w:val="none"/>
                      <w:lang w:val="zh-CN" w:eastAsia="zh-CN"/>
                    </w:rPr>
                    <w:t>生态保护红线</w:t>
                  </w:r>
                </w:p>
              </w:tc>
              <w:tc>
                <w:tcPr>
                  <w:tcW w:w="2199" w:type="pct"/>
                  <w:noWrap w:val="0"/>
                  <w:vAlign w:val="center"/>
                </w:tcPr>
                <w:p w14:paraId="010B4755">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生态保护红线原则上按禁止开发区域的要求进行管理。严禁不符合主体功能定位的各类开发活动，严禁任意改变用途。2、自然保护地核心保护区原则上禁止人为活动，其他区域严格禁止开发性、生产性建设活动，法律法规另有规定的，从其规定。生态保护红线内自然保护区、风景名胜区、饮用水水源保护区等区域，依照相关</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法律法规执行。</w:t>
                  </w:r>
                </w:p>
              </w:tc>
              <w:tc>
                <w:tcPr>
                  <w:tcW w:w="1442" w:type="pct"/>
                  <w:noWrap w:val="0"/>
                  <w:vAlign w:val="center"/>
                </w:tcPr>
                <w:p w14:paraId="58F9B9E7">
                  <w:pPr>
                    <w:adjustRightInd w:val="0"/>
                    <w:snapToGrid w:val="0"/>
                    <w:jc w:val="left"/>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项目不在生态保护红线内。</w:t>
                  </w:r>
                </w:p>
                <w:p w14:paraId="0E65FD68">
                  <w:pPr>
                    <w:adjustRightInd w:val="0"/>
                    <w:snapToGrid w:val="0"/>
                    <w:jc w:val="left"/>
                    <w:rPr>
                      <w:rFonts w:hint="eastAsia" w:ascii="Times New Roman" w:hAnsi="Times New Roman" w:eastAsia="宋体" w:cs="Times New Roman"/>
                      <w:color w:val="auto"/>
                      <w:szCs w:val="21"/>
                      <w:highlight w:val="none"/>
                      <w:lang w:val="en-US" w:eastAsia="zh-CN"/>
                    </w:rPr>
                  </w:pPr>
                </w:p>
              </w:tc>
              <w:tc>
                <w:tcPr>
                  <w:tcW w:w="409" w:type="pct"/>
                  <w:vMerge w:val="continue"/>
                  <w:noWrap w:val="0"/>
                  <w:vAlign w:val="center"/>
                </w:tcPr>
                <w:p w14:paraId="3386F069">
                  <w:pPr>
                    <w:adjustRightInd w:val="0"/>
                    <w:snapToGrid w:val="0"/>
                    <w:jc w:val="center"/>
                    <w:rPr>
                      <w:rFonts w:ascii="Times New Roman" w:hAnsi="Times New Roman" w:eastAsia="宋体" w:cs="Times New Roman"/>
                      <w:color w:val="auto"/>
                      <w:szCs w:val="21"/>
                      <w:highlight w:val="none"/>
                      <w:lang w:val="zh-CN" w:bidi="zh-CN"/>
                    </w:rPr>
                  </w:pPr>
                </w:p>
              </w:tc>
            </w:tr>
            <w:tr w14:paraId="61CDF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736AEE84">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784388A5">
                  <w:pPr>
                    <w:adjustRightInd w:val="0"/>
                    <w:snapToGrid w:val="0"/>
                    <w:jc w:val="left"/>
                    <w:rPr>
                      <w:rFonts w:hint="eastAsia" w:ascii="Times New Roman" w:hAnsi="Times New Roman" w:eastAsia="宋体" w:cs="Times New Roman"/>
                      <w:color w:val="auto"/>
                      <w:kern w:val="2"/>
                      <w:sz w:val="21"/>
                      <w:szCs w:val="21"/>
                      <w:highlight w:val="none"/>
                      <w:lang w:val="zh-CN" w:eastAsia="zh-CN" w:bidi="ar-SA"/>
                    </w:rPr>
                  </w:pPr>
                  <w:r>
                    <w:rPr>
                      <w:rFonts w:hint="eastAsia" w:ascii="Times New Roman" w:hAnsi="Times New Roman" w:eastAsia="宋体" w:cs="Times New Roman"/>
                      <w:color w:val="auto"/>
                      <w:szCs w:val="21"/>
                      <w:highlight w:val="none"/>
                      <w:lang w:val="en-US" w:eastAsia="zh-CN"/>
                    </w:rPr>
                    <w:t>自然保护区</w:t>
                  </w:r>
                </w:p>
              </w:tc>
              <w:tc>
                <w:tcPr>
                  <w:tcW w:w="2199" w:type="pct"/>
                  <w:noWrap w:val="0"/>
                  <w:vAlign w:val="center"/>
                </w:tcPr>
                <w:p w14:paraId="180047F9">
                  <w:pPr>
                    <w:adjustRightInd w:val="0"/>
                    <w:snapToGrid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1、禁止在自然保护区内进行砍伐、放牧、狩猎、捕捞、采药、开垦、烧荒、开矿、采石、挖沙等活动；但是，法律、行政法规另有规定的除外。2、禁止任何人进入自然保护区的核心区。因科学研究的需要，必须进入核心区从事科学研究观测、调查活动的，应当事先向自然保护区管理机构提交申请和活动计划，并经自然保护区管理机构批准；其中，进入国家级自然保护区核心区的，应当经省、自治区、直辖市人民政府有关自然保护区行政主管部门批准。自然保护区核心区内原有居民确有必要迁出的，由自然保护区所在地的地方人民政府予以妥善安置。3、禁止在自然保护区的缓冲区开展旅游和生产经营活动。因教学科研的目的，需要进入自然保护区的缓冲区从事非破坏性的科学研究、教学实习和标本采集活动的，应当事先向自然保护区管理机构提交申请和活动计划，经自然保护区管理机构批准。从事前款活动的单位和个人，应当将其活动成果的副本提交自然保护区管理机构。4、自然保护区的实验区内严禁开设与自然保护区保护方向不一致的参观、旅游项目。5、自然保护区的内部未分区的，依照本条例有关核心区和缓冲区的规定管理。6、在自然保护区的核心区和缓冲区内，不得建设任何生产设施。在自然保护区的实验区内，不得建设污染环境、破坏资源或者景观的生产设施。7、禁止或者限制在相关自然保护区域内引入外来物种、营造单一纯林、过量施洒农药等人为干扰、威胁野生动物生息繁衍的行为。8、禁止在相关自然保护区域建设法律法规规定不得建设的项目。机场、铁路、公路、水利水电、围堰、围填海等建设项目的选址选线，应当避让相关自然保护区域、野生动物迁徙洄游通道；无法避让的，应当采取修建野生动物通道、过鱼设施等措施，消除或者减少对野生动物的不利影响。9、在相关自然保护区域和禁猎（渔）区、禁猎（渔）期内，禁止猎捕以及其他妨碍野生动物生息繁衍的活动，但法律法规另有规定的除外。</w:t>
                  </w:r>
                </w:p>
              </w:tc>
              <w:tc>
                <w:tcPr>
                  <w:tcW w:w="1442" w:type="pct"/>
                  <w:noWrap w:val="0"/>
                  <w:vAlign w:val="center"/>
                </w:tcPr>
                <w:p w14:paraId="196D1D77">
                  <w:pPr>
                    <w:adjustRightInd w:val="0"/>
                    <w:snapToGrid w:val="0"/>
                    <w:jc w:val="left"/>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项目不在自然保护区内</w:t>
                  </w:r>
                  <w:r>
                    <w:rPr>
                      <w:rFonts w:hint="eastAsia" w:cs="Times New Roman"/>
                      <w:color w:val="auto"/>
                      <w:szCs w:val="21"/>
                      <w:highlight w:val="none"/>
                      <w:lang w:val="en-US" w:eastAsia="zh-CN"/>
                    </w:rPr>
                    <w:t>。</w:t>
                  </w:r>
                </w:p>
              </w:tc>
              <w:tc>
                <w:tcPr>
                  <w:tcW w:w="409" w:type="pct"/>
                  <w:noWrap w:val="0"/>
                  <w:vAlign w:val="center"/>
                </w:tcPr>
                <w:p w14:paraId="55F574B0">
                  <w:pPr>
                    <w:adjustRightInd w:val="0"/>
                    <w:snapToGrid w:val="0"/>
                    <w:jc w:val="center"/>
                    <w:rPr>
                      <w:rFonts w:ascii="Times New Roman" w:hAnsi="Times New Roman" w:eastAsia="宋体" w:cs="Times New Roman"/>
                      <w:color w:val="auto"/>
                      <w:szCs w:val="21"/>
                      <w:highlight w:val="none"/>
                      <w:lang w:val="zh-CN" w:bidi="zh-CN"/>
                    </w:rPr>
                  </w:pPr>
                  <w:r>
                    <w:rPr>
                      <w:rFonts w:ascii="Times New Roman" w:hAnsi="Times New Roman" w:eastAsia="宋体" w:cs="Times New Roman"/>
                      <w:color w:val="auto"/>
                      <w:szCs w:val="21"/>
                      <w:highlight w:val="none"/>
                      <w:lang w:val="zh-CN" w:bidi="zh-CN"/>
                    </w:rPr>
                    <w:t>符合</w:t>
                  </w:r>
                </w:p>
              </w:tc>
            </w:tr>
            <w:tr w14:paraId="03788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7480D50B">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104C43F4">
                  <w:pPr>
                    <w:keepNext w:val="0"/>
                    <w:keepLines w:val="0"/>
                    <w:pageBreakBefore w:val="0"/>
                    <w:widowControl/>
                    <w:suppressLineNumbers w:val="0"/>
                    <w:kinsoku/>
                    <w:wordWrap/>
                    <w:overflowPunct/>
                    <w:bidi w:val="0"/>
                    <w:spacing w:line="240" w:lineRule="auto"/>
                    <w:jc w:val="left"/>
                    <w:rPr>
                      <w:rFonts w:hint="eastAsia"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pacing w:val="0"/>
                      <w:kern w:val="0"/>
                      <w:sz w:val="21"/>
                      <w:szCs w:val="21"/>
                      <w:lang w:val="en-US" w:eastAsia="zh-CN" w:bidi="ar"/>
                    </w:rPr>
                    <w:t>风景名胜区</w:t>
                  </w:r>
                </w:p>
              </w:tc>
              <w:tc>
                <w:tcPr>
                  <w:tcW w:w="2199" w:type="pct"/>
                  <w:noWrap w:val="0"/>
                  <w:vAlign w:val="center"/>
                </w:tcPr>
                <w:p w14:paraId="1E770839">
                  <w:pPr>
                    <w:keepNext w:val="0"/>
                    <w:keepLines w:val="0"/>
                    <w:pageBreakBefore w:val="0"/>
                    <w:widowControl/>
                    <w:suppressLineNumbers w:val="0"/>
                    <w:kinsoku/>
                    <w:wordWrap/>
                    <w:overflowPunct/>
                    <w:bidi w:val="0"/>
                    <w:spacing w:line="240" w:lineRule="auto"/>
                    <w:jc w:val="left"/>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pacing w:val="0"/>
                      <w:kern w:val="0"/>
                      <w:sz w:val="21"/>
                      <w:szCs w:val="21"/>
                      <w:lang w:val="en-US" w:eastAsia="zh-CN" w:bidi="ar"/>
                    </w:rPr>
                    <w:t>1、禁止进行下列活动：开山、采石、开矿、开荒、修坟立碑等破坏景观、植被和地形地貌的活动；修建储存爆炸性、易燃性、放射性、毒害性、腐蚀性物品的设施；在景物或者设施上刻划、涂污；乱扔垃圾。2、禁止违反风景名胜区规划，在风景名胜区内设立各类开发区和在核心景区内建设宾馆、招待所、培训中心、疗养院以及与风景名胜资源保护无关的其他建筑物；已经建设的，应当按照风景名胜区规划，逐步迁出。3、禁止在风景名胜区进行与风景名胜资源保护无关的生产建设活动。4、不得在风景名胜区的区域内建设污染环境的工业生产设施。5、风景名胜区的核心景区禁止建设养殖场，其他区域禁止建设有污染物排放的养殖场。</w:t>
                  </w:r>
                </w:p>
              </w:tc>
              <w:tc>
                <w:tcPr>
                  <w:tcW w:w="1442" w:type="pct"/>
                  <w:noWrap w:val="0"/>
                  <w:vAlign w:val="center"/>
                </w:tcPr>
                <w:p w14:paraId="28706C8B">
                  <w:pPr>
                    <w:keepNext w:val="0"/>
                    <w:keepLines w:val="0"/>
                    <w:pageBreakBefore w:val="0"/>
                    <w:widowControl/>
                    <w:suppressLineNumbers w:val="0"/>
                    <w:kinsoku/>
                    <w:wordWrap/>
                    <w:overflowPunct/>
                    <w:bidi w:val="0"/>
                    <w:spacing w:line="240" w:lineRule="auto"/>
                    <w:jc w:val="both"/>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pacing w:val="0"/>
                      <w:sz w:val="21"/>
                      <w:szCs w:val="21"/>
                      <w:lang w:eastAsia="zh-CN"/>
                    </w:rPr>
                    <w:t>项目</w:t>
                  </w:r>
                  <w:r>
                    <w:rPr>
                      <w:rFonts w:hint="default" w:ascii="Times New Roman" w:hAnsi="Times New Roman" w:eastAsia="宋体" w:cs="Times New Roman"/>
                      <w:color w:val="auto"/>
                      <w:spacing w:val="0"/>
                      <w:sz w:val="21"/>
                      <w:szCs w:val="21"/>
                    </w:rPr>
                    <w:t>不在</w:t>
                  </w:r>
                  <w:r>
                    <w:rPr>
                      <w:rFonts w:hint="default" w:ascii="Times New Roman" w:hAnsi="Times New Roman" w:eastAsia="宋体" w:cs="Times New Roman"/>
                      <w:color w:val="auto"/>
                      <w:spacing w:val="0"/>
                      <w:kern w:val="0"/>
                      <w:sz w:val="21"/>
                      <w:szCs w:val="21"/>
                      <w:lang w:val="en-US" w:eastAsia="zh-CN" w:bidi="ar"/>
                    </w:rPr>
                    <w:t>风景名胜区</w:t>
                  </w:r>
                  <w:r>
                    <w:rPr>
                      <w:rFonts w:hint="default" w:ascii="Times New Roman" w:hAnsi="Times New Roman" w:eastAsia="宋体" w:cs="Times New Roman"/>
                      <w:color w:val="auto"/>
                      <w:spacing w:val="0"/>
                      <w:sz w:val="21"/>
                      <w:szCs w:val="21"/>
                    </w:rPr>
                    <w:t>内。</w:t>
                  </w:r>
                </w:p>
              </w:tc>
              <w:tc>
                <w:tcPr>
                  <w:tcW w:w="409" w:type="pct"/>
                  <w:noWrap w:val="0"/>
                  <w:vAlign w:val="center"/>
                </w:tcPr>
                <w:p w14:paraId="2C495A75">
                  <w:pPr>
                    <w:adjustRightInd w:val="0"/>
                    <w:snapToGrid w:val="0"/>
                    <w:jc w:val="center"/>
                    <w:rPr>
                      <w:rFonts w:hint="default" w:ascii="Times New Roman" w:hAnsi="Times New Roman" w:eastAsia="宋体" w:cs="Times New Roman"/>
                      <w:color w:val="auto"/>
                      <w:szCs w:val="21"/>
                      <w:highlight w:val="none"/>
                      <w:lang w:val="en-US" w:bidi="zh-CN"/>
                    </w:rPr>
                  </w:pPr>
                  <w:r>
                    <w:rPr>
                      <w:rFonts w:hint="eastAsia" w:cs="Times New Roman"/>
                      <w:color w:val="auto"/>
                      <w:szCs w:val="21"/>
                      <w:highlight w:val="none"/>
                      <w:lang w:val="en-US" w:bidi="zh-CN"/>
                    </w:rPr>
                    <w:t>符合</w:t>
                  </w:r>
                </w:p>
              </w:tc>
            </w:tr>
            <w:tr w14:paraId="3FBDC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07C45D33">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76415E2B">
                  <w:pPr>
                    <w:keepNext w:val="0"/>
                    <w:keepLines w:val="0"/>
                    <w:pageBreakBefore w:val="0"/>
                    <w:widowControl/>
                    <w:suppressLineNumbers w:val="0"/>
                    <w:kinsoku/>
                    <w:wordWrap/>
                    <w:overflowPunct/>
                    <w:bidi w:val="0"/>
                    <w:spacing w:line="240" w:lineRule="auto"/>
                    <w:jc w:val="left"/>
                    <w:rPr>
                      <w:rFonts w:hint="eastAsia"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pacing w:val="0"/>
                      <w:kern w:val="0"/>
                      <w:sz w:val="21"/>
                      <w:szCs w:val="21"/>
                      <w:lang w:val="en-US" w:eastAsia="zh-CN" w:bidi="ar"/>
                    </w:rPr>
                    <w:t>湿地公园</w:t>
                  </w:r>
                </w:p>
              </w:tc>
              <w:tc>
                <w:tcPr>
                  <w:tcW w:w="2199" w:type="pct"/>
                  <w:noWrap w:val="0"/>
                  <w:vAlign w:val="center"/>
                </w:tcPr>
                <w:p w14:paraId="19ACC6FF">
                  <w:pPr>
                    <w:keepNext w:val="0"/>
                    <w:keepLines w:val="0"/>
                    <w:widowControl/>
                    <w:suppressLineNumbers w:val="0"/>
                    <w:jc w:val="left"/>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1.除法律法规有特别规定的以外，在湿地内禁止从事下列活动： </w:t>
                  </w:r>
                </w:p>
                <w:p w14:paraId="6C638654">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一</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开</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围</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垦、填埋或者排干湿地； </w:t>
                  </w:r>
                </w:p>
                <w:p w14:paraId="38EFED3D">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二</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永久性截断湿地水源； </w:t>
                  </w:r>
                </w:p>
                <w:p w14:paraId="4871E7F3">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三</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挖沙、采矿； </w:t>
                  </w:r>
                </w:p>
                <w:p w14:paraId="0E2CE869">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四</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倾倒有毒有害物质、废弃物、垃圾； </w:t>
                  </w:r>
                </w:p>
                <w:p w14:paraId="670AA21D">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五</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破坏野生动物栖息地和迁徙通道、鱼类洄游通道，滥采滥捕野生动植物； </w:t>
                  </w:r>
                </w:p>
                <w:p w14:paraId="2E928E64">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六</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引进外来物种； </w:t>
                  </w:r>
                </w:p>
                <w:p w14:paraId="29ACB0CC">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七</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擅自放牧、捕捞、取土、取水、排污、放生； </w:t>
                  </w:r>
                </w:p>
                <w:p w14:paraId="5461B5B6">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八</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其他破坏湿地及其生态功能的活动。 </w:t>
                  </w:r>
                </w:p>
                <w:p w14:paraId="73207B1B">
                  <w:pPr>
                    <w:keepNext w:val="0"/>
                    <w:keepLines w:val="0"/>
                    <w:widowControl/>
                    <w:suppressLineNumbers w:val="0"/>
                    <w:jc w:val="left"/>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2、此外，在国家湿地公园内还禁止下列行为： </w:t>
                  </w:r>
                </w:p>
                <w:p w14:paraId="6E7DFF06">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一</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截断湿地水源； </w:t>
                  </w:r>
                </w:p>
                <w:p w14:paraId="13DC77E9">
                  <w:pPr>
                    <w:keepNext w:val="0"/>
                    <w:keepLines w:val="0"/>
                    <w:widowControl/>
                    <w:suppressLineNumbers w:val="0"/>
                    <w:jc w:val="left"/>
                    <w:rPr>
                      <w:rFonts w:hint="default" w:ascii="Times New Roman" w:hAnsi="Times New Roman" w:cs="Times New Roman"/>
                      <w:color w:val="auto"/>
                      <w:sz w:val="21"/>
                      <w:szCs w:val="21"/>
                    </w:rPr>
                  </w:pP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二</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 xml:space="preserve">从事房地产、度假村、高尔夫球场、风力发电、光伏发电等任何不符合主体功能定位 </w:t>
                  </w:r>
                </w:p>
                <w:p w14:paraId="442AE141">
                  <w:pPr>
                    <w:keepNext w:val="0"/>
                    <w:keepLines w:val="0"/>
                    <w:widowControl/>
                    <w:suppressLineNumbers w:val="0"/>
                    <w:jc w:val="left"/>
                    <w:rPr>
                      <w:rFonts w:hint="default" w:ascii="Times New Roman" w:hAnsi="Times New Roman" w:cs="Times New Roman"/>
                      <w:color w:val="auto"/>
                      <w:sz w:val="21"/>
                      <w:szCs w:val="21"/>
                    </w:rPr>
                  </w:pPr>
                  <w:r>
                    <w:rPr>
                      <w:rFonts w:hint="default" w:ascii="Times New Roman" w:hAnsi="Times New Roman" w:eastAsia="宋体" w:cs="Times New Roman"/>
                      <w:color w:val="auto"/>
                      <w:kern w:val="0"/>
                      <w:sz w:val="21"/>
                      <w:szCs w:val="21"/>
                      <w:lang w:val="en-US" w:eastAsia="zh-CN" w:bidi="ar"/>
                    </w:rPr>
                    <w:t xml:space="preserve">的建设项目和开发活动； </w:t>
                  </w:r>
                </w:p>
                <w:p w14:paraId="6D67705D">
                  <w:pPr>
                    <w:keepNext w:val="0"/>
                    <w:keepLines w:val="0"/>
                    <w:widowControl/>
                    <w:suppressLineNumbers w:val="0"/>
                    <w:jc w:val="left"/>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kern w:val="0"/>
                      <w:sz w:val="21"/>
                      <w:szCs w:val="21"/>
                      <w:lang w:val="en-US" w:eastAsia="zh-CN" w:bidi="ar"/>
                    </w:rPr>
                    <w:t>3、此外，还应满足《国家级自然公园管理办法（试行）》中相关管控要求。</w:t>
                  </w:r>
                </w:p>
              </w:tc>
              <w:tc>
                <w:tcPr>
                  <w:tcW w:w="1442" w:type="pct"/>
                  <w:noWrap w:val="0"/>
                  <w:vAlign w:val="center"/>
                </w:tcPr>
                <w:p w14:paraId="3B0E7C69">
                  <w:pPr>
                    <w:keepNext w:val="0"/>
                    <w:keepLines w:val="0"/>
                    <w:pageBreakBefore w:val="0"/>
                    <w:widowControl/>
                    <w:suppressLineNumbers w:val="0"/>
                    <w:kinsoku/>
                    <w:wordWrap/>
                    <w:overflowPunct/>
                    <w:bidi w:val="0"/>
                    <w:spacing w:line="240" w:lineRule="auto"/>
                    <w:jc w:val="both"/>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pacing w:val="0"/>
                      <w:sz w:val="21"/>
                      <w:szCs w:val="21"/>
                      <w:lang w:eastAsia="zh-CN"/>
                    </w:rPr>
                    <w:t>项目</w:t>
                  </w:r>
                  <w:r>
                    <w:rPr>
                      <w:rFonts w:hint="default" w:ascii="Times New Roman" w:hAnsi="Times New Roman" w:eastAsia="宋体" w:cs="Times New Roman"/>
                      <w:color w:val="auto"/>
                      <w:spacing w:val="0"/>
                      <w:sz w:val="21"/>
                      <w:szCs w:val="21"/>
                    </w:rPr>
                    <w:t>不在</w:t>
                  </w:r>
                  <w:r>
                    <w:rPr>
                      <w:rFonts w:hint="default" w:ascii="Times New Roman" w:hAnsi="Times New Roman" w:eastAsia="宋体" w:cs="Times New Roman"/>
                      <w:color w:val="auto"/>
                      <w:spacing w:val="0"/>
                      <w:kern w:val="0"/>
                      <w:sz w:val="21"/>
                      <w:szCs w:val="21"/>
                      <w:lang w:val="en-US" w:eastAsia="zh-CN" w:bidi="ar"/>
                    </w:rPr>
                    <w:t>湿地公园</w:t>
                  </w:r>
                  <w:r>
                    <w:rPr>
                      <w:rFonts w:hint="default" w:ascii="Times New Roman" w:hAnsi="Times New Roman" w:eastAsia="宋体" w:cs="Times New Roman"/>
                      <w:color w:val="auto"/>
                      <w:spacing w:val="0"/>
                      <w:sz w:val="21"/>
                      <w:szCs w:val="21"/>
                    </w:rPr>
                    <w:t>内。</w:t>
                  </w:r>
                </w:p>
              </w:tc>
              <w:tc>
                <w:tcPr>
                  <w:tcW w:w="409" w:type="pct"/>
                  <w:noWrap w:val="0"/>
                  <w:vAlign w:val="center"/>
                </w:tcPr>
                <w:p w14:paraId="1B59E43B">
                  <w:pPr>
                    <w:pStyle w:val="122"/>
                    <w:keepNext w:val="0"/>
                    <w:keepLines w:val="0"/>
                    <w:pageBreakBefore w:val="0"/>
                    <w:kinsoku/>
                    <w:wordWrap/>
                    <w:overflowPunct/>
                    <w:bidi w:val="0"/>
                    <w:spacing w:line="240" w:lineRule="auto"/>
                    <w:ind w:firstLine="0" w:firstLineChars="0"/>
                    <w:rPr>
                      <w:rFonts w:ascii="Times New Roman" w:hAnsi="Times New Roman" w:eastAsia="宋体" w:cs="Times New Roman"/>
                      <w:color w:val="auto"/>
                      <w:szCs w:val="21"/>
                      <w:highlight w:val="none"/>
                      <w:lang w:val="zh-CN" w:bidi="zh-CN"/>
                    </w:rPr>
                  </w:pPr>
                  <w:r>
                    <w:rPr>
                      <w:rFonts w:hint="default" w:ascii="Times New Roman" w:hAnsi="Times New Roman" w:eastAsia="宋体" w:cs="Times New Roman"/>
                      <w:color w:val="auto"/>
                      <w:spacing w:val="0"/>
                      <w:sz w:val="21"/>
                      <w:szCs w:val="21"/>
                      <w:lang w:bidi="ar"/>
                    </w:rPr>
                    <w:t>符合</w:t>
                  </w:r>
                </w:p>
              </w:tc>
            </w:tr>
            <w:tr w14:paraId="76618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7A2C3B1E">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01712849">
                  <w:pPr>
                    <w:keepNext w:val="0"/>
                    <w:keepLines w:val="0"/>
                    <w:pageBreakBefore w:val="0"/>
                    <w:widowControl/>
                    <w:suppressLineNumbers w:val="0"/>
                    <w:kinsoku/>
                    <w:wordWrap/>
                    <w:overflowPunct/>
                    <w:bidi w:val="0"/>
                    <w:spacing w:line="240" w:lineRule="auto"/>
                    <w:jc w:val="left"/>
                    <w:rPr>
                      <w:rFonts w:hint="eastAsia"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pacing w:val="0"/>
                      <w:kern w:val="0"/>
                      <w:sz w:val="21"/>
                      <w:szCs w:val="21"/>
                      <w:lang w:val="en-US" w:eastAsia="zh-CN" w:bidi="ar"/>
                    </w:rPr>
                    <w:t>森林公园</w:t>
                  </w:r>
                </w:p>
              </w:tc>
              <w:tc>
                <w:tcPr>
                  <w:tcW w:w="2199" w:type="pct"/>
                  <w:noWrap w:val="0"/>
                  <w:vAlign w:val="center"/>
                </w:tcPr>
                <w:p w14:paraId="4E68E9BC">
                  <w:pPr>
                    <w:keepNext w:val="0"/>
                    <w:keepLines w:val="0"/>
                    <w:widowControl/>
                    <w:suppressLineNumbers w:val="0"/>
                    <w:jc w:val="left"/>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kern w:val="0"/>
                      <w:sz w:val="21"/>
                      <w:szCs w:val="21"/>
                      <w:lang w:val="en-US" w:eastAsia="zh-CN" w:bidi="ar"/>
                    </w:rPr>
                    <w:t>严格保护国家级森林公园内的森林、草原、湿地、荒漠、海洋、水域、生物等珍贵自然资源，以及自然遗迹、自然景观和文物古迹等人文景观。在国家级森林公园内开展相关活动和设施建设，不得擅自改变其自然状态和历史风貌。禁止擅自在国家级森林公园内从事采矿、房地产、开发区、高尔夫球场、风力光伏电场等不符合管控要求的开发活动。禁止违规侵占国家级森林公园，排放不符合水污染物排放标准的工业废水、生活污水及其他的废水、污水，倾倒、堆放、丢弃、遗撒固体废物等污染生态环境的行为。</w:t>
                  </w:r>
                </w:p>
              </w:tc>
              <w:tc>
                <w:tcPr>
                  <w:tcW w:w="1442" w:type="pct"/>
                  <w:noWrap w:val="0"/>
                  <w:vAlign w:val="center"/>
                </w:tcPr>
                <w:p w14:paraId="065C917B">
                  <w:pPr>
                    <w:keepNext w:val="0"/>
                    <w:keepLines w:val="0"/>
                    <w:pageBreakBefore w:val="0"/>
                    <w:widowControl/>
                    <w:suppressLineNumbers w:val="0"/>
                    <w:kinsoku/>
                    <w:wordWrap/>
                    <w:overflowPunct/>
                    <w:bidi w:val="0"/>
                    <w:spacing w:line="240" w:lineRule="auto"/>
                    <w:jc w:val="both"/>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pacing w:val="0"/>
                      <w:sz w:val="21"/>
                      <w:szCs w:val="21"/>
                      <w:lang w:eastAsia="zh-CN"/>
                    </w:rPr>
                    <w:t>项目</w:t>
                  </w:r>
                  <w:r>
                    <w:rPr>
                      <w:rFonts w:hint="default" w:ascii="Times New Roman" w:hAnsi="Times New Roman" w:eastAsia="宋体" w:cs="Times New Roman"/>
                      <w:color w:val="auto"/>
                      <w:spacing w:val="0"/>
                      <w:sz w:val="21"/>
                      <w:szCs w:val="21"/>
                    </w:rPr>
                    <w:t>不在</w:t>
                  </w:r>
                  <w:r>
                    <w:rPr>
                      <w:rFonts w:hint="default" w:ascii="Times New Roman" w:hAnsi="Times New Roman" w:eastAsia="宋体" w:cs="Times New Roman"/>
                      <w:color w:val="auto"/>
                      <w:spacing w:val="0"/>
                      <w:kern w:val="0"/>
                      <w:sz w:val="21"/>
                      <w:szCs w:val="21"/>
                      <w:lang w:val="en-US" w:eastAsia="zh-CN" w:bidi="ar"/>
                    </w:rPr>
                    <w:t>森林公园</w:t>
                  </w:r>
                  <w:r>
                    <w:rPr>
                      <w:rFonts w:hint="default" w:ascii="Times New Roman" w:hAnsi="Times New Roman" w:eastAsia="宋体" w:cs="Times New Roman"/>
                      <w:color w:val="auto"/>
                      <w:spacing w:val="0"/>
                      <w:sz w:val="21"/>
                      <w:szCs w:val="21"/>
                    </w:rPr>
                    <w:t>内。</w:t>
                  </w:r>
                </w:p>
              </w:tc>
              <w:tc>
                <w:tcPr>
                  <w:tcW w:w="409" w:type="pct"/>
                  <w:noWrap w:val="0"/>
                  <w:vAlign w:val="center"/>
                </w:tcPr>
                <w:p w14:paraId="2E6AE55D">
                  <w:pPr>
                    <w:pStyle w:val="122"/>
                    <w:keepNext w:val="0"/>
                    <w:keepLines w:val="0"/>
                    <w:pageBreakBefore w:val="0"/>
                    <w:kinsoku/>
                    <w:wordWrap/>
                    <w:overflowPunct/>
                    <w:bidi w:val="0"/>
                    <w:spacing w:line="240" w:lineRule="auto"/>
                    <w:ind w:firstLine="0" w:firstLineChars="0"/>
                    <w:rPr>
                      <w:rFonts w:ascii="Times New Roman" w:hAnsi="Times New Roman" w:eastAsia="宋体" w:cs="Times New Roman"/>
                      <w:color w:val="auto"/>
                      <w:szCs w:val="21"/>
                      <w:highlight w:val="none"/>
                      <w:lang w:val="zh-CN" w:bidi="zh-CN"/>
                    </w:rPr>
                  </w:pPr>
                  <w:r>
                    <w:rPr>
                      <w:rFonts w:hint="default" w:ascii="Times New Roman" w:hAnsi="Times New Roman" w:eastAsia="宋体" w:cs="Times New Roman"/>
                      <w:color w:val="auto"/>
                      <w:spacing w:val="0"/>
                      <w:sz w:val="21"/>
                      <w:szCs w:val="21"/>
                      <w:lang w:bidi="ar"/>
                    </w:rPr>
                    <w:t>符合</w:t>
                  </w:r>
                </w:p>
              </w:tc>
            </w:tr>
            <w:tr w14:paraId="785AC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7BA06AF1">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37EA6C9B">
                  <w:pPr>
                    <w:keepNext w:val="0"/>
                    <w:keepLines w:val="0"/>
                    <w:pageBreakBefore w:val="0"/>
                    <w:widowControl/>
                    <w:suppressLineNumbers w:val="0"/>
                    <w:kinsoku/>
                    <w:wordWrap/>
                    <w:overflowPunct/>
                    <w:bidi w:val="0"/>
                    <w:spacing w:line="240" w:lineRule="auto"/>
                    <w:jc w:val="left"/>
                    <w:rPr>
                      <w:rFonts w:hint="eastAsia"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pacing w:val="0"/>
                      <w:kern w:val="0"/>
                      <w:sz w:val="21"/>
                      <w:szCs w:val="21"/>
                      <w:lang w:val="en-US" w:eastAsia="zh-CN" w:bidi="ar"/>
                    </w:rPr>
                    <w:t>地质公园</w:t>
                  </w:r>
                </w:p>
              </w:tc>
              <w:tc>
                <w:tcPr>
                  <w:tcW w:w="2199" w:type="pct"/>
                  <w:noWrap w:val="0"/>
                  <w:vAlign w:val="center"/>
                </w:tcPr>
                <w:p w14:paraId="528600F5">
                  <w:pPr>
                    <w:keepNext w:val="0"/>
                    <w:keepLines w:val="0"/>
                    <w:widowControl/>
                    <w:suppressLineNumbers w:val="0"/>
                    <w:jc w:val="left"/>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kern w:val="0"/>
                      <w:sz w:val="21"/>
                      <w:szCs w:val="21"/>
                      <w:lang w:val="en-US" w:eastAsia="zh-CN" w:bidi="ar"/>
                    </w:rPr>
                    <w:t>1、任何单位和个人不得在保护区内及可能对地质遗迹造成影响的一定范围内进行采石、取土、开矿、放牧、砍伐以及其它对保护对象有损害的活动。未经管理机构批准，不得在保护区范围内采集标本和化石。2、不得在保护区内修建与地质遗迹保护无关的厂房或其他建筑设施；对已建成并可能对地质遗迹造成污染或破坏的设施，应限期治理或停业外迁。3、除必要的保护设施和附属设施外，禁止其他生产建设活动。4、此外，还应满足《国家级自然公园管理办法</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（试行）》中相关管控要求。</w:t>
                  </w:r>
                </w:p>
              </w:tc>
              <w:tc>
                <w:tcPr>
                  <w:tcW w:w="1442" w:type="pct"/>
                  <w:noWrap w:val="0"/>
                  <w:vAlign w:val="center"/>
                </w:tcPr>
                <w:p w14:paraId="7AE002C7">
                  <w:pPr>
                    <w:keepNext w:val="0"/>
                    <w:keepLines w:val="0"/>
                    <w:pageBreakBefore w:val="0"/>
                    <w:widowControl/>
                    <w:suppressLineNumbers w:val="0"/>
                    <w:kinsoku/>
                    <w:wordWrap/>
                    <w:overflowPunct/>
                    <w:bidi w:val="0"/>
                    <w:spacing w:line="240" w:lineRule="auto"/>
                    <w:jc w:val="both"/>
                    <w:rPr>
                      <w:rFonts w:hint="eastAsia"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pacing w:val="0"/>
                      <w:sz w:val="21"/>
                      <w:szCs w:val="21"/>
                      <w:lang w:eastAsia="zh-CN"/>
                    </w:rPr>
                    <w:t>项目</w:t>
                  </w:r>
                  <w:r>
                    <w:rPr>
                      <w:rFonts w:hint="default" w:ascii="Times New Roman" w:hAnsi="Times New Roman" w:eastAsia="宋体" w:cs="Times New Roman"/>
                      <w:color w:val="auto"/>
                      <w:spacing w:val="0"/>
                      <w:sz w:val="21"/>
                      <w:szCs w:val="21"/>
                    </w:rPr>
                    <w:t>不在</w:t>
                  </w:r>
                  <w:r>
                    <w:rPr>
                      <w:rFonts w:hint="default" w:ascii="Times New Roman" w:hAnsi="Times New Roman" w:eastAsia="宋体" w:cs="Times New Roman"/>
                      <w:color w:val="auto"/>
                      <w:spacing w:val="0"/>
                      <w:kern w:val="0"/>
                      <w:sz w:val="21"/>
                      <w:szCs w:val="21"/>
                      <w:lang w:val="en-US" w:eastAsia="zh-CN" w:bidi="ar"/>
                    </w:rPr>
                    <w:t>地质公园</w:t>
                  </w:r>
                  <w:r>
                    <w:rPr>
                      <w:rFonts w:hint="default" w:ascii="Times New Roman" w:hAnsi="Times New Roman" w:eastAsia="宋体" w:cs="Times New Roman"/>
                      <w:color w:val="auto"/>
                      <w:spacing w:val="0"/>
                      <w:sz w:val="21"/>
                      <w:szCs w:val="21"/>
                    </w:rPr>
                    <w:t>内。</w:t>
                  </w:r>
                </w:p>
              </w:tc>
              <w:tc>
                <w:tcPr>
                  <w:tcW w:w="409" w:type="pct"/>
                  <w:noWrap w:val="0"/>
                  <w:vAlign w:val="center"/>
                </w:tcPr>
                <w:p w14:paraId="534F9687">
                  <w:pPr>
                    <w:pStyle w:val="122"/>
                    <w:keepNext w:val="0"/>
                    <w:keepLines w:val="0"/>
                    <w:pageBreakBefore w:val="0"/>
                    <w:kinsoku/>
                    <w:wordWrap/>
                    <w:overflowPunct/>
                    <w:bidi w:val="0"/>
                    <w:spacing w:line="240" w:lineRule="auto"/>
                    <w:ind w:firstLine="0" w:firstLineChars="0"/>
                    <w:rPr>
                      <w:rFonts w:ascii="Times New Roman" w:hAnsi="Times New Roman" w:eastAsia="宋体" w:cs="Times New Roman"/>
                      <w:color w:val="auto"/>
                      <w:szCs w:val="21"/>
                      <w:highlight w:val="none"/>
                      <w:lang w:val="zh-CN" w:bidi="zh-CN"/>
                    </w:rPr>
                  </w:pPr>
                  <w:r>
                    <w:rPr>
                      <w:rFonts w:hint="default" w:ascii="Times New Roman" w:hAnsi="Times New Roman" w:eastAsia="宋体" w:cs="Times New Roman"/>
                      <w:color w:val="auto"/>
                      <w:spacing w:val="0"/>
                      <w:sz w:val="21"/>
                      <w:szCs w:val="21"/>
                      <w:lang w:bidi="ar"/>
                    </w:rPr>
                    <w:t>符合</w:t>
                  </w:r>
                </w:p>
              </w:tc>
            </w:tr>
            <w:tr w14:paraId="1D1E9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restart"/>
                  <w:noWrap w:val="0"/>
                  <w:vAlign w:val="center"/>
                </w:tcPr>
                <w:p w14:paraId="37E963D7">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全市</w:t>
                  </w:r>
                  <w:r>
                    <w:rPr>
                      <w:rFonts w:hint="eastAsia" w:ascii="Times New Roman" w:hAnsi="Times New Roman" w:eastAsia="宋体" w:cs="Times New Roman"/>
                      <w:color w:val="auto"/>
                      <w:szCs w:val="21"/>
                      <w:highlight w:val="none"/>
                      <w:lang w:val="en-US" w:eastAsia="zh-CN"/>
                    </w:rPr>
                    <w:t>水环境总体管控要求</w:t>
                  </w:r>
                </w:p>
                <w:p w14:paraId="1046C1D9">
                  <w:pPr>
                    <w:adjustRightInd w:val="0"/>
                    <w:snapToGrid w:val="0"/>
                    <w:jc w:val="left"/>
                    <w:rPr>
                      <w:rFonts w:hint="eastAsia" w:ascii="Times New Roman" w:hAnsi="Times New Roman" w:eastAsia="宋体" w:cs="Times New Roman"/>
                      <w:color w:val="auto"/>
                      <w:szCs w:val="21"/>
                      <w:highlight w:val="none"/>
                      <w:lang w:val="en-US" w:eastAsia="zh-CN"/>
                    </w:rPr>
                  </w:pPr>
                </w:p>
                <w:p w14:paraId="57CEBCB0">
                  <w:pPr>
                    <w:adjustRightInd w:val="0"/>
                    <w:snapToGrid w:val="0"/>
                    <w:jc w:val="left"/>
                    <w:rPr>
                      <w:rFonts w:hint="eastAsia" w:ascii="Times New Roman" w:hAnsi="Times New Roman" w:eastAsia="宋体" w:cs="Times New Roman"/>
                      <w:color w:val="auto"/>
                      <w:szCs w:val="21"/>
                      <w:highlight w:val="none"/>
                      <w:lang w:val="zh-CN" w:eastAsia="zh-CN"/>
                    </w:rPr>
                  </w:pPr>
                </w:p>
              </w:tc>
              <w:tc>
                <w:tcPr>
                  <w:tcW w:w="451" w:type="pct"/>
                  <w:gridSpan w:val="3"/>
                  <w:noWrap w:val="0"/>
                  <w:vAlign w:val="center"/>
                </w:tcPr>
                <w:p w14:paraId="2CE61256">
                  <w:pPr>
                    <w:adjustRightInd w:val="0"/>
                    <w:snapToGrid w:val="0"/>
                    <w:jc w:val="left"/>
                    <w:rPr>
                      <w:rFonts w:hint="eastAsia" w:ascii="Times New Roman" w:hAnsi="Times New Roman" w:eastAsia="宋体" w:cs="Times New Roman"/>
                      <w:color w:val="auto"/>
                      <w:szCs w:val="21"/>
                      <w:highlight w:val="none"/>
                      <w:lang w:val="zh-CN" w:eastAsia="zh-CN"/>
                    </w:rPr>
                  </w:pPr>
                  <w:r>
                    <w:rPr>
                      <w:rFonts w:hint="eastAsia" w:ascii="Times New Roman" w:hAnsi="Times New Roman" w:eastAsia="宋体" w:cs="Times New Roman"/>
                      <w:color w:val="auto"/>
                      <w:szCs w:val="21"/>
                      <w:highlight w:val="none"/>
                      <w:lang w:val="en-US" w:eastAsia="zh-CN"/>
                    </w:rPr>
                    <w:t>饮用水源地优先保护区</w:t>
                  </w:r>
                </w:p>
              </w:tc>
              <w:tc>
                <w:tcPr>
                  <w:tcW w:w="189" w:type="pct"/>
                  <w:noWrap w:val="0"/>
                  <w:vAlign w:val="center"/>
                </w:tcPr>
                <w:p w14:paraId="4DD9747B">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 xml:space="preserve">空间布局 </w:t>
                  </w:r>
                </w:p>
                <w:p w14:paraId="0F16AEC1">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约束</w:t>
                  </w:r>
                </w:p>
                <w:p w14:paraId="4654B53E">
                  <w:pPr>
                    <w:adjustRightInd w:val="0"/>
                    <w:snapToGrid w:val="0"/>
                    <w:jc w:val="left"/>
                    <w:rPr>
                      <w:rFonts w:hint="eastAsia" w:ascii="Times New Roman" w:hAnsi="Times New Roman" w:eastAsia="宋体" w:cs="Times New Roman"/>
                      <w:color w:val="auto"/>
                      <w:szCs w:val="21"/>
                      <w:highlight w:val="none"/>
                      <w:lang w:val="zh-CN" w:eastAsia="zh-CN"/>
                    </w:rPr>
                  </w:pPr>
                </w:p>
              </w:tc>
              <w:tc>
                <w:tcPr>
                  <w:tcW w:w="2199" w:type="pct"/>
                  <w:noWrap w:val="0"/>
                  <w:vAlign w:val="center"/>
                </w:tcPr>
                <w:p w14:paraId="29F47F1B">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在饮用水水源保护区内，禁止设置排污口。2、禁止在饮用水水源一级保护区内新建、改建、扩建与供水设施和保护水源无关的建设项目；已建成的与供水设施和保护水源无关的建设项目，由县级以上人民政府责令拆除或者关闭。禁止在饮用水水源一级保护区内从事网箱养殖、旅游、游泳、垂钓或者其他可能污染饮用水水体的活动。3、禁止在饮用水水源二级保护区内新建、改建、扩建排放污染物的建设项目；已建成的排放污染物的建设项目，由县级以上人民政府责令拆除或者关闭。在饮用水水源二级保护区内从事网箱养殖、旅游等活动的，应当按照规定采取措施，防止污染饮用水水体。4、禁止在饮用水水源准保护区内新建、扩建对水体污染严重的建设项目；改建建设项目，不得增加排污量。5、县级以上地方人民政府应当根据保护饮用水水源的实际需要，在准保护区内采取工程措施或者建造湿地、水源涵养林等生态保护措施，防止水污染物直接排入饮用水水体，确保饮用水安全。</w:t>
                  </w:r>
                </w:p>
              </w:tc>
              <w:tc>
                <w:tcPr>
                  <w:tcW w:w="1442" w:type="pct"/>
                  <w:noWrap w:val="0"/>
                  <w:vAlign w:val="center"/>
                </w:tcPr>
                <w:p w14:paraId="49DC494B">
                  <w:pPr>
                    <w:adjustRightInd w:val="0"/>
                    <w:snapToGrid w:val="0"/>
                    <w:jc w:val="left"/>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项目在</w:t>
                  </w:r>
                  <w:r>
                    <w:rPr>
                      <w:rFonts w:hint="eastAsia" w:ascii="Times New Roman" w:hAnsi="Times New Roman" w:eastAsia="宋体" w:cs="Times New Roman"/>
                      <w:color w:val="auto"/>
                      <w:szCs w:val="21"/>
                      <w:highlight w:val="none"/>
                      <w:lang w:val="en-US" w:eastAsia="zh-CN"/>
                    </w:rPr>
                    <w:t>园区</w:t>
                  </w:r>
                  <w:r>
                    <w:rPr>
                      <w:rFonts w:hint="eastAsia" w:cs="Times New Roman"/>
                      <w:color w:val="auto"/>
                      <w:szCs w:val="21"/>
                      <w:highlight w:val="none"/>
                      <w:lang w:val="en-US" w:eastAsia="zh-CN"/>
                    </w:rPr>
                    <w:t>，</w:t>
                  </w:r>
                  <w:r>
                    <w:rPr>
                      <w:rFonts w:hint="eastAsia" w:ascii="Times New Roman" w:hAnsi="Times New Roman" w:eastAsia="宋体" w:cs="Times New Roman"/>
                      <w:color w:val="auto"/>
                      <w:szCs w:val="21"/>
                      <w:highlight w:val="none"/>
                      <w:lang w:val="en-US" w:eastAsia="zh-CN"/>
                    </w:rPr>
                    <w:t>不涉及饮用水水源保护区及饮用水水源准保护区</w:t>
                  </w:r>
                  <w:r>
                    <w:rPr>
                      <w:rFonts w:hint="eastAsia" w:cs="Times New Roman"/>
                      <w:color w:val="auto"/>
                      <w:szCs w:val="21"/>
                      <w:highlight w:val="none"/>
                      <w:lang w:val="en-US" w:eastAsia="zh-CN"/>
                    </w:rPr>
                    <w:t>。</w:t>
                  </w:r>
                </w:p>
                <w:p w14:paraId="1BD37AFB">
                  <w:pPr>
                    <w:adjustRightInd w:val="0"/>
                    <w:snapToGrid w:val="0"/>
                    <w:jc w:val="left"/>
                    <w:rPr>
                      <w:rFonts w:hint="eastAsia" w:ascii="Times New Roman" w:hAnsi="Times New Roman" w:eastAsia="宋体" w:cs="Times New Roman"/>
                      <w:color w:val="auto"/>
                      <w:szCs w:val="21"/>
                      <w:highlight w:val="none"/>
                      <w:lang w:val="en-US" w:eastAsia="zh-CN"/>
                    </w:rPr>
                  </w:pPr>
                </w:p>
              </w:tc>
              <w:tc>
                <w:tcPr>
                  <w:tcW w:w="409" w:type="pct"/>
                  <w:noWrap w:val="0"/>
                  <w:vAlign w:val="center"/>
                </w:tcPr>
                <w:p w14:paraId="06CFA575">
                  <w:pPr>
                    <w:adjustRightInd w:val="0"/>
                    <w:snapToGrid w:val="0"/>
                    <w:jc w:val="center"/>
                    <w:rPr>
                      <w:rFonts w:ascii="Times New Roman" w:hAnsi="Times New Roman" w:eastAsia="宋体" w:cs="Times New Roman"/>
                      <w:color w:val="auto"/>
                      <w:szCs w:val="21"/>
                      <w:highlight w:val="none"/>
                      <w:lang w:val="zh-CN" w:bidi="zh-CN"/>
                    </w:rPr>
                  </w:pPr>
                </w:p>
              </w:tc>
            </w:tr>
            <w:tr w14:paraId="11B3B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18" w:hRule="atLeast"/>
                <w:jc w:val="center"/>
              </w:trPr>
              <w:tc>
                <w:tcPr>
                  <w:tcW w:w="307" w:type="pct"/>
                  <w:vMerge w:val="continue"/>
                  <w:noWrap w:val="0"/>
                  <w:vAlign w:val="center"/>
                </w:tcPr>
                <w:p w14:paraId="016F50F4">
                  <w:pPr>
                    <w:adjustRightInd w:val="0"/>
                    <w:snapToGrid w:val="0"/>
                    <w:jc w:val="left"/>
                    <w:rPr>
                      <w:rFonts w:hint="eastAsia" w:ascii="Times New Roman" w:hAnsi="Times New Roman" w:eastAsia="宋体" w:cs="Times New Roman"/>
                      <w:color w:val="auto"/>
                      <w:szCs w:val="21"/>
                      <w:highlight w:val="none"/>
                      <w:lang w:val="zh-CN" w:eastAsia="zh-CN"/>
                    </w:rPr>
                  </w:pPr>
                </w:p>
              </w:tc>
              <w:tc>
                <w:tcPr>
                  <w:tcW w:w="451" w:type="pct"/>
                  <w:gridSpan w:val="3"/>
                  <w:noWrap w:val="0"/>
                  <w:vAlign w:val="center"/>
                </w:tcPr>
                <w:p w14:paraId="73BF3BFB">
                  <w:pPr>
                    <w:adjustRightInd w:val="0"/>
                    <w:snapToGrid w:val="0"/>
                    <w:jc w:val="left"/>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t>水环境一般管控区</w:t>
                  </w:r>
                </w:p>
              </w:tc>
              <w:tc>
                <w:tcPr>
                  <w:tcW w:w="189" w:type="pct"/>
                  <w:noWrap w:val="0"/>
                  <w:vAlign w:val="center"/>
                </w:tcPr>
                <w:p w14:paraId="0B83F4F3">
                  <w:pPr>
                    <w:adjustRightInd w:val="0"/>
                    <w:snapToGrid w:val="0"/>
                    <w:jc w:val="left"/>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 xml:space="preserve">污染物排 </w:t>
                  </w:r>
                </w:p>
                <w:p w14:paraId="63C52F45">
                  <w:pPr>
                    <w:adjustRightInd w:val="0"/>
                    <w:snapToGrid w:val="0"/>
                    <w:jc w:val="left"/>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放管控</w:t>
                  </w:r>
                </w:p>
                <w:p w14:paraId="678481A6">
                  <w:pPr>
                    <w:adjustRightInd w:val="0"/>
                    <w:snapToGrid w:val="0"/>
                    <w:jc w:val="left"/>
                    <w:rPr>
                      <w:rFonts w:hint="eastAsia" w:ascii="Times New Roman" w:hAnsi="Times New Roman" w:eastAsia="宋体" w:cs="Times New Roman"/>
                      <w:color w:val="000000" w:themeColor="text1"/>
                      <w:szCs w:val="21"/>
                      <w:highlight w:val="none"/>
                      <w:lang w:val="zh-CN" w:eastAsia="zh-CN"/>
                      <w14:textFill>
                        <w14:solidFill>
                          <w14:schemeClr w14:val="tx1"/>
                        </w14:solidFill>
                      </w14:textFill>
                    </w:rPr>
                  </w:pPr>
                </w:p>
              </w:tc>
              <w:tc>
                <w:tcPr>
                  <w:tcW w:w="2199" w:type="pct"/>
                  <w:noWrap w:val="0"/>
                  <w:vAlign w:val="center"/>
                </w:tcPr>
                <w:p w14:paraId="45517FB6">
                  <w:pPr>
                    <w:adjustRightInd w:val="0"/>
                    <w:snapToGrid w:val="0"/>
                    <w:jc w:val="left"/>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严格落实全市最新污染防治要求，加强工业源、生活源、农业源、集中式治理设施等排放管控。</w:t>
                  </w:r>
                </w:p>
              </w:tc>
              <w:tc>
                <w:tcPr>
                  <w:tcW w:w="1442" w:type="pct"/>
                  <w:noWrap w:val="0"/>
                  <w:vAlign w:val="center"/>
                </w:tcPr>
                <w:p w14:paraId="5D1CA8E7">
                  <w:pPr>
                    <w:adjustRightInd w:val="0"/>
                    <w:snapToGrid w:val="0"/>
                    <w:jc w:val="left"/>
                    <w:rPr>
                      <w:rFonts w:hint="eastAsia" w:ascii="Times New Roman" w:hAnsi="Times New Roman" w:eastAsia="宋体" w:cs="Times New Roman"/>
                      <w:color w:val="auto"/>
                      <w:szCs w:val="21"/>
                      <w:highlight w:val="none"/>
                      <w:lang w:val="en-US" w:eastAsia="zh-CN"/>
                    </w:rPr>
                  </w:pPr>
                </w:p>
                <w:p w14:paraId="58C20DDB">
                  <w:pPr>
                    <w:adjustRightInd w:val="0"/>
                    <w:snapToGrid w:val="0"/>
                    <w:jc w:val="left"/>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技改项目</w:t>
                  </w:r>
                  <w:r>
                    <w:rPr>
                      <w:rFonts w:hint="eastAsia" w:cs="Times New Roman"/>
                      <w:color w:val="auto"/>
                      <w:szCs w:val="21"/>
                      <w:highlight w:val="none"/>
                      <w:lang w:val="en-US" w:eastAsia="zh-CN"/>
                    </w:rPr>
                    <w:t>所在</w:t>
                  </w:r>
                  <w:r>
                    <w:rPr>
                      <w:rFonts w:hint="eastAsia" w:ascii="Times New Roman" w:hAnsi="Times New Roman" w:eastAsia="宋体" w:cs="Times New Roman"/>
                      <w:color w:val="auto"/>
                      <w:szCs w:val="21"/>
                      <w:highlight w:val="none"/>
                      <w:lang w:val="en-US" w:eastAsia="zh-CN"/>
                    </w:rPr>
                    <w:t>园区已建成行唐县第二污水处理厂，正常运行并执行《大清河流域水污染物排放标准》。</w:t>
                  </w:r>
                  <w:r>
                    <w:rPr>
                      <w:rFonts w:hint="eastAsia" w:ascii="Times New Roman" w:hAnsi="Times New Roman" w:cs="Times New Roman"/>
                      <w:color w:val="auto"/>
                      <w:szCs w:val="21"/>
                      <w:highlight w:val="none"/>
                      <w:lang w:val="en-US" w:eastAsia="zh-CN"/>
                    </w:rPr>
                    <w:t>技改项目新增</w:t>
                  </w:r>
                  <w:r>
                    <w:rPr>
                      <w:rFonts w:hint="eastAsia" w:cs="Times New Roman"/>
                      <w:color w:val="auto"/>
                      <w:szCs w:val="21"/>
                      <w:highlight w:val="none"/>
                      <w:lang w:val="en-US" w:eastAsia="zh-CN"/>
                    </w:rPr>
                    <w:t>少量</w:t>
                  </w:r>
                  <w:r>
                    <w:rPr>
                      <w:rFonts w:hint="eastAsia" w:ascii="Times New Roman" w:hAnsi="Times New Roman" w:cs="Times New Roman"/>
                      <w:color w:val="auto"/>
                      <w:szCs w:val="21"/>
                      <w:highlight w:val="none"/>
                      <w:lang w:val="en-US" w:eastAsia="zh-CN"/>
                    </w:rPr>
                    <w:t>废水排放</w:t>
                  </w:r>
                  <w:r>
                    <w:rPr>
                      <w:rFonts w:hint="eastAsia" w:cs="Times New Roman"/>
                      <w:color w:val="auto"/>
                      <w:szCs w:val="21"/>
                      <w:highlight w:val="none"/>
                      <w:lang w:val="en-US" w:eastAsia="zh-CN"/>
                    </w:rPr>
                    <w:t>。</w:t>
                  </w:r>
                </w:p>
                <w:p w14:paraId="3087CA0E">
                  <w:pPr>
                    <w:keepNext w:val="0"/>
                    <w:keepLines w:val="0"/>
                    <w:widowControl/>
                    <w:suppressLineNumbers w:val="0"/>
                    <w:jc w:val="left"/>
                    <w:rPr>
                      <w:rFonts w:hint="eastAsia" w:ascii="Times New Roman" w:hAnsi="Times New Roman" w:eastAsia="宋体" w:cs="Times New Roman"/>
                      <w:color w:val="auto"/>
                      <w:szCs w:val="21"/>
                      <w:highlight w:val="none"/>
                      <w:lang w:val="en-US" w:eastAsia="zh-CN"/>
                    </w:rPr>
                  </w:pPr>
                </w:p>
                <w:p w14:paraId="3B235BB5">
                  <w:pPr>
                    <w:adjustRightInd w:val="0"/>
                    <w:snapToGrid w:val="0"/>
                    <w:jc w:val="left"/>
                    <w:rPr>
                      <w:rFonts w:hint="eastAsia" w:ascii="Times New Roman" w:hAnsi="Times New Roman" w:eastAsia="宋体" w:cs="Times New Roman"/>
                      <w:color w:val="auto"/>
                      <w:szCs w:val="21"/>
                      <w:highlight w:val="none"/>
                      <w:lang w:val="en-US" w:eastAsia="zh-CN"/>
                    </w:rPr>
                  </w:pPr>
                </w:p>
              </w:tc>
              <w:tc>
                <w:tcPr>
                  <w:tcW w:w="409" w:type="pct"/>
                  <w:noWrap w:val="0"/>
                  <w:vAlign w:val="center"/>
                </w:tcPr>
                <w:p w14:paraId="6A61EED9">
                  <w:pPr>
                    <w:adjustRightInd w:val="0"/>
                    <w:snapToGrid w:val="0"/>
                    <w:jc w:val="center"/>
                    <w:rPr>
                      <w:rFonts w:ascii="Times New Roman" w:hAnsi="Times New Roman" w:eastAsia="宋体" w:cs="Times New Roman"/>
                      <w:color w:val="auto"/>
                      <w:szCs w:val="21"/>
                      <w:highlight w:val="none"/>
                      <w:lang w:val="zh-CN" w:bidi="zh-CN"/>
                    </w:rPr>
                  </w:pPr>
                </w:p>
              </w:tc>
            </w:tr>
            <w:tr w14:paraId="34C3E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restart"/>
                  <w:noWrap w:val="0"/>
                  <w:vAlign w:val="center"/>
                </w:tcPr>
                <w:p w14:paraId="41C6DA3F">
                  <w:pPr>
                    <w:adjustRightInd w:val="0"/>
                    <w:snapToGrid w:val="0"/>
                    <w:jc w:val="center"/>
                    <w:rPr>
                      <w:rFonts w:hint="eastAsia" w:ascii="Times New Roman" w:hAnsi="Times New Roman" w:eastAsia="宋体" w:cs="Times New Roman"/>
                      <w:color w:val="auto"/>
                      <w:szCs w:val="21"/>
                      <w:highlight w:val="none"/>
                      <w:lang w:val="zh-CN" w:eastAsia="zh-CN"/>
                    </w:rPr>
                  </w:pPr>
                  <w:r>
                    <w:rPr>
                      <w:rFonts w:hint="eastAsia" w:ascii="Times New Roman" w:hAnsi="Times New Roman" w:eastAsia="宋体" w:cs="Times New Roman"/>
                      <w:color w:val="auto"/>
                      <w:szCs w:val="21"/>
                      <w:highlight w:val="none"/>
                      <w:lang w:val="en-US" w:eastAsia="zh-CN"/>
                    </w:rPr>
                    <w:t>全市大气环境总体准入要求</w:t>
                  </w:r>
                </w:p>
              </w:tc>
              <w:tc>
                <w:tcPr>
                  <w:tcW w:w="640" w:type="pct"/>
                  <w:gridSpan w:val="4"/>
                  <w:noWrap w:val="0"/>
                  <w:vAlign w:val="center"/>
                </w:tcPr>
                <w:p w14:paraId="18889D85">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 xml:space="preserve">空间布局 </w:t>
                  </w:r>
                </w:p>
                <w:p w14:paraId="36323FB6">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约束</w:t>
                  </w:r>
                </w:p>
                <w:p w14:paraId="04A02F05">
                  <w:pPr>
                    <w:adjustRightInd w:val="0"/>
                    <w:snapToGrid w:val="0"/>
                    <w:jc w:val="left"/>
                    <w:rPr>
                      <w:rFonts w:hint="eastAsia" w:ascii="Times New Roman" w:hAnsi="Times New Roman" w:eastAsia="宋体" w:cs="Times New Roman"/>
                      <w:color w:val="auto"/>
                      <w:szCs w:val="21"/>
                      <w:highlight w:val="none"/>
                      <w:lang w:val="zh-CN" w:eastAsia="zh-CN"/>
                    </w:rPr>
                  </w:pPr>
                </w:p>
              </w:tc>
              <w:tc>
                <w:tcPr>
                  <w:tcW w:w="2199" w:type="pct"/>
                  <w:noWrap w:val="0"/>
                  <w:vAlign w:val="center"/>
                </w:tcPr>
                <w:p w14:paraId="38DCBE86">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1、加大钢铁、焦化等行业结构调整力度，推进化工、石化企业治理改造，优先发展</w:t>
                  </w:r>
                  <w:r>
                    <w:rPr>
                      <w:rFonts w:hint="eastAsia" w:cs="Times New Roman"/>
                      <w:color w:val="auto"/>
                      <w:szCs w:val="21"/>
                      <w:highlight w:val="none"/>
                      <w:lang w:val="en-US" w:eastAsia="zh-CN"/>
                    </w:rPr>
                    <w:t>战略性新兴产业</w:t>
                  </w:r>
                  <w:r>
                    <w:rPr>
                      <w:rFonts w:hint="eastAsia" w:ascii="Times New Roman" w:hAnsi="Times New Roman" w:eastAsia="宋体" w:cs="Times New Roman"/>
                      <w:color w:val="auto"/>
                      <w:szCs w:val="21"/>
                      <w:highlight w:val="none"/>
                      <w:lang w:val="en-US" w:eastAsia="zh-CN"/>
                    </w:rPr>
                    <w:t>和先进制造业，坚决遏制高耗能高排放低水平项目盲目发展。2、引导重点行业向环境容量充足、扩散条件较好区域布局。3、大气环境受体敏感重点管控区、大气环境布局敏感重点管控区、大气环境弱扩散重点管控区严格控制高耗能、高排放项目建设。严禁新增钢铁、焦化、水泥、平板玻璃、电解铝等产能。</w:t>
                  </w:r>
                </w:p>
                <w:p w14:paraId="2099AB82">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4、大气环境受体敏感重点管控区中重点涉气行业企业，除必须依托城市或直接服务于城市的企业外，均应规划退城搬迁。5、大气环境弱扩散重点管控区内严格控制新建、扩建燃煤火电、钢铁，以及除国家、省、市规划外的石化等 高污染高排放项目。6、对热效率低下、敞开未封闭，装备简易落后、自动化程度低，布局分散、规模小、无组织排放突出，以及无治理设施或治理设施工艺落后的工业炉窑，依法责令停业关闭。7、全市禁止新建 35 蒸吨/小时及以下燃煤锅炉，35 蒸吨/小时以上燃煤锅炉要达到超低排放标准。城市主城区和县城禁止新建 35 蒸吨/小时及以下生物质和燃油（醇基燃料）锅炉，35 蒸吨/小时以上的燃油和生物质锅炉要 达到超低排放标准。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442" w:type="pct"/>
                  <w:noWrap w:val="0"/>
                  <w:vAlign w:val="center"/>
                </w:tcPr>
                <w:p w14:paraId="4FA8A286">
                  <w:pPr>
                    <w:numPr>
                      <w:ilvl w:val="0"/>
                      <w:numId w:val="5"/>
                    </w:num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不涉及</w:t>
                  </w:r>
                </w:p>
                <w:p w14:paraId="4D8EA4B5">
                  <w:pPr>
                    <w:numPr>
                      <w:ilvl w:val="0"/>
                      <w:numId w:val="5"/>
                    </w:numPr>
                    <w:ind w:left="0" w:leftChars="0" w:firstLine="0" w:firstLineChars="0"/>
                    <w:rPr>
                      <w:rFonts w:hint="eastAsia" w:ascii="Times New Roman" w:hAnsi="Times New Roman" w:eastAsia="宋体" w:cs="Times New Roman"/>
                      <w:color w:val="auto"/>
                      <w:szCs w:val="21"/>
                      <w:highlight w:val="none"/>
                      <w:lang w:bidi="zh-CN"/>
                    </w:rPr>
                  </w:pPr>
                  <w:r>
                    <w:rPr>
                      <w:rFonts w:hint="eastAsia" w:ascii="Times New Roman" w:hAnsi="Times New Roman" w:eastAsia="宋体" w:cs="Times New Roman"/>
                      <w:color w:val="auto"/>
                      <w:szCs w:val="21"/>
                      <w:highlight w:val="none"/>
                      <w:lang w:val="zh-CN" w:bidi="zh-CN"/>
                    </w:rPr>
                    <w:t>技改项目</w:t>
                  </w:r>
                  <w:r>
                    <w:rPr>
                      <w:rFonts w:hint="eastAsia" w:cs="Times New Roman"/>
                      <w:color w:val="auto"/>
                      <w:szCs w:val="21"/>
                      <w:highlight w:val="none"/>
                      <w:lang w:val="en-US" w:bidi="zh-CN"/>
                    </w:rPr>
                    <w:t>无废气排放</w:t>
                  </w:r>
                  <w:r>
                    <w:rPr>
                      <w:rFonts w:hint="eastAsia" w:ascii="Times New Roman" w:hAnsi="Times New Roman" w:eastAsia="宋体" w:cs="Times New Roman"/>
                      <w:color w:val="auto"/>
                      <w:szCs w:val="21"/>
                      <w:highlight w:val="none"/>
                      <w:lang w:bidi="zh-CN"/>
                    </w:rPr>
                    <w:t>。</w:t>
                  </w:r>
                </w:p>
                <w:p w14:paraId="5D0F5709">
                  <w:pPr>
                    <w:numPr>
                      <w:ilvl w:val="0"/>
                      <w:numId w:val="5"/>
                    </w:numPr>
                    <w:ind w:left="0" w:leftChars="0" w:firstLine="0" w:firstLineChars="0"/>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不涉及；</w:t>
                  </w:r>
                </w:p>
                <w:p w14:paraId="4605AD3B">
                  <w:pPr>
                    <w:numPr>
                      <w:ilvl w:val="0"/>
                      <w:numId w:val="5"/>
                    </w:numPr>
                    <w:ind w:left="0" w:leftChars="0" w:firstLine="0" w:firstLineChars="0"/>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不涉及；</w:t>
                  </w:r>
                </w:p>
                <w:p w14:paraId="43DE89EE">
                  <w:pPr>
                    <w:numPr>
                      <w:ilvl w:val="0"/>
                      <w:numId w:val="5"/>
                    </w:numPr>
                    <w:ind w:left="0" w:leftChars="0" w:firstLine="0" w:firstLineChars="0"/>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技改项目位于</w:t>
                  </w:r>
                  <w:r>
                    <w:rPr>
                      <w:rFonts w:hint="eastAsia" w:ascii="Times New Roman" w:hAnsi="Times New Roman" w:eastAsia="宋体" w:cs="Times New Roman"/>
                      <w:color w:val="auto"/>
                      <w:szCs w:val="21"/>
                      <w:highlight w:val="none"/>
                      <w:lang w:val="zh-CN" w:bidi="zh-CN"/>
                    </w:rPr>
                    <w:t>河北行唐经济开发区，不属于城市区域；</w:t>
                  </w:r>
                </w:p>
                <w:p w14:paraId="3EDB2B7E">
                  <w:pPr>
                    <w:numPr>
                      <w:ilvl w:val="0"/>
                      <w:numId w:val="5"/>
                    </w:numPr>
                    <w:ind w:left="0" w:leftChars="0" w:firstLine="0" w:firstLineChars="0"/>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技改项目属于“三十、金属制品业 68 铸造及其他金属制品制造339其他”，不属于新建、扩建燃煤燃油火电、钢铁，以及除国家、省、市规划外的石化等高污染排放项目；</w:t>
                  </w:r>
                </w:p>
                <w:p w14:paraId="7E9224CD">
                  <w:pPr>
                    <w:numPr>
                      <w:ilvl w:val="0"/>
                      <w:numId w:val="5"/>
                    </w:numPr>
                    <w:ind w:left="0" w:leftChars="0" w:firstLine="0" w:firstLineChars="0"/>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技改项目属于“三十、金属制品业 68 铸造及其他金属制品制造339  其他”，不属于水泥、钢铁、焦化、碳素行业；</w:t>
                  </w:r>
                </w:p>
                <w:p w14:paraId="1E8669AC">
                  <w:pPr>
                    <w:numPr>
                      <w:ilvl w:val="0"/>
                      <w:numId w:val="5"/>
                    </w:numPr>
                    <w:ind w:left="0" w:leftChars="0" w:firstLine="0" w:firstLineChars="0"/>
                    <w:rPr>
                      <w:rFonts w:hint="eastAsia"/>
                      <w:color w:val="auto"/>
                      <w:highlight w:val="none"/>
                      <w:lang w:val="zh-CN"/>
                    </w:rPr>
                  </w:pPr>
                  <w:r>
                    <w:rPr>
                      <w:rFonts w:hint="eastAsia" w:ascii="Times New Roman" w:hAnsi="Times New Roman" w:eastAsia="宋体" w:cs="Times New Roman"/>
                      <w:color w:val="auto"/>
                      <w:szCs w:val="21"/>
                      <w:highlight w:val="none"/>
                      <w:lang w:val="en-US" w:eastAsia="zh-CN"/>
                    </w:rPr>
                    <w:t>不涉及；</w:t>
                  </w:r>
                </w:p>
                <w:p w14:paraId="4BEC401F">
                  <w:pPr>
                    <w:adjustRightInd w:val="0"/>
                    <w:snapToGrid w:val="0"/>
                    <w:jc w:val="left"/>
                    <w:rPr>
                      <w:rFonts w:hint="default" w:ascii="Times New Roman" w:hAnsi="Times New Roman" w:eastAsia="宋体" w:cs="Times New Roman"/>
                      <w:color w:val="auto"/>
                      <w:szCs w:val="21"/>
                      <w:highlight w:val="none"/>
                      <w:lang w:val="en-US" w:eastAsia="zh-CN"/>
                    </w:rPr>
                  </w:pPr>
                </w:p>
              </w:tc>
              <w:tc>
                <w:tcPr>
                  <w:tcW w:w="409" w:type="pct"/>
                  <w:noWrap w:val="0"/>
                  <w:vAlign w:val="center"/>
                </w:tcPr>
                <w:p w14:paraId="6BE5EB4E">
                  <w:pPr>
                    <w:pStyle w:val="34"/>
                    <w:rPr>
                      <w:color w:val="auto"/>
                      <w:highlight w:val="none"/>
                      <w:lang w:val="zh-CN"/>
                    </w:rPr>
                  </w:pPr>
                </w:p>
              </w:tc>
            </w:tr>
            <w:tr w14:paraId="17626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0B534B61">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54B18AE3">
                  <w:pPr>
                    <w:adjustRightInd w:val="0"/>
                    <w:snapToGrid w:val="0"/>
                    <w:jc w:val="left"/>
                    <w:rPr>
                      <w:rFonts w:hint="eastAsia" w:ascii="Times New Roman" w:hAnsi="Times New Roman" w:eastAsia="宋体" w:cs="Times New Roman"/>
                      <w:color w:val="auto"/>
                      <w:kern w:val="2"/>
                      <w:sz w:val="21"/>
                      <w:szCs w:val="21"/>
                      <w:highlight w:val="none"/>
                      <w:lang w:val="zh-CN" w:eastAsia="zh-CN" w:bidi="ar-SA"/>
                    </w:rPr>
                  </w:pPr>
                  <w:r>
                    <w:rPr>
                      <w:rFonts w:hint="eastAsia" w:ascii="Times New Roman" w:hAnsi="Times New Roman" w:eastAsia="宋体" w:cs="Times New Roman"/>
                      <w:color w:val="auto"/>
                      <w:kern w:val="2"/>
                      <w:sz w:val="21"/>
                      <w:szCs w:val="21"/>
                      <w:highlight w:val="none"/>
                      <w:lang w:val="zh-CN" w:eastAsia="zh-CN" w:bidi="ar-SA"/>
                    </w:rPr>
                    <w:t>污染物排放管控</w:t>
                  </w:r>
                </w:p>
              </w:tc>
              <w:tc>
                <w:tcPr>
                  <w:tcW w:w="2199" w:type="pct"/>
                  <w:noWrap w:val="0"/>
                  <w:vAlign w:val="center"/>
                </w:tcPr>
                <w:p w14:paraId="34FCEFCD">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1、严格区域削减要求。严格执行《生态环境部办公厅关于加强重点行业建设项目区域削减措施监督管理的通知》（环办环评〔2020〕36 号）相关要求。</w:t>
                  </w:r>
                </w:p>
                <w:p w14:paraId="6331A10D">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2、对保留的工业炉窑开展环保提标改造，配套建设高效脱硫脱硝除尘设施，确保稳定达标排放，按照 《河北省工业炉窑综合治理实施方案》执行。</w:t>
                  </w:r>
                </w:p>
                <w:p w14:paraId="2203B4DA">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3、按照《低挥发性有机化合物含量涂料产品技术要求》(GB/T38597-2020)，开展低挥发性有机物含量涂料推广替代试点工作，加快推进党政机关单位定点印刷企业率先使用水性油墨、大豆油墨等低挥发性有机物含量油墨和胶粘剂。</w:t>
                  </w:r>
                </w:p>
                <w:p w14:paraId="676F213C">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 xml:space="preserve">4、加强无组织排放治理，开展钢铁、水泥、燃煤电厂、焦化平板玻璃、陶瓷等行业重点行业无组织排放检查工作，物料存储运输等全部采用密闭或封闭形式。 </w:t>
                  </w:r>
                </w:p>
                <w:p w14:paraId="0B5EB895">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 xml:space="preserve">5、加快推进铁路专用线建设，大宗货物及产品年货运量 150 万吨以上的企业原则上全部修建铁路专用线，达不到的采用清洁能源汽车或国六排放标准汽车代替。 </w:t>
                  </w:r>
                </w:p>
                <w:p w14:paraId="4A4A2F93">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 xml:space="preserve">6、深化建筑施工扬尘专项整治，严格执行《石家庄市建设工程围挡设置和扬尘管理标准》加强道路扬尘综合整治。全市工业企业料堆场全部实现规范管理；对环境敏感区的煤场、料场、渣场实现在线监控和视频监控全覆盖。 </w:t>
                  </w:r>
                </w:p>
                <w:p w14:paraId="0A4EF28A">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7、严禁秸秆、垃圾露天焚烧，实施农村地区的散煤替代及清洁开发利用工程。8、巩固钢铁、焦化、煤电、水泥、平板玻璃、陶瓷等行业超低排放成效，实施工艺全流程深度治理，全面加强无组织排放管控。</w:t>
                  </w:r>
                </w:p>
                <w:p w14:paraId="2E6E1B19">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9、对以煤、石油焦、重油等为燃料的工业炉窑，加快使用清洁低碳能源以及利用工厂余热、电厂热力等进行替代，全市禁止掺烧高硫石油焦（硫含量大于3%）。玻璃行业全面禁止掺烧高硫石油焦</w:t>
                  </w:r>
                  <w:r>
                    <w:rPr>
                      <w:rFonts w:hint="default" w:ascii="Times New Roman" w:hAnsi="Times New Roman" w:eastAsia="宋体" w:cs="Times New Roman"/>
                      <w:color w:val="auto"/>
                      <w:szCs w:val="21"/>
                      <w:highlight w:val="none"/>
                      <w:lang w:val="en-US" w:eastAsia="zh-CN"/>
                    </w:rPr>
                    <w:t>。</w:t>
                  </w:r>
                </w:p>
              </w:tc>
              <w:tc>
                <w:tcPr>
                  <w:tcW w:w="1442" w:type="pct"/>
                  <w:noWrap w:val="0"/>
                  <w:vAlign w:val="center"/>
                </w:tcPr>
                <w:p w14:paraId="6C554ED6">
                  <w:pPr>
                    <w:numPr>
                      <w:ilvl w:val="0"/>
                      <w:numId w:val="0"/>
                    </w:numPr>
                    <w:adjustRightInd w:val="0"/>
                    <w:snapToGrid w:val="0"/>
                    <w:jc w:val="left"/>
                    <w:rPr>
                      <w:rFonts w:hint="default" w:ascii="Times New Roman" w:hAnsi="Times New Roman" w:eastAsia="宋体" w:cs="Times New Roman"/>
                      <w:color w:val="0070C0"/>
                      <w:szCs w:val="21"/>
                      <w:highlight w:val="none"/>
                      <w:lang w:val="en-US" w:eastAsia="zh-CN"/>
                    </w:rPr>
                  </w:pPr>
                  <w:r>
                    <w:rPr>
                      <w:rFonts w:hint="eastAsia" w:cs="Times New Roman"/>
                      <w:color w:val="000000" w:themeColor="text1"/>
                      <w:kern w:val="0"/>
                      <w:sz w:val="21"/>
                      <w:szCs w:val="21"/>
                      <w:highlight w:val="none"/>
                      <w:lang w:val="en-US" w:eastAsia="zh-CN" w:bidi="ar"/>
                      <w14:textFill>
                        <w14:solidFill>
                          <w14:schemeClr w14:val="tx1"/>
                        </w14:solidFill>
                      </w14:textFill>
                    </w:rPr>
                    <w:t>1-9项技改项目不涉及</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w:t>
                  </w:r>
                </w:p>
                <w:p w14:paraId="2D75826E">
                  <w:pPr>
                    <w:numPr>
                      <w:ilvl w:val="0"/>
                      <w:numId w:val="0"/>
                    </w:numPr>
                    <w:adjustRightInd w:val="0"/>
                    <w:snapToGrid w:val="0"/>
                    <w:jc w:val="left"/>
                    <w:rPr>
                      <w:rFonts w:hint="default" w:ascii="Times New Roman" w:hAnsi="Times New Roman" w:eastAsia="宋体" w:cs="Times New Roman"/>
                      <w:color w:val="auto"/>
                      <w:szCs w:val="21"/>
                      <w:highlight w:val="none"/>
                      <w:lang w:val="en-US" w:eastAsia="zh-CN"/>
                    </w:rPr>
                  </w:pPr>
                </w:p>
              </w:tc>
              <w:tc>
                <w:tcPr>
                  <w:tcW w:w="409" w:type="pct"/>
                  <w:noWrap w:val="0"/>
                  <w:vAlign w:val="center"/>
                </w:tcPr>
                <w:p w14:paraId="5193E2AD">
                  <w:pPr>
                    <w:adjustRightInd w:val="0"/>
                    <w:snapToGrid w:val="0"/>
                    <w:jc w:val="center"/>
                    <w:rPr>
                      <w:rFonts w:ascii="Times New Roman" w:hAnsi="Times New Roman" w:eastAsia="宋体" w:cs="Times New Roman"/>
                      <w:color w:val="auto"/>
                      <w:szCs w:val="21"/>
                      <w:highlight w:val="none"/>
                      <w:lang w:val="zh-CN" w:bidi="zh-CN"/>
                    </w:rPr>
                  </w:pPr>
                </w:p>
              </w:tc>
            </w:tr>
            <w:tr w14:paraId="07A19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vMerge w:val="continue"/>
                  <w:noWrap w:val="0"/>
                  <w:vAlign w:val="center"/>
                </w:tcPr>
                <w:p w14:paraId="6D417FA5">
                  <w:pPr>
                    <w:adjustRightInd w:val="0"/>
                    <w:snapToGrid w:val="0"/>
                    <w:jc w:val="center"/>
                    <w:rPr>
                      <w:rFonts w:ascii="Times New Roman" w:hAnsi="Times New Roman" w:eastAsia="宋体" w:cs="Times New Roman"/>
                      <w:color w:val="auto"/>
                      <w:szCs w:val="21"/>
                      <w:highlight w:val="none"/>
                      <w:lang w:val="zh-CN" w:bidi="zh-CN"/>
                    </w:rPr>
                  </w:pPr>
                </w:p>
              </w:tc>
              <w:tc>
                <w:tcPr>
                  <w:tcW w:w="640" w:type="pct"/>
                  <w:gridSpan w:val="4"/>
                  <w:noWrap w:val="0"/>
                  <w:vAlign w:val="center"/>
                </w:tcPr>
                <w:p w14:paraId="59C83087">
                  <w:pPr>
                    <w:keepNext w:val="0"/>
                    <w:keepLines w:val="0"/>
                    <w:widowControl/>
                    <w:suppressLineNumbers w:val="0"/>
                    <w:jc w:val="left"/>
                    <w:rPr>
                      <w:color w:val="auto"/>
                      <w:highlight w:val="none"/>
                    </w:rPr>
                  </w:pPr>
                  <w:r>
                    <w:rPr>
                      <w:rFonts w:hint="eastAsia" w:ascii="Times New Roman" w:hAnsi="Times New Roman" w:eastAsia="宋体" w:cs="Times New Roman"/>
                      <w:color w:val="auto"/>
                      <w:kern w:val="0"/>
                      <w:sz w:val="21"/>
                      <w:szCs w:val="21"/>
                      <w:highlight w:val="none"/>
                      <w:lang w:val="en-US" w:eastAsia="zh-CN" w:bidi="ar"/>
                    </w:rPr>
                    <w:t>环境风险防控</w:t>
                  </w:r>
                </w:p>
                <w:p w14:paraId="2214E132">
                  <w:pPr>
                    <w:adjustRightInd w:val="0"/>
                    <w:snapToGrid w:val="0"/>
                    <w:jc w:val="left"/>
                    <w:rPr>
                      <w:rFonts w:hint="eastAsia" w:ascii="Times New Roman" w:hAnsi="Times New Roman" w:eastAsia="宋体" w:cs="Times New Roman"/>
                      <w:color w:val="auto"/>
                      <w:kern w:val="2"/>
                      <w:sz w:val="21"/>
                      <w:szCs w:val="21"/>
                      <w:highlight w:val="none"/>
                      <w:lang w:val="zh-CN" w:eastAsia="zh-CN" w:bidi="ar-SA"/>
                    </w:rPr>
                  </w:pPr>
                </w:p>
              </w:tc>
              <w:tc>
                <w:tcPr>
                  <w:tcW w:w="2199" w:type="pct"/>
                  <w:noWrap w:val="0"/>
                  <w:vAlign w:val="center"/>
                </w:tcPr>
                <w:p w14:paraId="6EB6B2EA">
                  <w:pPr>
                    <w:keepNext w:val="0"/>
                    <w:keepLines w:val="0"/>
                    <w:widowControl/>
                    <w:suppressLineNumbers w:val="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442" w:type="pct"/>
                  <w:noWrap w:val="0"/>
                  <w:vAlign w:val="center"/>
                </w:tcPr>
                <w:p w14:paraId="472F4C98">
                  <w:pPr>
                    <w:adjustRightInd w:val="0"/>
                    <w:snapToGrid w:val="0"/>
                    <w:jc w:val="left"/>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不属于</w:t>
                  </w:r>
                  <w:r>
                    <w:rPr>
                      <w:rFonts w:hint="eastAsia" w:ascii="Times New Roman" w:hAnsi="Times New Roman" w:eastAsia="宋体" w:cs="Times New Roman"/>
                      <w:color w:val="auto"/>
                      <w:kern w:val="0"/>
                      <w:sz w:val="21"/>
                      <w:szCs w:val="21"/>
                      <w:highlight w:val="none"/>
                      <w:lang w:val="en-US" w:eastAsia="zh-CN" w:bidi="ar"/>
                    </w:rPr>
                    <w:t>国家重点管控新污染物清单及其禁止、限制、限排措施，不属于石油化工、涂料、纺织印染、橡胶、农药、医药等行业。</w:t>
                  </w:r>
                </w:p>
              </w:tc>
              <w:tc>
                <w:tcPr>
                  <w:tcW w:w="409" w:type="pct"/>
                  <w:noWrap w:val="0"/>
                  <w:vAlign w:val="center"/>
                </w:tcPr>
                <w:p w14:paraId="65342F50">
                  <w:pPr>
                    <w:adjustRightInd w:val="0"/>
                    <w:snapToGrid w:val="0"/>
                    <w:jc w:val="center"/>
                    <w:rPr>
                      <w:rFonts w:ascii="Times New Roman" w:hAnsi="Times New Roman" w:eastAsia="宋体" w:cs="Times New Roman"/>
                      <w:color w:val="auto"/>
                      <w:szCs w:val="21"/>
                      <w:highlight w:val="none"/>
                      <w:lang w:val="zh-CN" w:bidi="zh-CN"/>
                    </w:rPr>
                  </w:pPr>
                </w:p>
              </w:tc>
            </w:tr>
            <w:tr w14:paraId="08581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9" w:hRule="atLeast"/>
                <w:jc w:val="center"/>
              </w:trPr>
              <w:tc>
                <w:tcPr>
                  <w:tcW w:w="307" w:type="pct"/>
                  <w:noWrap w:val="0"/>
                  <w:vAlign w:val="center"/>
                </w:tcPr>
                <w:p w14:paraId="5F8A270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全市</w:t>
                  </w:r>
                  <w:r>
                    <w:rPr>
                      <w:rFonts w:hint="eastAsia" w:ascii="Times New Roman" w:hAnsi="Times New Roman" w:eastAsia="宋体" w:cs="Times New Roman"/>
                      <w:color w:val="auto"/>
                      <w:kern w:val="0"/>
                      <w:sz w:val="21"/>
                      <w:szCs w:val="21"/>
                      <w:highlight w:val="none"/>
                      <w:lang w:val="en-US" w:eastAsia="zh-CN" w:bidi="ar"/>
                    </w:rPr>
                    <w:t>土壤环境总体管控要求</w:t>
                  </w:r>
                </w:p>
                <w:p w14:paraId="39271398">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640" w:type="pct"/>
                  <w:gridSpan w:val="4"/>
                  <w:noWrap w:val="0"/>
                  <w:vAlign w:val="center"/>
                </w:tcPr>
                <w:p w14:paraId="6C755DAD">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建设用地风险管控和修复</w:t>
                  </w:r>
                </w:p>
                <w:p w14:paraId="6306705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05ACA44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1、依法推进建设用地土壤污染状况调查评估。以用途变更为“一住两公”地块，以及腾退工矿企业用地为重点，依法开展土壤污染状况调查和风险评估。 </w:t>
                  </w:r>
                </w:p>
                <w:p w14:paraId="4EF0C8B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2、对土壤污染状况调查报告评审表明污染物含量超过土壤污染风险管控标准的建设用地地块，土壤污染责任人、土地使用权人应当按照国务院生态环境主管部门的规定进行土壤污染风险评估。 </w:t>
                  </w:r>
                </w:p>
                <w:p w14:paraId="30A3BEC4">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3、对建设用地土壤污染风险管控和修复名录中需要实施修复的地块，土壤污染责任人应当结合土地利用总体规划和城乡规划编制修复方案，报地方人民政府生态环境主管部门备案并实施。 </w:t>
                  </w:r>
                </w:p>
                <w:p w14:paraId="3A00C251">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4、风险管控、修复活动完成后，需要实施后期管理的，土壤污染责任人应当按照要求实施后期管理。 </w:t>
                  </w:r>
                </w:p>
                <w:p w14:paraId="08114A74">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5、各县（市、区）在编制国土空间等相关规划时，充分考虑建设用地土壤污染环境风险，合理确定土地用途。 </w:t>
                  </w:r>
                </w:p>
                <w:p w14:paraId="12EAA472">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6、严格落实建设用地土壤污染风险管控和修复名录制度。未达到土壤污染风险评估报告确定的风险管控、修复目标的地块，不得开工建设与风险管控和修复无关的项目。</w:t>
                  </w:r>
                </w:p>
              </w:tc>
              <w:tc>
                <w:tcPr>
                  <w:tcW w:w="1442" w:type="pct"/>
                  <w:noWrap w:val="0"/>
                  <w:vAlign w:val="center"/>
                </w:tcPr>
                <w:p w14:paraId="05B5592B">
                  <w:pPr>
                    <w:adjustRightInd w:val="0"/>
                    <w:snapToGrid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w:t>
                  </w:r>
                  <w:r>
                    <w:rPr>
                      <w:rFonts w:hint="eastAsia" w:cs="Times New Roman"/>
                      <w:color w:val="auto"/>
                      <w:kern w:val="0"/>
                      <w:sz w:val="21"/>
                      <w:szCs w:val="21"/>
                      <w:highlight w:val="none"/>
                      <w:lang w:val="en-US" w:eastAsia="zh-CN" w:bidi="ar"/>
                    </w:rPr>
                    <w:t>-6</w:t>
                  </w:r>
                  <w:r>
                    <w:rPr>
                      <w:rFonts w:hint="eastAsia" w:ascii="Times New Roman" w:hAnsi="Times New Roman" w:eastAsia="宋体" w:cs="Times New Roman"/>
                      <w:color w:val="auto"/>
                      <w:kern w:val="0"/>
                      <w:sz w:val="21"/>
                      <w:szCs w:val="21"/>
                      <w:highlight w:val="none"/>
                      <w:lang w:val="en-US" w:eastAsia="zh-CN" w:bidi="ar"/>
                    </w:rPr>
                    <w:t>、不涉及；</w:t>
                  </w:r>
                </w:p>
                <w:p w14:paraId="406903B9">
                  <w:pPr>
                    <w:adjustRightInd w:val="0"/>
                    <w:snapToGrid w:val="0"/>
                    <w:jc w:val="left"/>
                    <w:rPr>
                      <w:rFonts w:hint="default"/>
                      <w:color w:val="auto"/>
                      <w:highlight w:val="none"/>
                      <w:lang w:val="en-US" w:eastAsia="zh-CN"/>
                    </w:rPr>
                  </w:pPr>
                </w:p>
              </w:tc>
              <w:tc>
                <w:tcPr>
                  <w:tcW w:w="409" w:type="pct"/>
                  <w:noWrap w:val="0"/>
                  <w:vAlign w:val="center"/>
                </w:tcPr>
                <w:p w14:paraId="3E6F19D1">
                  <w:pPr>
                    <w:adjustRightInd w:val="0"/>
                    <w:snapToGrid w:val="0"/>
                    <w:jc w:val="center"/>
                    <w:rPr>
                      <w:rFonts w:hint="eastAsia"/>
                      <w:color w:val="auto"/>
                      <w:highlight w:val="none"/>
                      <w:lang w:val="en-US"/>
                    </w:rPr>
                  </w:pPr>
                  <w:r>
                    <w:rPr>
                      <w:rFonts w:hint="eastAsia"/>
                      <w:color w:val="auto"/>
                      <w:highlight w:val="none"/>
                      <w:lang w:val="en-US"/>
                    </w:rPr>
                    <w:t>符合</w:t>
                  </w:r>
                </w:p>
                <w:p w14:paraId="002E2C1D">
                  <w:pPr>
                    <w:pStyle w:val="34"/>
                    <w:rPr>
                      <w:rFonts w:hint="default"/>
                      <w:color w:val="auto"/>
                      <w:highlight w:val="none"/>
                      <w:lang w:val="en-US"/>
                    </w:rPr>
                  </w:pPr>
                </w:p>
              </w:tc>
            </w:tr>
            <w:tr w14:paraId="04EA8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0" w:hRule="atLeast"/>
                <w:jc w:val="center"/>
              </w:trPr>
              <w:tc>
                <w:tcPr>
                  <w:tcW w:w="307" w:type="pct"/>
                  <w:vMerge w:val="restart"/>
                  <w:noWrap w:val="0"/>
                  <w:vAlign w:val="center"/>
                </w:tcPr>
                <w:p w14:paraId="58254E9E">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en-US" w:eastAsia="zh-CN" w:bidi="ar"/>
                    </w:rPr>
                    <w:t>全市自然资源总体管控要求</w:t>
                  </w:r>
                </w:p>
              </w:tc>
              <w:tc>
                <w:tcPr>
                  <w:tcW w:w="218" w:type="pct"/>
                  <w:vMerge w:val="restart"/>
                  <w:noWrap w:val="0"/>
                  <w:vAlign w:val="center"/>
                </w:tcPr>
                <w:p w14:paraId="43DD2AF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水资源</w:t>
                  </w:r>
                </w:p>
                <w:p w14:paraId="1F5FD05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422" w:type="pct"/>
                  <w:gridSpan w:val="3"/>
                  <w:noWrap w:val="0"/>
                  <w:vAlign w:val="center"/>
                </w:tcPr>
                <w:p w14:paraId="5B209BE5">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zh-CN" w:eastAsia="zh-CN" w:bidi="ar"/>
                    </w:rPr>
                    <w:t>水资源：一般管控区</w:t>
                  </w:r>
                </w:p>
              </w:tc>
              <w:tc>
                <w:tcPr>
                  <w:tcW w:w="2199" w:type="pct"/>
                  <w:noWrap w:val="0"/>
                  <w:vAlign w:val="center"/>
                </w:tcPr>
                <w:p w14:paraId="3A3D7B69">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1、严格执行“最严格水资源管理制度”确定的用水总量控制指标，加强水资源取水论证，严格水资源总量考核管理，同时全面推进节水型社会建设，提高用水效率。</w:t>
                  </w:r>
                </w:p>
                <w:p w14:paraId="0BBCBB9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地下水开采重点管控区外的地下水超采区按照《华北地区地下水超采综合治理行动方案》、《河北省人民政府关于公布地下水超采区和禁止开采区、限制开采区范围的通知》及《关于地下水超采综合治理实施意见》进行管控。</w:t>
                  </w:r>
                </w:p>
              </w:tc>
              <w:tc>
                <w:tcPr>
                  <w:tcW w:w="1442" w:type="pct"/>
                  <w:noWrap w:val="0"/>
                  <w:vAlign w:val="center"/>
                </w:tcPr>
                <w:p w14:paraId="2D3939CF">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项技改项目使用园区管网供水，不开凿新的取水井。</w:t>
                  </w:r>
                </w:p>
              </w:tc>
              <w:tc>
                <w:tcPr>
                  <w:tcW w:w="409" w:type="pct"/>
                  <w:noWrap w:val="0"/>
                  <w:vAlign w:val="center"/>
                </w:tcPr>
                <w:p w14:paraId="7A493764">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5B0DB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0" w:hRule="atLeast"/>
                <w:jc w:val="center"/>
              </w:trPr>
              <w:tc>
                <w:tcPr>
                  <w:tcW w:w="307" w:type="pct"/>
                  <w:vMerge w:val="continue"/>
                  <w:noWrap w:val="0"/>
                  <w:vAlign w:val="center"/>
                </w:tcPr>
                <w:p w14:paraId="24383F8E">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8" w:type="pct"/>
                  <w:vMerge w:val="continue"/>
                  <w:noWrap w:val="0"/>
                  <w:vAlign w:val="center"/>
                </w:tcPr>
                <w:p w14:paraId="7C005BA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422" w:type="pct"/>
                  <w:gridSpan w:val="3"/>
                  <w:noWrap w:val="0"/>
                  <w:vAlign w:val="center"/>
                </w:tcPr>
                <w:p w14:paraId="03383575">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能源：一般管控区</w:t>
                  </w:r>
                </w:p>
                <w:p w14:paraId="74BAAD59">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53756555">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强化能源消费约束，严格实施能源消费总量和强度“双控”。从工艺技术、主要用能设备、节能措施等方面切实加强项目单耗先进性审查，新建高能耗项目单位产品(产值)能耗达到国际先进水平，用能设备达到国家一级能效标准。2、以工业、建筑和交通运输领域为重点，深入推进技术节能和管理节能。推进农业和农村节能，强化商用和民用节能，实施公共机构节能。完善节能措施引导，完善峰谷电价、阶梯气价等价格政策等。3、控制煤炭消费总量，加快产业结构向高新高端产业转变，推进钢铁、水泥等重点行业去产能。大力实施散煤替代。4、深入推进煤炭清洁高效利用，扩大清洁能源利用。加强煤炭质量监管，严格落实省、市燃煤质量标准，全市禁止生产、销售灰分劣质煤。严厉打击销售使用劣质煤行为。燃煤发电企业使用的煤炭要符合河北省《工业和民用燃料煤》标准。</w:t>
                  </w:r>
                </w:p>
              </w:tc>
              <w:tc>
                <w:tcPr>
                  <w:tcW w:w="1442" w:type="pct"/>
                  <w:noWrap w:val="0"/>
                  <w:vAlign w:val="center"/>
                </w:tcPr>
                <w:p w14:paraId="727C1E4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项目生产使用电加热，项目不涉及高污染燃料。</w:t>
                  </w:r>
                </w:p>
              </w:tc>
              <w:tc>
                <w:tcPr>
                  <w:tcW w:w="409" w:type="pct"/>
                  <w:noWrap w:val="0"/>
                  <w:vAlign w:val="center"/>
                </w:tcPr>
                <w:p w14:paraId="6214E8E4">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7B123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64" w:hRule="atLeast"/>
                <w:jc w:val="center"/>
              </w:trPr>
              <w:tc>
                <w:tcPr>
                  <w:tcW w:w="307" w:type="pct"/>
                  <w:vMerge w:val="restart"/>
                  <w:noWrap w:val="0"/>
                  <w:vAlign w:val="center"/>
                </w:tcPr>
                <w:p w14:paraId="648D1CAA">
                  <w:pPr>
                    <w:keepNext w:val="0"/>
                    <w:keepLines w:val="0"/>
                    <w:widowControl/>
                    <w:suppressLineNumbers w:val="0"/>
                    <w:jc w:val="left"/>
                    <w:rPr>
                      <w:color w:val="auto"/>
                      <w:highlight w:val="none"/>
                    </w:rPr>
                  </w:pPr>
                  <w:r>
                    <w:rPr>
                      <w:rFonts w:hint="eastAsia" w:cs="Times New Roman"/>
                      <w:color w:val="auto"/>
                      <w:kern w:val="0"/>
                      <w:sz w:val="21"/>
                      <w:szCs w:val="21"/>
                      <w:highlight w:val="none"/>
                      <w:lang w:val="en-US" w:eastAsia="zh-CN" w:bidi="ar"/>
                    </w:rPr>
                    <w:t>全市</w:t>
                  </w:r>
                  <w:r>
                    <w:rPr>
                      <w:rFonts w:hint="eastAsia" w:ascii="Times New Roman" w:hAnsi="Times New Roman" w:eastAsia="宋体" w:cs="Times New Roman"/>
                      <w:color w:val="auto"/>
                      <w:kern w:val="0"/>
                      <w:sz w:val="21"/>
                      <w:szCs w:val="21"/>
                      <w:highlight w:val="none"/>
                      <w:lang w:val="en-US" w:eastAsia="zh-CN" w:bidi="ar"/>
                    </w:rPr>
                    <w:t>产业布局相关总体管控要求</w:t>
                  </w:r>
                </w:p>
                <w:p w14:paraId="120FF121">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640" w:type="pct"/>
                  <w:gridSpan w:val="4"/>
                  <w:noWrap w:val="0"/>
                  <w:vAlign w:val="center"/>
                </w:tcPr>
                <w:p w14:paraId="1EB47D53">
                  <w:pPr>
                    <w:keepNext w:val="0"/>
                    <w:keepLines w:val="0"/>
                    <w:widowControl/>
                    <w:suppressLineNumbers w:val="0"/>
                    <w:jc w:val="left"/>
                    <w:rPr>
                      <w:color w:val="auto"/>
                      <w:highlight w:val="none"/>
                    </w:rPr>
                  </w:pPr>
                </w:p>
                <w:p w14:paraId="32D83C10">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产业总 </w:t>
                  </w:r>
                </w:p>
                <w:p w14:paraId="52A590F9">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体布局 </w:t>
                  </w:r>
                </w:p>
                <w:p w14:paraId="5CDA3A42">
                  <w:pPr>
                    <w:keepNext w:val="0"/>
                    <w:keepLines w:val="0"/>
                    <w:widowControl/>
                    <w:suppressLineNumbers w:val="0"/>
                    <w:jc w:val="left"/>
                    <w:rPr>
                      <w:color w:val="auto"/>
                      <w:highlight w:val="none"/>
                    </w:rPr>
                  </w:pPr>
                  <w:r>
                    <w:rPr>
                      <w:rFonts w:hint="eastAsia" w:ascii="Times New Roman" w:hAnsi="Times New Roman" w:eastAsia="宋体" w:cs="Times New Roman"/>
                      <w:color w:val="auto"/>
                      <w:kern w:val="0"/>
                      <w:sz w:val="21"/>
                      <w:szCs w:val="21"/>
                      <w:highlight w:val="none"/>
                      <w:lang w:val="en-US" w:eastAsia="zh-CN" w:bidi="ar"/>
                    </w:rPr>
                    <w:t>要求</w:t>
                  </w:r>
                </w:p>
                <w:p w14:paraId="0F6812C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4DB8DB81">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1、严格建设项目环境准入，新、改、扩建项目的环境影响评价应满足区域、规划环评要求。</w:t>
                  </w:r>
                </w:p>
                <w:p w14:paraId="2AE0FC49">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2、新建、改建、扩建用煤项目，应当实行煤炭的等量或者减量替代。</w:t>
                  </w:r>
                </w:p>
                <w:p w14:paraId="20DBDCE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3、严格执行国家《产业结构调整指导目录》、《市场准入负面清单》以及《河北省禁止投资的产业目录》中准入要求。4、严格控制《环境保护综合名录》中“高污染、高环境风险”产品加工项目，城市工业企业退城搬迁改造及产能置换项目除外。5、新建项目一律不得违规占用河库管理范围。</w:t>
                  </w:r>
                </w:p>
                <w:p w14:paraId="2886140D">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6、以石化、化工、涂装、医药、包装印刷、油品储运销等行业领域为重点，安全高效推进挥发性有机物（VOCs）综合治理，实施原辅材料和产品源头替代、无组织排放和末端深度治理等提升改造工程。</w:t>
                  </w:r>
                </w:p>
                <w:p w14:paraId="4537E8B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7、锅炉大气污染物排放控制要求、污染物监测要求、达标判定要求按照河北省地标《锅炉大气污染物排放标准》(DB13/5161-2020）执行。</w:t>
                  </w:r>
                </w:p>
                <w:p w14:paraId="70D37614">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8、禁止在居民区和学校、医院、疗养院、养老院等单位周边新建、改建、扩建有色金属冶炼、石油加工、焦化、化工、电镀、制革等可能造成土壤污染的建设项目。9、在地下水超采区控制高耗水产业发展。10、涉重金属重点行业企业“十四五”期间依法依规至少开展一轮强制性清洁生产审核，到2025 年底，涉重金属重点行业企业基本达到国内清洁生产先进水平。</w:t>
                  </w:r>
                </w:p>
                <w:p w14:paraId="4EF62B9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11、按照《关于进一步加强塑料污染治理的实施方案》要求，石家庄城市建成区和重点领域禁止、限制部分塑料制品的生产、销售和使用。</w:t>
                  </w:r>
                </w:p>
                <w:p w14:paraId="29757CB5">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12、实施制造业绿色改造重点专项，开展制造业绿色发展示范工程，推进生物医药、化工、钢铁等行业工艺技术装备绿色化改造。鼓励企业实施绿色战略、绿色标准、绿色管理和绿色生产，推行“互联网+绿色制造”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w:t>
                  </w:r>
                </w:p>
                <w:p w14:paraId="098E281C">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13、新建、改建、扩建“两高”项目须符合生态环境保护法律法规和相关法定规划，满足重点污染物排放总量控制、碳排放达峰目标、生态环境准入清单、相关规划环评和相应行业建设项目环境准入条件、环评文件审批原则要求。新增主要污染物排放量的“两高”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w:t>
                  </w:r>
                </w:p>
                <w:p w14:paraId="0D0BBA88">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一区多园”的产业园区，应整体开展规划环境影响评价（跟踪评价）工作，实现规划环评“一本制”。</w:t>
                  </w:r>
                </w:p>
              </w:tc>
              <w:tc>
                <w:tcPr>
                  <w:tcW w:w="1442" w:type="pct"/>
                  <w:noWrap w:val="0"/>
                  <w:vAlign w:val="center"/>
                </w:tcPr>
                <w:p w14:paraId="2CB55C59">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1、本项目在现有厂区</w:t>
                  </w:r>
                  <w:r>
                    <w:rPr>
                      <w:rFonts w:hint="eastAsia" w:cs="Times New Roman"/>
                      <w:color w:val="auto"/>
                      <w:kern w:val="0"/>
                      <w:sz w:val="21"/>
                      <w:szCs w:val="21"/>
                      <w:highlight w:val="none"/>
                      <w:lang w:val="en-US" w:eastAsia="zh-CN" w:bidi="ar"/>
                    </w:rPr>
                    <w:t>改造</w:t>
                  </w:r>
                  <w:r>
                    <w:rPr>
                      <w:rFonts w:hint="eastAsia" w:ascii="Times New Roman" w:hAnsi="Times New Roman" w:eastAsia="宋体" w:cs="Times New Roman"/>
                      <w:color w:val="auto"/>
                      <w:kern w:val="0"/>
                      <w:sz w:val="21"/>
                      <w:szCs w:val="21"/>
                      <w:highlight w:val="none"/>
                      <w:lang w:val="en-US" w:eastAsia="zh-CN" w:bidi="ar"/>
                    </w:rPr>
                    <w:t>，</w:t>
                  </w:r>
                  <w:r>
                    <w:rPr>
                      <w:rFonts w:hint="eastAsia" w:cs="Times New Roman"/>
                      <w:color w:val="auto"/>
                      <w:kern w:val="0"/>
                      <w:sz w:val="21"/>
                      <w:szCs w:val="21"/>
                      <w:highlight w:val="none"/>
                      <w:lang w:val="en-US" w:eastAsia="zh-CN" w:bidi="ar"/>
                    </w:rPr>
                    <w:t>属于</w:t>
                  </w:r>
                  <w:r>
                    <w:rPr>
                      <w:rFonts w:hint="eastAsia" w:ascii="Times New Roman" w:hAnsi="Times New Roman" w:eastAsia="宋体" w:cs="Times New Roman"/>
                      <w:color w:val="auto"/>
                      <w:kern w:val="0"/>
                      <w:sz w:val="21"/>
                      <w:szCs w:val="21"/>
                      <w:highlight w:val="none"/>
                      <w:lang w:val="en-US" w:eastAsia="zh-CN" w:bidi="ar"/>
                    </w:rPr>
                    <w:t>工业园区；</w:t>
                  </w:r>
                </w:p>
                <w:p w14:paraId="53FAA7D1">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2、项目不使用煤炭；</w:t>
                  </w:r>
                </w:p>
                <w:p w14:paraId="59A2BF04">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3、本项目不属于《产业结构调整指导目录（2024年本）》中限制、淘汰类项目；不在《市场准入负面清单（2025年版）》（发改体改规〔2025〕466号）负面清单内。</w:t>
                  </w:r>
                </w:p>
                <w:p w14:paraId="2EA62558">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4、不属于《环境保护综合名录》中“高污染、高环境风险”项目；</w:t>
                  </w:r>
                </w:p>
                <w:p w14:paraId="0623001A">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5、本项目不占用河库管理范围；</w:t>
                  </w:r>
                </w:p>
                <w:p w14:paraId="7F8FE6C2">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6、本项目</w:t>
                  </w:r>
                  <w:r>
                    <w:rPr>
                      <w:rFonts w:hint="eastAsia" w:cs="Times New Roman"/>
                      <w:color w:val="auto"/>
                      <w:kern w:val="0"/>
                      <w:sz w:val="21"/>
                      <w:szCs w:val="21"/>
                      <w:highlight w:val="none"/>
                      <w:lang w:val="en-US" w:eastAsia="zh-CN" w:bidi="ar"/>
                    </w:rPr>
                    <w:t>汽车零部件技改</w:t>
                  </w:r>
                  <w:r>
                    <w:rPr>
                      <w:rFonts w:hint="eastAsia" w:ascii="Times New Roman" w:hAnsi="Times New Roman" w:eastAsia="宋体" w:cs="Times New Roman"/>
                      <w:color w:val="auto"/>
                      <w:kern w:val="0"/>
                      <w:sz w:val="21"/>
                      <w:szCs w:val="21"/>
                      <w:highlight w:val="none"/>
                      <w:lang w:val="en-US" w:eastAsia="zh-CN" w:bidi="ar"/>
                    </w:rPr>
                    <w:t>，不属于石化、化工、涂装、医药、包装印刷、油品储运销等行业；</w:t>
                  </w:r>
                </w:p>
                <w:p w14:paraId="323C9E3F">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7、本项目不涉及锅炉；</w:t>
                  </w:r>
                </w:p>
                <w:p w14:paraId="612EAE80">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8、本项目不属于有色金属冶炼、石油加工、焦化、化工、电镀、制革等可能造成土壤污染的建设项目；</w:t>
                  </w:r>
                </w:p>
                <w:p w14:paraId="48598387">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9、本项目不开采地下水；</w:t>
                  </w:r>
                </w:p>
                <w:p w14:paraId="66BBB62F">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10、本项目不涉及重金属排放；</w:t>
                  </w:r>
                </w:p>
                <w:p w14:paraId="3295784D">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11、</w:t>
                  </w:r>
                  <w:r>
                    <w:rPr>
                      <w:rFonts w:hint="eastAsia" w:cs="Times New Roman"/>
                      <w:color w:val="auto"/>
                      <w:kern w:val="0"/>
                      <w:sz w:val="21"/>
                      <w:szCs w:val="21"/>
                      <w:highlight w:val="none"/>
                      <w:lang w:val="en-US" w:eastAsia="zh-CN" w:bidi="ar"/>
                    </w:rPr>
                    <w:t>本项目不涉及；</w:t>
                  </w:r>
                </w:p>
                <w:p w14:paraId="2E1D7F04">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12、本项目不涉及；</w:t>
                  </w:r>
                </w:p>
                <w:p w14:paraId="3914E151">
                  <w:pPr>
                    <w:keepNext w:val="0"/>
                    <w:keepLines w:val="0"/>
                    <w:widowControl/>
                    <w:numPr>
                      <w:ilvl w:val="0"/>
                      <w:numId w:val="0"/>
                    </w:numPr>
                    <w:suppressLineNumbers w:val="0"/>
                    <w:tabs>
                      <w:tab w:val="center" w:pos="1326"/>
                    </w:tabs>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13、本项目不涉及；</w:t>
                  </w:r>
                </w:p>
                <w:p w14:paraId="7A2E00B0">
                  <w:pPr>
                    <w:keepNext w:val="0"/>
                    <w:keepLines w:val="0"/>
                    <w:widowControl/>
                    <w:numPr>
                      <w:ilvl w:val="0"/>
                      <w:numId w:val="0"/>
                    </w:numPr>
                    <w:suppressLineNumbers w:val="0"/>
                    <w:tabs>
                      <w:tab w:val="center" w:pos="1326"/>
                    </w:tabs>
                    <w:jc w:val="left"/>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14、本项目不涉及。</w:t>
                  </w:r>
                </w:p>
              </w:tc>
              <w:tc>
                <w:tcPr>
                  <w:tcW w:w="409" w:type="pct"/>
                  <w:noWrap w:val="0"/>
                  <w:vAlign w:val="center"/>
                </w:tcPr>
                <w:p w14:paraId="3315BFB2">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52E0F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jc w:val="center"/>
              </w:trPr>
              <w:tc>
                <w:tcPr>
                  <w:tcW w:w="307" w:type="pct"/>
                  <w:vMerge w:val="continue"/>
                  <w:noWrap w:val="0"/>
                  <w:vAlign w:val="center"/>
                </w:tcPr>
                <w:p w14:paraId="24740D6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640" w:type="pct"/>
                  <w:gridSpan w:val="4"/>
                  <w:noWrap w:val="0"/>
                  <w:vAlign w:val="center"/>
                </w:tcPr>
                <w:p w14:paraId="1541D701">
                  <w:pPr>
                    <w:keepNext w:val="0"/>
                    <w:keepLines w:val="0"/>
                    <w:widowControl/>
                    <w:suppressLineNumbers w:val="0"/>
                    <w:jc w:val="left"/>
                    <w:rPr>
                      <w:color w:val="auto"/>
                      <w:highlight w:val="none"/>
                    </w:rPr>
                  </w:pPr>
                  <w:r>
                    <w:rPr>
                      <w:rFonts w:hint="eastAsia" w:ascii="Times New Roman" w:hAnsi="Times New Roman" w:eastAsia="宋体" w:cs="Times New Roman"/>
                      <w:color w:val="auto"/>
                      <w:kern w:val="0"/>
                      <w:sz w:val="21"/>
                      <w:szCs w:val="21"/>
                      <w:highlight w:val="none"/>
                      <w:lang w:val="en-US" w:eastAsia="zh-CN" w:bidi="ar"/>
                    </w:rPr>
                    <w:t>项目入园准入要求</w:t>
                  </w:r>
                </w:p>
                <w:p w14:paraId="7FDB953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65EF85A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冀政办字〔2021〕122 号）相关要求执行。 </w:t>
                  </w:r>
                </w:p>
                <w:p w14:paraId="693E5E2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2、加强园区规划及环评时效性。现有县市级工业区在遵从规划、规划环评及跟踪评价的要求前提下，严格遵循全省、地市及对应单元生态环境准入要求。 </w:t>
                  </w:r>
                </w:p>
                <w:p w14:paraId="6BF46B36">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3、对新设立或扩区未开展规划环评的园区，规划定位、范围、布局、结构、规模等发生调整未开展规划环评调整的以及规划实施已超过 5 年未进行规划环境影响跟踪评价的园区，督促园区管委会抓紧整改。 </w:t>
                  </w:r>
                </w:p>
                <w:p w14:paraId="6CCF15A0">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442" w:type="pct"/>
                  <w:noWrap w:val="0"/>
                  <w:vAlign w:val="center"/>
                </w:tcPr>
                <w:p w14:paraId="5E8F6C68">
                  <w:pPr>
                    <w:keepNext w:val="0"/>
                    <w:keepLines w:val="0"/>
                    <w:widowControl/>
                    <w:numPr>
                      <w:ilvl w:val="0"/>
                      <w:numId w:val="0"/>
                    </w:numPr>
                    <w:suppressLineNumbers w:val="0"/>
                    <w:jc w:val="left"/>
                    <w:rPr>
                      <w:rFonts w:hint="eastAsia" w:ascii="Times New Roman" w:hAnsi="Times New Roman" w:eastAsia="宋体" w:cs="Times New Roman"/>
                      <w:color w:val="auto"/>
                      <w:szCs w:val="21"/>
                      <w:highlight w:val="none"/>
                      <w:lang w:val="zh-CN" w:bidi="zh-CN"/>
                    </w:rPr>
                  </w:pPr>
                  <w:r>
                    <w:rPr>
                      <w:rFonts w:hint="eastAsia" w:ascii="Times New Roman" w:hAnsi="Times New Roman" w:eastAsia="宋体" w:cs="Times New Roman"/>
                      <w:color w:val="auto"/>
                      <w:kern w:val="2"/>
                      <w:sz w:val="21"/>
                      <w:szCs w:val="21"/>
                      <w:lang w:val="zh-CN" w:eastAsia="zh-CN" w:bidi="zh-CN"/>
                    </w:rPr>
                    <w:t>1、</w:t>
                  </w:r>
                  <w:r>
                    <w:rPr>
                      <w:rFonts w:hint="eastAsia" w:ascii="Times New Roman" w:hAnsi="Times New Roman" w:eastAsia="宋体" w:cs="Times New Roman"/>
                      <w:color w:val="auto"/>
                      <w:szCs w:val="21"/>
                      <w:highlight w:val="none"/>
                      <w:lang w:val="zh-CN" w:bidi="zh-CN"/>
                    </w:rPr>
                    <w:t>技改项目位于河北行唐经济开发区，不属于</w:t>
                  </w:r>
                  <w:r>
                    <w:rPr>
                      <w:rFonts w:hint="eastAsia" w:cs="Times New Roman"/>
                      <w:color w:val="auto"/>
                      <w:szCs w:val="21"/>
                      <w:highlight w:val="none"/>
                      <w:lang w:val="en-US" w:bidi="zh-CN"/>
                    </w:rPr>
                    <w:t>高污染行业</w:t>
                  </w:r>
                  <w:r>
                    <w:rPr>
                      <w:rFonts w:hint="eastAsia" w:ascii="Times New Roman" w:hAnsi="Times New Roman" w:eastAsia="宋体" w:cs="Times New Roman"/>
                      <w:color w:val="auto"/>
                      <w:szCs w:val="21"/>
                      <w:highlight w:val="none"/>
                      <w:lang w:val="zh-CN" w:bidi="zh-CN"/>
                    </w:rPr>
                    <w:t>；</w:t>
                  </w:r>
                </w:p>
                <w:p w14:paraId="39D61357">
                  <w:pPr>
                    <w:keepNext w:val="0"/>
                    <w:keepLines w:val="0"/>
                    <w:widowControl/>
                    <w:numPr>
                      <w:ilvl w:val="0"/>
                      <w:numId w:val="0"/>
                    </w:numPr>
                    <w:suppressLineNumbers w:val="0"/>
                    <w:jc w:val="left"/>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2"/>
                      <w:sz w:val="21"/>
                      <w:szCs w:val="21"/>
                      <w:lang w:val="en-US" w:eastAsia="zh-CN" w:bidi="zh-CN"/>
                    </w:rPr>
                    <w:t>2</w:t>
                  </w:r>
                  <w:r>
                    <w:rPr>
                      <w:rFonts w:hint="eastAsia" w:cs="Times New Roman"/>
                      <w:color w:val="auto"/>
                      <w:kern w:val="2"/>
                      <w:sz w:val="21"/>
                      <w:szCs w:val="21"/>
                      <w:lang w:val="en-US" w:eastAsia="zh-CN" w:bidi="zh-CN"/>
                    </w:rPr>
                    <w:t>-4、不涉及</w:t>
                  </w:r>
                  <w:r>
                    <w:rPr>
                      <w:rFonts w:hint="eastAsia" w:ascii="Times New Roman" w:hAnsi="Times New Roman" w:eastAsia="宋体" w:cs="Times New Roman"/>
                      <w:color w:val="auto"/>
                      <w:kern w:val="0"/>
                      <w:sz w:val="21"/>
                      <w:szCs w:val="21"/>
                      <w:highlight w:val="none"/>
                      <w:lang w:val="en-US" w:eastAsia="zh-CN" w:bidi="ar"/>
                    </w:rPr>
                    <w:t>。</w:t>
                  </w:r>
                </w:p>
              </w:tc>
              <w:tc>
                <w:tcPr>
                  <w:tcW w:w="409" w:type="pct"/>
                  <w:noWrap w:val="0"/>
                  <w:vAlign w:val="center"/>
                </w:tcPr>
                <w:p w14:paraId="391819E5">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62242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3" w:hRule="atLeast"/>
                <w:jc w:val="center"/>
              </w:trPr>
              <w:tc>
                <w:tcPr>
                  <w:tcW w:w="307" w:type="pct"/>
                  <w:vMerge w:val="restart"/>
                  <w:noWrap w:val="0"/>
                  <w:vAlign w:val="center"/>
                </w:tcPr>
                <w:p w14:paraId="393D3BBC">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行</w:t>
                  </w:r>
                </w:p>
                <w:p w14:paraId="16976552">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唐</w:t>
                  </w:r>
                </w:p>
                <w:p w14:paraId="481CB946">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县</w:t>
                  </w:r>
                </w:p>
                <w:p w14:paraId="378F097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360" w:type="pct"/>
                  <w:gridSpan w:val="2"/>
                  <w:vMerge w:val="restart"/>
                  <w:noWrap w:val="0"/>
                  <w:vAlign w:val="center"/>
                </w:tcPr>
                <w:p w14:paraId="61B4479A">
                  <w:pPr>
                    <w:keepNext w:val="0"/>
                    <w:keepLines w:val="0"/>
                    <w:widowControl/>
                    <w:suppressLineNumbers w:val="0"/>
                    <w:jc w:val="left"/>
                    <w:rPr>
                      <w:rFonts w:hint="eastAsia"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重点管控单元2</w:t>
                  </w:r>
                  <w:r>
                    <w:rPr>
                      <w:rFonts w:hint="eastAsia" w:cs="Times New Roman"/>
                      <w:color w:val="auto"/>
                      <w:kern w:val="0"/>
                      <w:sz w:val="21"/>
                      <w:szCs w:val="21"/>
                      <w:highlight w:val="none"/>
                      <w:lang w:val="en-US" w:eastAsia="zh-CN" w:bidi="ar"/>
                    </w:rPr>
                    <w:t>；</w:t>
                  </w:r>
                </w:p>
                <w:p w14:paraId="13A1C7B0">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河北行唐经济开发区（南区）</w:t>
                  </w:r>
                </w:p>
                <w:p w14:paraId="6319AB34">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p>
                <w:p w14:paraId="76E0943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80" w:type="pct"/>
                  <w:gridSpan w:val="2"/>
                  <w:noWrap w:val="0"/>
                  <w:vAlign w:val="center"/>
                </w:tcPr>
                <w:p w14:paraId="64B4D3FF">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空间布局约束</w:t>
                  </w:r>
                </w:p>
                <w:p w14:paraId="7947C7D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44572991">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1、严格落实国家、河北省以及石家庄市最新产业目录准入要求。 </w:t>
                  </w:r>
                </w:p>
                <w:p w14:paraId="5767E49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2、严格落实最新规划环评及其批复文件制定的环境准入要求。</w:t>
                  </w:r>
                </w:p>
              </w:tc>
              <w:tc>
                <w:tcPr>
                  <w:tcW w:w="1442" w:type="pct"/>
                  <w:noWrap w:val="0"/>
                  <w:vAlign w:val="center"/>
                </w:tcPr>
                <w:p w14:paraId="18DBB17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技改项目属于</w:t>
                  </w:r>
                  <w:r>
                    <w:rPr>
                      <w:rFonts w:hint="eastAsia" w:ascii="Times New Roman" w:hAnsi="Times New Roman" w:eastAsia="宋体" w:cs="Times New Roman"/>
                      <w:color w:val="auto"/>
                      <w:szCs w:val="21"/>
                      <w:highlight w:val="none"/>
                      <w:lang w:val="en-US" w:eastAsia="zh-CN"/>
                    </w:rPr>
                    <w:t>“三十、金属制品业 68 铸造及其他金属制品制造339  其他”</w:t>
                  </w:r>
                  <w:r>
                    <w:rPr>
                      <w:rFonts w:hint="eastAsia" w:cs="Times New Roman"/>
                      <w:color w:val="auto"/>
                      <w:szCs w:val="21"/>
                      <w:highlight w:val="none"/>
                      <w:lang w:val="en-US" w:eastAsia="zh-CN"/>
                    </w:rPr>
                    <w:t>技改项目针对现有半成品工件进行清洗以满足客户要求</w:t>
                  </w:r>
                  <w:r>
                    <w:rPr>
                      <w:rFonts w:hint="eastAsia" w:ascii="Times New Roman" w:hAnsi="Times New Roman" w:eastAsia="宋体" w:cs="Times New Roman"/>
                      <w:color w:val="auto"/>
                      <w:kern w:val="0"/>
                      <w:sz w:val="21"/>
                      <w:szCs w:val="21"/>
                      <w:highlight w:val="none"/>
                      <w:lang w:val="en-US" w:eastAsia="zh-CN" w:bidi="ar"/>
                    </w:rPr>
                    <w:t>，符合国家及地方最新产业目录要求；严格落实最新规划环评及其批复文件制定的环境准入要求。</w:t>
                  </w:r>
                </w:p>
              </w:tc>
              <w:tc>
                <w:tcPr>
                  <w:tcW w:w="409" w:type="pct"/>
                  <w:noWrap w:val="0"/>
                  <w:vAlign w:val="center"/>
                </w:tcPr>
                <w:p w14:paraId="0A6D165D">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51C5B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93" w:hRule="atLeast"/>
                <w:jc w:val="center"/>
              </w:trPr>
              <w:tc>
                <w:tcPr>
                  <w:tcW w:w="307" w:type="pct"/>
                  <w:vMerge w:val="continue"/>
                  <w:noWrap w:val="0"/>
                  <w:vAlign w:val="center"/>
                </w:tcPr>
                <w:p w14:paraId="5ECC75BC">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360" w:type="pct"/>
                  <w:gridSpan w:val="2"/>
                  <w:vMerge w:val="continue"/>
                  <w:noWrap w:val="0"/>
                  <w:vAlign w:val="center"/>
                </w:tcPr>
                <w:p w14:paraId="055160B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80" w:type="pct"/>
                  <w:gridSpan w:val="2"/>
                  <w:noWrap w:val="0"/>
                  <w:vAlign w:val="center"/>
                </w:tcPr>
                <w:p w14:paraId="7CBDF8EE">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污染物排放管</w:t>
                  </w:r>
                </w:p>
                <w:p w14:paraId="53E1D11B">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zh-CN" w:eastAsia="zh-CN" w:bidi="ar"/>
                    </w:rPr>
                  </w:pPr>
                  <w:r>
                    <w:rPr>
                      <w:rFonts w:hint="eastAsia" w:ascii="Times New Roman" w:hAnsi="Times New Roman" w:eastAsia="宋体" w:cs="Times New Roman"/>
                      <w:color w:val="auto"/>
                      <w:kern w:val="0"/>
                      <w:sz w:val="21"/>
                      <w:szCs w:val="21"/>
                      <w:highlight w:val="none"/>
                      <w:lang w:val="en-US" w:eastAsia="zh-CN" w:bidi="ar"/>
                    </w:rPr>
                    <w:t>控</w:t>
                  </w:r>
                </w:p>
              </w:tc>
              <w:tc>
                <w:tcPr>
                  <w:tcW w:w="2199" w:type="pct"/>
                  <w:noWrap w:val="0"/>
                  <w:vAlign w:val="center"/>
                </w:tcPr>
                <w:p w14:paraId="50ED41FF">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1、行唐县第二污水处理厂出水水质执行《大清河流域水污染物排放标准》重点控制区排污标准。 </w:t>
                  </w:r>
                </w:p>
                <w:p w14:paraId="4746BDC7">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2、严格落实规划环评及其批复文件制定的环保措施。 </w:t>
                  </w:r>
                </w:p>
                <w:p w14:paraId="2FCCFCD3">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3、完善污水收集处理设施建设，确保区域水环境质量不降</w:t>
                  </w:r>
                </w:p>
              </w:tc>
              <w:tc>
                <w:tcPr>
                  <w:tcW w:w="1442" w:type="pct"/>
                  <w:noWrap w:val="0"/>
                  <w:vAlign w:val="center"/>
                </w:tcPr>
                <w:p w14:paraId="6030BA75">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已严格落实。</w:t>
                  </w:r>
                </w:p>
              </w:tc>
              <w:tc>
                <w:tcPr>
                  <w:tcW w:w="409" w:type="pct"/>
                  <w:noWrap w:val="0"/>
                  <w:vAlign w:val="center"/>
                </w:tcPr>
                <w:p w14:paraId="676C9029">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32BF0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6" w:hRule="exact"/>
                <w:jc w:val="center"/>
              </w:trPr>
              <w:tc>
                <w:tcPr>
                  <w:tcW w:w="307" w:type="pct"/>
                  <w:vMerge w:val="continue"/>
                  <w:noWrap w:val="0"/>
                  <w:vAlign w:val="center"/>
                </w:tcPr>
                <w:p w14:paraId="6E94061B">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360" w:type="pct"/>
                  <w:gridSpan w:val="2"/>
                  <w:vMerge w:val="continue"/>
                  <w:noWrap w:val="0"/>
                  <w:vAlign w:val="center"/>
                </w:tcPr>
                <w:p w14:paraId="792A0E3A">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80" w:type="pct"/>
                  <w:gridSpan w:val="2"/>
                  <w:noWrap w:val="0"/>
                  <w:vAlign w:val="center"/>
                </w:tcPr>
                <w:p w14:paraId="7B2E195A">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环境风险防控</w:t>
                  </w:r>
                </w:p>
                <w:p w14:paraId="358244DB">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5B235284">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1、园区按照相关要求，建立完善环境风险管理相关制度和有效的事故风险防范体系。</w:t>
                  </w:r>
                </w:p>
              </w:tc>
              <w:tc>
                <w:tcPr>
                  <w:tcW w:w="1442" w:type="pct"/>
                  <w:noWrap w:val="0"/>
                  <w:vAlign w:val="center"/>
                </w:tcPr>
                <w:p w14:paraId="1A894188">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河北行唐经济开发区已经建立完善环境风险管理相关制度和有效的事故风险防范体系</w:t>
                  </w:r>
                  <w:r>
                    <w:rPr>
                      <w:rFonts w:hint="eastAsia" w:cs="Times New Roman"/>
                      <w:color w:val="auto"/>
                      <w:kern w:val="0"/>
                      <w:sz w:val="21"/>
                      <w:szCs w:val="21"/>
                      <w:highlight w:val="none"/>
                      <w:lang w:val="en-US" w:eastAsia="zh-CN" w:bidi="ar"/>
                    </w:rPr>
                    <w:t>。</w:t>
                  </w:r>
                </w:p>
              </w:tc>
              <w:tc>
                <w:tcPr>
                  <w:tcW w:w="409" w:type="pct"/>
                  <w:noWrap w:val="0"/>
                  <w:vAlign w:val="center"/>
                </w:tcPr>
                <w:p w14:paraId="7B69F8FA">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r w14:paraId="67F8D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4" w:hRule="exact"/>
                <w:jc w:val="center"/>
              </w:trPr>
              <w:tc>
                <w:tcPr>
                  <w:tcW w:w="307" w:type="pct"/>
                  <w:vMerge w:val="continue"/>
                  <w:noWrap w:val="0"/>
                  <w:vAlign w:val="center"/>
                </w:tcPr>
                <w:p w14:paraId="5ED4D5D9">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360" w:type="pct"/>
                  <w:gridSpan w:val="2"/>
                  <w:vMerge w:val="continue"/>
                  <w:noWrap w:val="0"/>
                  <w:vAlign w:val="center"/>
                </w:tcPr>
                <w:p w14:paraId="6814F0B2">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zh-CN" w:eastAsia="zh-CN" w:bidi="ar"/>
                    </w:rPr>
                  </w:pPr>
                </w:p>
              </w:tc>
              <w:tc>
                <w:tcPr>
                  <w:tcW w:w="280" w:type="pct"/>
                  <w:gridSpan w:val="2"/>
                  <w:noWrap w:val="0"/>
                  <w:vAlign w:val="center"/>
                </w:tcPr>
                <w:p w14:paraId="7D4B7F90">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资源利用效率</w:t>
                  </w:r>
                </w:p>
                <w:p w14:paraId="60C6C3D6">
                  <w:pPr>
                    <w:keepNext w:val="0"/>
                    <w:keepLines w:val="0"/>
                    <w:widowControl/>
                    <w:suppressLineNumbers w:val="0"/>
                    <w:jc w:val="center"/>
                    <w:rPr>
                      <w:rFonts w:hint="eastAsia" w:ascii="Times New Roman" w:hAnsi="Times New Roman" w:eastAsia="宋体" w:cs="Times New Roman"/>
                      <w:color w:val="auto"/>
                      <w:kern w:val="0"/>
                      <w:sz w:val="21"/>
                      <w:szCs w:val="21"/>
                      <w:highlight w:val="none"/>
                      <w:lang w:val="zh-CN" w:eastAsia="zh-CN" w:bidi="ar"/>
                    </w:rPr>
                  </w:pPr>
                </w:p>
              </w:tc>
              <w:tc>
                <w:tcPr>
                  <w:tcW w:w="2199" w:type="pct"/>
                  <w:noWrap w:val="0"/>
                  <w:vAlign w:val="center"/>
                </w:tcPr>
                <w:p w14:paraId="7F425D55">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1、提高中水回用率。 </w:t>
                  </w:r>
                </w:p>
                <w:p w14:paraId="6DD63A01">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2、鼓励锅炉、工业炉窑进行余热利用。</w:t>
                  </w:r>
                </w:p>
                <w:p w14:paraId="31C8C1E0">
                  <w:pPr>
                    <w:keepNext w:val="0"/>
                    <w:keepLines w:val="0"/>
                    <w:widowControl/>
                    <w:suppressLineNumbers w:val="0"/>
                    <w:jc w:val="left"/>
                    <w:rPr>
                      <w:rFonts w:hint="eastAsia" w:ascii="Times New Roman" w:hAnsi="Times New Roman" w:eastAsia="宋体" w:cs="Times New Roman"/>
                      <w:color w:val="auto"/>
                      <w:kern w:val="0"/>
                      <w:sz w:val="21"/>
                      <w:szCs w:val="21"/>
                      <w:highlight w:val="none"/>
                      <w:lang w:val="en-US" w:eastAsia="zh-CN" w:bidi="ar"/>
                    </w:rPr>
                  </w:pPr>
                </w:p>
              </w:tc>
              <w:tc>
                <w:tcPr>
                  <w:tcW w:w="1442" w:type="pct"/>
                  <w:noWrap w:val="0"/>
                  <w:vAlign w:val="center"/>
                </w:tcPr>
                <w:p w14:paraId="575FE02C">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val="en-US" w:eastAsia="zh-CN" w:bidi="ar"/>
                    </w:rPr>
                    <w:t>项目</w:t>
                  </w:r>
                  <w:r>
                    <w:rPr>
                      <w:rFonts w:hint="eastAsia" w:cs="Times New Roman"/>
                      <w:color w:val="auto"/>
                      <w:kern w:val="0"/>
                      <w:sz w:val="21"/>
                      <w:szCs w:val="21"/>
                      <w:highlight w:val="none"/>
                      <w:lang w:val="en-US" w:eastAsia="zh-CN" w:bidi="ar"/>
                    </w:rPr>
                    <w:t>不涉及</w:t>
                  </w:r>
                  <w:r>
                    <w:rPr>
                      <w:rFonts w:hint="eastAsia" w:ascii="Times New Roman" w:hAnsi="Times New Roman" w:cs="Times New Roman"/>
                      <w:color w:val="auto"/>
                      <w:kern w:val="0"/>
                      <w:sz w:val="21"/>
                      <w:szCs w:val="21"/>
                      <w:highlight w:val="none"/>
                      <w:lang w:val="en-US" w:eastAsia="zh-CN" w:bidi="ar"/>
                    </w:rPr>
                    <w:t>。</w:t>
                  </w:r>
                </w:p>
              </w:tc>
              <w:tc>
                <w:tcPr>
                  <w:tcW w:w="409" w:type="pct"/>
                  <w:noWrap w:val="0"/>
                  <w:vAlign w:val="center"/>
                </w:tcPr>
                <w:p w14:paraId="77726C9E">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p>
              </w:tc>
            </w:tr>
          </w:tbl>
          <w:p w14:paraId="6C03C909">
            <w:pPr>
              <w:pStyle w:val="120"/>
              <w:rPr>
                <w:rFonts w:hint="eastAsia"/>
                <w:lang w:val="en-US"/>
              </w:rPr>
            </w:pPr>
          </w:p>
          <w:p w14:paraId="15CF8989">
            <w:pPr>
              <w:pStyle w:val="119"/>
              <w:numPr>
                <w:ilvl w:val="0"/>
                <w:numId w:val="0"/>
              </w:numPr>
              <w:jc w:val="center"/>
              <w:rPr>
                <w:rFonts w:hint="eastAsia" w:eastAsia="宋体"/>
                <w:color w:val="auto"/>
                <w:kern w:val="2"/>
                <w:sz w:val="24"/>
                <w:szCs w:val="24"/>
                <w:highlight w:val="none"/>
                <w:lang w:val="en-US" w:bidi="ar"/>
              </w:rPr>
            </w:pPr>
          </w:p>
          <w:p w14:paraId="4C46FD5C">
            <w:pPr>
              <w:pStyle w:val="119"/>
              <w:numPr>
                <w:ilvl w:val="0"/>
                <w:numId w:val="0"/>
              </w:numPr>
              <w:jc w:val="center"/>
              <w:rPr>
                <w:rFonts w:hint="eastAsia" w:eastAsia="宋体"/>
                <w:color w:val="auto"/>
                <w:kern w:val="2"/>
                <w:sz w:val="24"/>
                <w:szCs w:val="24"/>
                <w:highlight w:val="none"/>
                <w:lang w:val="en-US" w:bidi="ar"/>
              </w:rPr>
            </w:pPr>
            <w:r>
              <w:rPr>
                <w:rFonts w:hint="eastAsia" w:eastAsia="宋体"/>
                <w:color w:val="auto"/>
                <w:kern w:val="2"/>
                <w:sz w:val="24"/>
                <w:szCs w:val="24"/>
                <w:highlight w:val="none"/>
                <w:lang w:val="en-US" w:bidi="ar"/>
              </w:rPr>
              <w:t>表1-</w:t>
            </w:r>
            <w:r>
              <w:rPr>
                <w:rFonts w:hint="eastAsia" w:eastAsia="宋体"/>
                <w:color w:val="auto"/>
                <w:kern w:val="2"/>
                <w:sz w:val="24"/>
                <w:szCs w:val="24"/>
                <w:highlight w:val="none"/>
                <w:lang w:val="en-US" w:eastAsia="zh-CN" w:bidi="ar"/>
              </w:rPr>
              <w:t>5</w:t>
            </w:r>
            <w:r>
              <w:rPr>
                <w:rFonts w:hint="eastAsia" w:eastAsia="宋体"/>
                <w:color w:val="auto"/>
                <w:kern w:val="2"/>
                <w:sz w:val="24"/>
                <w:szCs w:val="24"/>
                <w:highlight w:val="none"/>
                <w:lang w:val="en-US" w:bidi="ar"/>
              </w:rPr>
              <w:t xml:space="preserve">  开发区重点管控区域生态环境准入清单对比分析一览表</w:t>
            </w:r>
          </w:p>
          <w:p w14:paraId="6661B3E1">
            <w:pPr>
              <w:pStyle w:val="120"/>
              <w:rPr>
                <w:rFonts w:hint="eastAsia" w:eastAsia="宋体"/>
                <w:color w:val="auto"/>
                <w:kern w:val="2"/>
                <w:sz w:val="24"/>
                <w:szCs w:val="24"/>
                <w:highlight w:val="none"/>
                <w:lang w:val="en-US" w:bidi="ar"/>
              </w:rPr>
            </w:pP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0"/>
              <w:gridCol w:w="3980"/>
              <w:gridCol w:w="1964"/>
              <w:gridCol w:w="921"/>
            </w:tblGrid>
            <w:tr w14:paraId="17261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02" w:type="pct"/>
                  <w:noWrap w:val="0"/>
                  <w:vAlign w:val="center"/>
                </w:tcPr>
                <w:p w14:paraId="41476FD9">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清单类型</w:t>
                  </w:r>
                </w:p>
              </w:tc>
              <w:tc>
                <w:tcPr>
                  <w:tcW w:w="2665" w:type="pct"/>
                  <w:noWrap w:val="0"/>
                  <w:vAlign w:val="center"/>
                </w:tcPr>
                <w:p w14:paraId="79F4750E">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具体内容</w:t>
                  </w:r>
                </w:p>
              </w:tc>
              <w:tc>
                <w:tcPr>
                  <w:tcW w:w="1315" w:type="pct"/>
                  <w:noWrap w:val="0"/>
                  <w:vAlign w:val="center"/>
                </w:tcPr>
                <w:p w14:paraId="0826CABA">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技改项目情况</w:t>
                  </w:r>
                </w:p>
              </w:tc>
              <w:tc>
                <w:tcPr>
                  <w:tcW w:w="616" w:type="pct"/>
                  <w:noWrap w:val="0"/>
                  <w:vAlign w:val="center"/>
                </w:tcPr>
                <w:p w14:paraId="747D248C">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符合性分析</w:t>
                  </w:r>
                </w:p>
              </w:tc>
            </w:tr>
            <w:tr w14:paraId="122D7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02" w:type="pct"/>
                  <w:noWrap w:val="0"/>
                  <w:vAlign w:val="center"/>
                </w:tcPr>
                <w:p w14:paraId="1EE6F207">
                  <w:pPr>
                    <w:tabs>
                      <w:tab w:val="left" w:pos="5031"/>
                    </w:tabs>
                    <w:adjustRightInd w:val="0"/>
                    <w:snapToGrid w:val="0"/>
                    <w:jc w:val="center"/>
                    <w:rPr>
                      <w:rFonts w:hint="default"/>
                      <w:bCs/>
                      <w:color w:val="auto"/>
                      <w:spacing w:val="5"/>
                      <w:sz w:val="21"/>
                      <w:szCs w:val="21"/>
                      <w:highlight w:val="none"/>
                      <w:lang w:val="en-US" w:eastAsia="zh-CN"/>
                    </w:rPr>
                  </w:pPr>
                  <w:r>
                    <w:rPr>
                      <w:rFonts w:hint="eastAsia"/>
                      <w:bCs/>
                      <w:color w:val="auto"/>
                      <w:spacing w:val="5"/>
                      <w:sz w:val="21"/>
                      <w:szCs w:val="21"/>
                      <w:highlight w:val="none"/>
                      <w:lang w:val="en-US" w:eastAsia="zh-CN"/>
                    </w:rPr>
                    <w:t>空间布局约束</w:t>
                  </w:r>
                </w:p>
              </w:tc>
              <w:tc>
                <w:tcPr>
                  <w:tcW w:w="2665" w:type="pct"/>
                  <w:noWrap w:val="0"/>
                  <w:vAlign w:val="center"/>
                </w:tcPr>
                <w:p w14:paraId="4B903CEF">
                  <w:pPr>
                    <w:tabs>
                      <w:tab w:val="left" w:pos="5031"/>
                    </w:tabs>
                    <w:adjustRightInd w:val="0"/>
                    <w:snapToGrid w:val="0"/>
                    <w:jc w:val="left"/>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1、开发区内村庄搬迁前，入区工业项目与现状村庄距离需满足其环评确定的防护距离要求。2、开发区属于中等包气防护性能区，入区项目应按照污染物类型、污染控制难易程度等设置重点防渗区或一般防渗区，并按照要求做好防渗。3、涉风险物质企业应在建设项目环评阶段进一步论证其风险状态下的影响范围，新增风险源的大气毒性终点浓度-1范围内不得有常住居民，具体控制距离根据项目环评的风险分析结论确定。4、开发区禁止建设电镀工序，铸造工序禁止建设铅基及铅青铜合金铸造熔炼，家具产业禁止建设磷化工序，轻工产业禁止建设印染工序。5、开发区北区禁止建设养殖场和养殖小区项目。</w:t>
                  </w:r>
                </w:p>
              </w:tc>
              <w:tc>
                <w:tcPr>
                  <w:tcW w:w="1315" w:type="pct"/>
                  <w:noWrap w:val="0"/>
                  <w:vAlign w:val="center"/>
                </w:tcPr>
                <w:p w14:paraId="1A68A6C4">
                  <w:pPr>
                    <w:tabs>
                      <w:tab w:val="left" w:pos="5031"/>
                    </w:tabs>
                    <w:adjustRightInd w:val="0"/>
                    <w:snapToGrid w:val="0"/>
                    <w:jc w:val="left"/>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1、本项目为技改项目，</w:t>
                  </w:r>
                  <w:r>
                    <w:rPr>
                      <w:rFonts w:hint="eastAsia"/>
                      <w:bCs/>
                      <w:color w:val="auto"/>
                      <w:kern w:val="0"/>
                      <w:sz w:val="21"/>
                      <w:szCs w:val="21"/>
                      <w:highlight w:val="none"/>
                      <w:lang w:val="en-US" w:eastAsia="zh-CN" w:bidi="ar"/>
                    </w:rPr>
                    <w:t>不属于新入区项目</w:t>
                  </w:r>
                  <w:r>
                    <w:rPr>
                      <w:rFonts w:hint="eastAsia"/>
                      <w:bCs/>
                      <w:color w:val="auto"/>
                      <w:kern w:val="0"/>
                      <w:sz w:val="21"/>
                      <w:szCs w:val="21"/>
                      <w:highlight w:val="none"/>
                      <w:lang w:bidi="ar"/>
                    </w:rPr>
                    <w:t>。</w:t>
                  </w:r>
                  <w:r>
                    <w:rPr>
                      <w:rFonts w:hint="eastAsia"/>
                      <w:bCs/>
                      <w:color w:val="auto"/>
                      <w:kern w:val="0"/>
                      <w:sz w:val="21"/>
                      <w:szCs w:val="21"/>
                      <w:highlight w:val="none"/>
                      <w:lang w:val="en-US" w:eastAsia="zh-CN" w:bidi="ar"/>
                    </w:rPr>
                    <w:t>2、技改后全厂进行严格的分区防渗。3、技改项目</w:t>
                  </w:r>
                  <w:r>
                    <w:rPr>
                      <w:rFonts w:hint="eastAsia"/>
                      <w:bCs/>
                      <w:color w:val="auto"/>
                      <w:spacing w:val="5"/>
                      <w:sz w:val="21"/>
                      <w:szCs w:val="21"/>
                      <w:highlight w:val="none"/>
                      <w:lang w:val="en-US" w:eastAsia="zh-CN"/>
                    </w:rPr>
                    <w:t>新增风险源</w:t>
                  </w:r>
                  <w:r>
                    <w:rPr>
                      <w:rFonts w:hint="eastAsia"/>
                      <w:bCs/>
                      <w:color w:val="auto"/>
                      <w:kern w:val="0"/>
                      <w:sz w:val="21"/>
                      <w:szCs w:val="21"/>
                      <w:highlight w:val="none"/>
                      <w:lang w:val="en-US" w:eastAsia="zh-CN" w:bidi="ar"/>
                    </w:rPr>
                    <w:t>不会对最近敏感点产生影响。4、5、不涉及</w:t>
                  </w:r>
                  <w:r>
                    <w:rPr>
                      <w:rFonts w:hint="eastAsia"/>
                      <w:bCs/>
                      <w:color w:val="auto"/>
                      <w:spacing w:val="5"/>
                      <w:sz w:val="21"/>
                      <w:szCs w:val="21"/>
                      <w:highlight w:val="none"/>
                      <w:lang w:val="en-US" w:eastAsia="zh-CN"/>
                    </w:rPr>
                    <w:t xml:space="preserve"> </w:t>
                  </w:r>
                </w:p>
              </w:tc>
              <w:tc>
                <w:tcPr>
                  <w:tcW w:w="616" w:type="pct"/>
                  <w:noWrap w:val="0"/>
                  <w:vAlign w:val="center"/>
                </w:tcPr>
                <w:p w14:paraId="7510E869">
                  <w:pPr>
                    <w:tabs>
                      <w:tab w:val="left" w:pos="5031"/>
                    </w:tabs>
                    <w:adjustRightInd w:val="0"/>
                    <w:snapToGrid w:val="0"/>
                    <w:jc w:val="center"/>
                    <w:rPr>
                      <w:rFonts w:hint="eastAsia"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符合</w:t>
                  </w:r>
                </w:p>
              </w:tc>
            </w:tr>
            <w:tr w14:paraId="5B9B6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02" w:type="pct"/>
                  <w:noWrap w:val="0"/>
                  <w:vAlign w:val="center"/>
                </w:tcPr>
                <w:p w14:paraId="68A4F69C">
                  <w:pPr>
                    <w:tabs>
                      <w:tab w:val="left" w:pos="5031"/>
                    </w:tabs>
                    <w:adjustRightInd w:val="0"/>
                    <w:snapToGrid w:val="0"/>
                    <w:jc w:val="center"/>
                    <w:rPr>
                      <w:rFonts w:hint="default"/>
                      <w:bCs/>
                      <w:color w:val="auto"/>
                      <w:spacing w:val="5"/>
                      <w:sz w:val="21"/>
                      <w:szCs w:val="21"/>
                      <w:highlight w:val="none"/>
                      <w:lang w:val="en-US" w:eastAsia="zh-CN"/>
                    </w:rPr>
                  </w:pPr>
                  <w:r>
                    <w:rPr>
                      <w:rFonts w:hint="eastAsia"/>
                      <w:bCs/>
                      <w:color w:val="auto"/>
                      <w:spacing w:val="5"/>
                      <w:sz w:val="21"/>
                      <w:szCs w:val="21"/>
                      <w:highlight w:val="none"/>
                      <w:lang w:val="en-US" w:eastAsia="zh-CN"/>
                    </w:rPr>
                    <w:t>污染物排放管控</w:t>
                  </w:r>
                </w:p>
              </w:tc>
              <w:tc>
                <w:tcPr>
                  <w:tcW w:w="2665" w:type="pct"/>
                  <w:noWrap w:val="0"/>
                  <w:vAlign w:val="center"/>
                </w:tcPr>
                <w:p w14:paraId="10FAF303">
                  <w:pPr>
                    <w:tabs>
                      <w:tab w:val="left" w:pos="5031"/>
                    </w:tabs>
                    <w:adjustRightInd w:val="0"/>
                    <w:snapToGrid w:val="0"/>
                    <w:jc w:val="center"/>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1、鼓励排污单位实施生产工艺提升改造、治理设施提标改造、清洁能源替代等减排工程。2、入区项目应严格按照相关政策，实施二氧化硫、氮氧化物、颗粒物、挥发性有机物等污染物削减替代。</w:t>
                  </w:r>
                </w:p>
                <w:p w14:paraId="7523C181">
                  <w:pPr>
                    <w:tabs>
                      <w:tab w:val="left" w:pos="5031"/>
                    </w:tabs>
                    <w:adjustRightInd w:val="0"/>
                    <w:snapToGrid w:val="0"/>
                    <w:jc w:val="left"/>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3、以建材、农副食品加工、工业涂装、包装印刷等行业作为当前实施清洁生产审核的重点，全面落实强制性清洁生产审核要求。</w:t>
                  </w:r>
                </w:p>
                <w:p w14:paraId="7AD9241E">
                  <w:pPr>
                    <w:tabs>
                      <w:tab w:val="left" w:pos="5031"/>
                    </w:tabs>
                    <w:adjustRightInd w:val="0"/>
                    <w:snapToGrid w:val="0"/>
                    <w:jc w:val="left"/>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4、按照重污染天气重点行业应急减排措施相关要求，平板玻璃行业达到A级水平，其他行业达到B级(引领性)及以上水平。5、涉及含重金属生产废水企业在车间配套建设废水处理措施，处理后作为危废处置或满足回用水标准后回用，禁止含重金属废水排出厂区。6、到2025年，大宗物料运输采用新能源或国六以上车辆，运输比例不低于80%。</w:t>
                  </w:r>
                </w:p>
              </w:tc>
              <w:tc>
                <w:tcPr>
                  <w:tcW w:w="1315" w:type="pct"/>
                  <w:noWrap w:val="0"/>
                  <w:vAlign w:val="center"/>
                </w:tcPr>
                <w:p w14:paraId="5A4D0B19">
                  <w:pPr>
                    <w:tabs>
                      <w:tab w:val="left" w:pos="5031"/>
                    </w:tabs>
                    <w:adjustRightInd w:val="0"/>
                    <w:snapToGrid w:val="0"/>
                    <w:jc w:val="left"/>
                    <w:rPr>
                      <w:rFonts w:hint="eastAsia" w:eastAsia="宋体"/>
                      <w:bCs/>
                      <w:color w:val="auto"/>
                      <w:spacing w:val="5"/>
                      <w:sz w:val="21"/>
                      <w:szCs w:val="21"/>
                      <w:highlight w:val="none"/>
                      <w:lang w:val="en-US" w:eastAsia="zh-CN"/>
                    </w:rPr>
                  </w:pPr>
                  <w:r>
                    <w:rPr>
                      <w:rFonts w:hint="eastAsia"/>
                      <w:color w:val="auto"/>
                      <w:sz w:val="21"/>
                      <w:szCs w:val="21"/>
                      <w:highlight w:val="none"/>
                      <w:lang w:val="en-US" w:eastAsia="zh-CN"/>
                    </w:rPr>
                    <w:t>1、</w:t>
                  </w:r>
                  <w:r>
                    <w:rPr>
                      <w:rFonts w:hint="eastAsia"/>
                      <w:color w:val="auto"/>
                      <w:sz w:val="21"/>
                      <w:szCs w:val="21"/>
                      <w:highlight w:val="none"/>
                    </w:rPr>
                    <w:t>本技改利用已有生产车间，对喷漆线进行技改，喷漆前增加清洗烘干线，提高喷漆质量</w:t>
                  </w:r>
                  <w:r>
                    <w:rPr>
                      <w:rFonts w:hint="eastAsia"/>
                      <w:color w:val="auto"/>
                      <w:sz w:val="21"/>
                      <w:szCs w:val="21"/>
                      <w:highlight w:val="none"/>
                      <w:lang w:eastAsia="zh-CN"/>
                    </w:rPr>
                    <w:t>。</w:t>
                  </w:r>
                  <w:r>
                    <w:rPr>
                      <w:rFonts w:hint="eastAsia"/>
                      <w:color w:val="auto"/>
                      <w:sz w:val="21"/>
                      <w:szCs w:val="21"/>
                      <w:highlight w:val="none"/>
                      <w:lang w:val="en-US" w:eastAsia="zh-CN"/>
                    </w:rPr>
                    <w:t>2、3、5、6不涉及，4、技改项目完成后能够达到</w:t>
                  </w:r>
                  <w:r>
                    <w:rPr>
                      <w:color w:val="auto"/>
                      <w:sz w:val="21"/>
                      <w:szCs w:val="21"/>
                      <w:highlight w:val="none"/>
                    </w:rPr>
                    <w:t>2022年</w:t>
                  </w:r>
                  <w:r>
                    <w:rPr>
                      <w:rFonts w:hint="eastAsia"/>
                      <w:color w:val="auto"/>
                      <w:sz w:val="21"/>
                      <w:szCs w:val="21"/>
                      <w:highlight w:val="none"/>
                    </w:rPr>
                    <w:t>铸造</w:t>
                  </w:r>
                  <w:r>
                    <w:rPr>
                      <w:color w:val="auto"/>
                      <w:sz w:val="21"/>
                      <w:szCs w:val="21"/>
                      <w:highlight w:val="none"/>
                    </w:rPr>
                    <w:t>行业行业分级管控绩效评级B级</w:t>
                  </w:r>
                  <w:r>
                    <w:rPr>
                      <w:rFonts w:hint="eastAsia"/>
                      <w:color w:val="auto"/>
                      <w:sz w:val="21"/>
                      <w:szCs w:val="21"/>
                      <w:highlight w:val="none"/>
                      <w:lang w:val="en-US" w:eastAsia="zh-CN"/>
                    </w:rPr>
                    <w:t>要求。</w:t>
                  </w:r>
                </w:p>
              </w:tc>
              <w:tc>
                <w:tcPr>
                  <w:tcW w:w="616" w:type="pct"/>
                  <w:noWrap w:val="0"/>
                  <w:vAlign w:val="center"/>
                </w:tcPr>
                <w:p w14:paraId="6A91F568">
                  <w:pPr>
                    <w:tabs>
                      <w:tab w:val="left" w:pos="5031"/>
                    </w:tabs>
                    <w:adjustRightInd w:val="0"/>
                    <w:snapToGrid w:val="0"/>
                    <w:jc w:val="center"/>
                    <w:rPr>
                      <w:rFonts w:hint="eastAsia"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符合</w:t>
                  </w:r>
                </w:p>
              </w:tc>
            </w:tr>
            <w:tr w14:paraId="0B5F1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02" w:type="pct"/>
                  <w:noWrap w:val="0"/>
                  <w:vAlign w:val="center"/>
                </w:tcPr>
                <w:p w14:paraId="3CE58945">
                  <w:pPr>
                    <w:tabs>
                      <w:tab w:val="left" w:pos="5031"/>
                    </w:tabs>
                    <w:adjustRightInd w:val="0"/>
                    <w:snapToGrid w:val="0"/>
                    <w:jc w:val="center"/>
                    <w:rPr>
                      <w:rFonts w:hint="default"/>
                      <w:bCs/>
                      <w:color w:val="auto"/>
                      <w:spacing w:val="5"/>
                      <w:sz w:val="21"/>
                      <w:szCs w:val="21"/>
                      <w:highlight w:val="none"/>
                      <w:lang w:val="en-US" w:eastAsia="zh-CN"/>
                    </w:rPr>
                  </w:pPr>
                  <w:r>
                    <w:rPr>
                      <w:rFonts w:hint="eastAsia"/>
                      <w:bCs/>
                      <w:color w:val="auto"/>
                      <w:spacing w:val="5"/>
                      <w:sz w:val="21"/>
                      <w:szCs w:val="21"/>
                      <w:highlight w:val="none"/>
                      <w:lang w:val="en-US" w:eastAsia="zh-CN"/>
                    </w:rPr>
                    <w:t>环境风险防控</w:t>
                  </w:r>
                </w:p>
              </w:tc>
              <w:tc>
                <w:tcPr>
                  <w:tcW w:w="2665" w:type="pct"/>
                  <w:noWrap w:val="0"/>
                  <w:vAlign w:val="center"/>
                </w:tcPr>
                <w:p w14:paraId="7D57C49B">
                  <w:pPr>
                    <w:tabs>
                      <w:tab w:val="left" w:pos="5031"/>
                    </w:tabs>
                    <w:adjustRightInd w:val="0"/>
                    <w:snapToGrid w:val="0"/>
                    <w:jc w:val="center"/>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1、开发区内“两高”产业为平板玻璃行业，产能上限为2000t/d;禁止新增其他“两高”产业项目。2、加强重大环境风险源监管。涉及有毒有害、易燃易爆物质的新建、改扩建项目，严控准入要求，设置危险品泄漏自动报警系统。涉风险源企业应按要求编制突发环境事件应急预案并进行备案，定期进行演练。</w:t>
                  </w:r>
                </w:p>
                <w:p w14:paraId="5090D329">
                  <w:pPr>
                    <w:tabs>
                      <w:tab w:val="left" w:pos="5031"/>
                    </w:tabs>
                    <w:adjustRightInd w:val="0"/>
                    <w:snapToGrid w:val="0"/>
                    <w:jc w:val="center"/>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3、涉液氨等危险化学品企业应严格执行《危险化学品重大危险源监督管理暂行规定》的相关要求。4、危险废物产生单位应当按照国家有关规定制定危险废物管理计划，建立危险废物管理台账，如实记录危险废物的种类、产生量、流向、贮存、处置等信息，危险废物的种类、产生量、流向、贮存、利用、处置等有关信息应当通过固体废物管理信息系统进行申报，确保实现闭环管理，鼓励采用电子地磅、视频监控、电子标签等集成智能监控手段，推动实现危险废物全过程监控和信息化追溯，做到全过程监管。5、针对土地使用性质变更地块，按要求开展土壤污染状况调查。</w:t>
                  </w:r>
                </w:p>
              </w:tc>
              <w:tc>
                <w:tcPr>
                  <w:tcW w:w="1315" w:type="pct"/>
                  <w:noWrap w:val="0"/>
                  <w:vAlign w:val="center"/>
                </w:tcPr>
                <w:p w14:paraId="4B9C6FD4">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1、不涉及，2技改项目</w:t>
                  </w:r>
                  <w:r>
                    <w:rPr>
                      <w:rFonts w:hint="eastAsia"/>
                      <w:color w:val="auto"/>
                      <w:spacing w:val="-6"/>
                      <w:kern w:val="0"/>
                      <w:sz w:val="21"/>
                      <w:szCs w:val="21"/>
                      <w:highlight w:val="none"/>
                      <w:lang w:bidi="ar"/>
                    </w:rPr>
                    <w:t>采取了完善的风险防范措施，</w:t>
                  </w:r>
                  <w:r>
                    <w:rPr>
                      <w:rFonts w:hint="eastAsia"/>
                      <w:color w:val="auto"/>
                      <w:spacing w:val="-6"/>
                      <w:kern w:val="0"/>
                      <w:sz w:val="21"/>
                      <w:szCs w:val="21"/>
                      <w:highlight w:val="none"/>
                      <w:lang w:val="en-US" w:eastAsia="zh-CN" w:bidi="ar"/>
                    </w:rPr>
                    <w:t>技改完成后需</w:t>
                  </w:r>
                  <w:r>
                    <w:rPr>
                      <w:rFonts w:hint="eastAsia"/>
                      <w:color w:val="auto"/>
                      <w:spacing w:val="-6"/>
                      <w:kern w:val="0"/>
                      <w:sz w:val="21"/>
                      <w:szCs w:val="21"/>
                      <w:highlight w:val="none"/>
                      <w:lang w:bidi="ar"/>
                    </w:rPr>
                    <w:t>修订编制突发环境事件应急预案，加强环境风险防范措施和应急处置</w:t>
                  </w:r>
                  <w:r>
                    <w:rPr>
                      <w:rFonts w:hint="eastAsia"/>
                      <w:color w:val="auto"/>
                      <w:spacing w:val="-6"/>
                      <w:kern w:val="0"/>
                      <w:sz w:val="21"/>
                      <w:szCs w:val="21"/>
                      <w:highlight w:val="none"/>
                      <w:lang w:eastAsia="zh-CN" w:bidi="ar"/>
                    </w:rPr>
                    <w:t>。</w:t>
                  </w:r>
                  <w:r>
                    <w:rPr>
                      <w:rFonts w:hint="eastAsia"/>
                      <w:color w:val="auto"/>
                      <w:spacing w:val="-6"/>
                      <w:kern w:val="0"/>
                      <w:sz w:val="21"/>
                      <w:szCs w:val="21"/>
                      <w:highlight w:val="none"/>
                      <w:lang w:val="en-US" w:eastAsia="zh-CN" w:bidi="ar"/>
                    </w:rPr>
                    <w:t>3、4、5不涉及。</w:t>
                  </w:r>
                </w:p>
              </w:tc>
              <w:tc>
                <w:tcPr>
                  <w:tcW w:w="616" w:type="pct"/>
                  <w:noWrap w:val="0"/>
                  <w:vAlign w:val="center"/>
                </w:tcPr>
                <w:p w14:paraId="600F47FE">
                  <w:pPr>
                    <w:tabs>
                      <w:tab w:val="left" w:pos="5031"/>
                    </w:tabs>
                    <w:adjustRightInd w:val="0"/>
                    <w:snapToGrid w:val="0"/>
                    <w:jc w:val="center"/>
                    <w:rPr>
                      <w:rFonts w:hint="eastAsia"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符合</w:t>
                  </w:r>
                </w:p>
              </w:tc>
            </w:tr>
            <w:tr w14:paraId="3699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02" w:type="pct"/>
                  <w:noWrap w:val="0"/>
                  <w:vAlign w:val="center"/>
                </w:tcPr>
                <w:p w14:paraId="2CE41A40">
                  <w:pPr>
                    <w:tabs>
                      <w:tab w:val="left" w:pos="5031"/>
                    </w:tabs>
                    <w:adjustRightInd w:val="0"/>
                    <w:snapToGrid w:val="0"/>
                    <w:jc w:val="center"/>
                    <w:rPr>
                      <w:rFonts w:hint="default"/>
                      <w:bCs/>
                      <w:color w:val="auto"/>
                      <w:spacing w:val="5"/>
                      <w:sz w:val="21"/>
                      <w:szCs w:val="21"/>
                      <w:highlight w:val="none"/>
                      <w:lang w:val="en-US" w:eastAsia="zh-CN"/>
                    </w:rPr>
                  </w:pPr>
                  <w:r>
                    <w:rPr>
                      <w:rFonts w:hint="eastAsia"/>
                      <w:bCs/>
                      <w:color w:val="auto"/>
                      <w:spacing w:val="5"/>
                      <w:sz w:val="21"/>
                      <w:szCs w:val="21"/>
                      <w:highlight w:val="none"/>
                      <w:lang w:val="en-US" w:eastAsia="zh-CN"/>
                    </w:rPr>
                    <w:t>资源开发利用要求</w:t>
                  </w:r>
                </w:p>
              </w:tc>
              <w:tc>
                <w:tcPr>
                  <w:tcW w:w="2665" w:type="pct"/>
                  <w:noWrap w:val="0"/>
                  <w:vAlign w:val="center"/>
                </w:tcPr>
                <w:p w14:paraId="66F895ED">
                  <w:pPr>
                    <w:tabs>
                      <w:tab w:val="left" w:pos="5031"/>
                    </w:tabs>
                    <w:adjustRightInd w:val="0"/>
                    <w:snapToGrid w:val="0"/>
                    <w:jc w:val="center"/>
                    <w:rPr>
                      <w:rFonts w:hint="eastAsia"/>
                      <w:bCs/>
                      <w:color w:val="auto"/>
                      <w:spacing w:val="5"/>
                      <w:sz w:val="21"/>
                      <w:szCs w:val="21"/>
                      <w:highlight w:val="none"/>
                      <w:lang w:val="en-US" w:eastAsia="zh-CN"/>
                    </w:rPr>
                  </w:pPr>
                  <w:r>
                    <w:rPr>
                      <w:rFonts w:hint="eastAsia"/>
                      <w:bCs/>
                      <w:color w:val="auto"/>
                      <w:spacing w:val="5"/>
                      <w:sz w:val="21"/>
                      <w:szCs w:val="21"/>
                      <w:highlight w:val="none"/>
                      <w:lang w:val="en-US" w:eastAsia="zh-CN"/>
                    </w:rPr>
                    <w:t>1区项目不能突破园区设定的地资源(南区城市建设用地919.22hm，北区城市建设用地远期456.72hm2)水资源(新鲜水320.363万m/a)能源利用上限(天然气2209万m/a煤炭21.01万t/a)。2、开发区南区禁止高耗水项目入区(以中水作为水源的除外)。平板玻璃、发电、集中煤制气中心生产用水使用中水。3、地下水取用水总量或者地下水水位接近控制指标时，应当限制审批建设项目新增取用地下水地下水取用水总量或者地下水水位已经达到或者超过控制指标时，应当暂停审批建设项目新增取用地下水。4、入区项目采用清洁生产技术、工艺和设备，单位产品能耗、物耗和水耗达到清洁生产先进水平。</w:t>
                  </w:r>
                </w:p>
              </w:tc>
              <w:tc>
                <w:tcPr>
                  <w:tcW w:w="1315" w:type="pct"/>
                  <w:noWrap w:val="0"/>
                  <w:vAlign w:val="center"/>
                </w:tcPr>
                <w:p w14:paraId="22FCA0B6">
                  <w:pPr>
                    <w:tabs>
                      <w:tab w:val="left" w:pos="5031"/>
                    </w:tabs>
                    <w:adjustRightInd w:val="0"/>
                    <w:snapToGrid w:val="0"/>
                    <w:jc w:val="center"/>
                    <w:rPr>
                      <w:rFonts w:hint="default"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1、本项目在现有厂区内进行技改，不新增占地。2、本项目不属于高耗水项目。3、不涉及。4技改项目采用清洁生产技术工艺和设备，单位产品能耗、物耗和水耗达到清洁生产先进水平。</w:t>
                  </w:r>
                </w:p>
              </w:tc>
              <w:tc>
                <w:tcPr>
                  <w:tcW w:w="616" w:type="pct"/>
                  <w:noWrap w:val="0"/>
                  <w:vAlign w:val="center"/>
                </w:tcPr>
                <w:p w14:paraId="022F39C8">
                  <w:pPr>
                    <w:tabs>
                      <w:tab w:val="left" w:pos="5031"/>
                    </w:tabs>
                    <w:adjustRightInd w:val="0"/>
                    <w:snapToGrid w:val="0"/>
                    <w:jc w:val="center"/>
                    <w:rPr>
                      <w:rFonts w:hint="eastAsia" w:eastAsia="宋体"/>
                      <w:bCs/>
                      <w:color w:val="auto"/>
                      <w:spacing w:val="5"/>
                      <w:sz w:val="21"/>
                      <w:szCs w:val="21"/>
                      <w:highlight w:val="none"/>
                      <w:lang w:val="en-US" w:eastAsia="zh-CN"/>
                    </w:rPr>
                  </w:pPr>
                  <w:r>
                    <w:rPr>
                      <w:rFonts w:hint="eastAsia"/>
                      <w:bCs/>
                      <w:color w:val="auto"/>
                      <w:spacing w:val="5"/>
                      <w:sz w:val="21"/>
                      <w:szCs w:val="21"/>
                      <w:highlight w:val="none"/>
                      <w:lang w:val="en-US" w:eastAsia="zh-CN"/>
                    </w:rPr>
                    <w:t>符合</w:t>
                  </w:r>
                </w:p>
              </w:tc>
            </w:tr>
          </w:tbl>
          <w:p w14:paraId="46F9E429">
            <w:pPr>
              <w:pStyle w:val="76"/>
              <w:ind w:firstLine="480"/>
              <w:rPr>
                <w:color w:val="auto"/>
                <w:highlight w:val="none"/>
              </w:rPr>
            </w:pPr>
            <w:r>
              <w:rPr>
                <w:rFonts w:hint="eastAsia"/>
                <w:color w:val="auto"/>
                <w:highlight w:val="none"/>
              </w:rPr>
              <w:t>综上分析，项目符合《石家庄市区域空间生态环境评价暨“三线一单”编制工作协调小组办公室关于做好2023年生态环境分区管控动态更新成果实施应用工作的通知》(2024年4月28日）要求</w:t>
            </w:r>
            <w:r>
              <w:rPr>
                <w:rFonts w:hint="eastAsia"/>
                <w:color w:val="auto"/>
                <w:highlight w:val="none"/>
                <w:lang w:eastAsia="zh-CN"/>
              </w:rPr>
              <w:t>；</w:t>
            </w:r>
            <w:r>
              <w:rPr>
                <w:rFonts w:hint="eastAsia"/>
                <w:color w:val="auto"/>
                <w:highlight w:val="none"/>
                <w:lang w:val="en-US" w:eastAsia="zh-CN"/>
              </w:rPr>
              <w:t>项目符合行唐经济开发区生态环境准入清单管控要求</w:t>
            </w:r>
            <w:r>
              <w:rPr>
                <w:rFonts w:hint="eastAsia"/>
                <w:color w:val="auto"/>
                <w:highlight w:val="none"/>
              </w:rPr>
              <w:t>。</w:t>
            </w:r>
          </w:p>
          <w:p w14:paraId="448978D1">
            <w:pPr>
              <w:pStyle w:val="101"/>
              <w:numPr>
                <w:ilvl w:val="0"/>
                <w:numId w:val="6"/>
              </w:numPr>
              <w:bidi w:val="0"/>
              <w:jc w:val="left"/>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相关生态环境保护法律法规政策、生态环境保护规划的符合性</w:t>
            </w:r>
          </w:p>
          <w:p w14:paraId="3047C48B">
            <w:pPr>
              <w:ind w:firstLine="482" w:firstLineChars="200"/>
              <w:jc w:val="center"/>
              <w:rPr>
                <w:b/>
                <w:bCs/>
                <w:color w:val="auto"/>
                <w:sz w:val="24"/>
                <w:szCs w:val="24"/>
                <w:highlight w:val="none"/>
              </w:rPr>
            </w:pPr>
          </w:p>
          <w:p w14:paraId="23E0636D">
            <w:pPr>
              <w:ind w:firstLine="482" w:firstLineChars="200"/>
              <w:jc w:val="center"/>
              <w:rPr>
                <w:b/>
                <w:bCs/>
                <w:color w:val="auto"/>
                <w:sz w:val="24"/>
                <w:szCs w:val="24"/>
                <w:highlight w:val="none"/>
              </w:rPr>
            </w:pPr>
            <w:r>
              <w:rPr>
                <w:b/>
                <w:bCs/>
                <w:color w:val="auto"/>
                <w:sz w:val="24"/>
                <w:szCs w:val="24"/>
                <w:highlight w:val="none"/>
              </w:rPr>
              <w:t>表1</w:t>
            </w:r>
            <w:r>
              <w:rPr>
                <w:rFonts w:hint="eastAsia"/>
                <w:b/>
                <w:bCs/>
                <w:color w:val="auto"/>
                <w:sz w:val="24"/>
                <w:szCs w:val="24"/>
                <w:highlight w:val="none"/>
                <w:lang w:val="en-US" w:eastAsia="zh-CN"/>
              </w:rPr>
              <w:t>-6</w:t>
            </w:r>
            <w:r>
              <w:rPr>
                <w:b/>
                <w:bCs/>
                <w:color w:val="auto"/>
                <w:sz w:val="24"/>
                <w:szCs w:val="24"/>
                <w:highlight w:val="none"/>
              </w:rPr>
              <w:t xml:space="preserve">   与相关污染防治政策的符合性分析</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3850"/>
              <w:gridCol w:w="1538"/>
              <w:gridCol w:w="911"/>
            </w:tblGrid>
            <w:tr w14:paraId="23FF4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779" w:type="pct"/>
                  <w:noWrap w:val="0"/>
                  <w:vAlign w:val="center"/>
                </w:tcPr>
                <w:p w14:paraId="69577CED">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环保政策</w:t>
                  </w:r>
                </w:p>
              </w:tc>
              <w:tc>
                <w:tcPr>
                  <w:tcW w:w="2579" w:type="pct"/>
                  <w:noWrap w:val="0"/>
                  <w:vAlign w:val="center"/>
                </w:tcPr>
                <w:p w14:paraId="3F7B17B5">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政策要求</w:t>
                  </w:r>
                </w:p>
              </w:tc>
              <w:tc>
                <w:tcPr>
                  <w:tcW w:w="1030" w:type="pct"/>
                  <w:noWrap w:val="0"/>
                  <w:vAlign w:val="center"/>
                </w:tcPr>
                <w:p w14:paraId="1C0135E5">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本项目实际</w:t>
                  </w:r>
                </w:p>
              </w:tc>
              <w:tc>
                <w:tcPr>
                  <w:tcW w:w="610" w:type="pct"/>
                  <w:noWrap w:val="0"/>
                  <w:vAlign w:val="center"/>
                </w:tcPr>
                <w:p w14:paraId="6DBAE42F">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符合性分析</w:t>
                  </w:r>
                </w:p>
              </w:tc>
            </w:tr>
            <w:tr w14:paraId="5E40F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7" w:hRule="atLeast"/>
                <w:jc w:val="center"/>
              </w:trPr>
              <w:tc>
                <w:tcPr>
                  <w:tcW w:w="779" w:type="pct"/>
                  <w:vMerge w:val="restart"/>
                  <w:noWrap w:val="0"/>
                  <w:vAlign w:val="center"/>
                </w:tcPr>
                <w:p w14:paraId="578BFFC6">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《河北省大气污染防治条例》 (2021年修订)</w:t>
                  </w:r>
                </w:p>
              </w:tc>
              <w:tc>
                <w:tcPr>
                  <w:tcW w:w="2579" w:type="pct"/>
                  <w:noWrap w:val="0"/>
                  <w:vAlign w:val="center"/>
                </w:tcPr>
                <w:p w14:paraId="0653556E">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第四十条 企业料堆场应当按照有关规定进行封闭，不能封闭的应当安装防尘设施或者采取其他抑尘措施。装卸易产生扬尘的物料时，应当采取密闭或者喷淋等抑尘措施</w:t>
                  </w:r>
                </w:p>
              </w:tc>
              <w:tc>
                <w:tcPr>
                  <w:tcW w:w="1030" w:type="pct"/>
                  <w:vMerge w:val="restart"/>
                  <w:noWrap w:val="0"/>
                  <w:vAlign w:val="center"/>
                </w:tcPr>
                <w:p w14:paraId="5B3A06B0">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施工期主要为设备安装无大气污染物产生，</w:t>
                  </w:r>
                  <w:r>
                    <w:rPr>
                      <w:rFonts w:hint="eastAsia" w:ascii="Times New Roman" w:hAnsi="Times New Roman" w:eastAsia="宋体" w:cs="Times New Roman"/>
                      <w:color w:val="auto"/>
                      <w:sz w:val="21"/>
                      <w:szCs w:val="21"/>
                      <w:highlight w:val="none"/>
                      <w:lang w:val="en-US" w:eastAsia="zh-CN"/>
                    </w:rPr>
                    <w:t>运营期技改</w:t>
                  </w:r>
                  <w:r>
                    <w:rPr>
                      <w:rFonts w:hint="default" w:ascii="Times New Roman" w:hAnsi="Times New Roman" w:eastAsia="宋体" w:cs="Times New Roman"/>
                      <w:color w:val="auto"/>
                      <w:sz w:val="21"/>
                      <w:szCs w:val="21"/>
                      <w:highlight w:val="none"/>
                    </w:rPr>
                    <w:t>项目</w:t>
                  </w:r>
                  <w:r>
                    <w:rPr>
                      <w:rFonts w:hint="eastAsia" w:cs="Times New Roman"/>
                      <w:color w:val="auto"/>
                      <w:sz w:val="21"/>
                      <w:szCs w:val="21"/>
                      <w:highlight w:val="none"/>
                      <w:lang w:val="en-US" w:eastAsia="zh-CN"/>
                    </w:rPr>
                    <w:t>不涉及</w:t>
                  </w:r>
                </w:p>
              </w:tc>
              <w:tc>
                <w:tcPr>
                  <w:tcW w:w="610" w:type="pct"/>
                  <w:vMerge w:val="restart"/>
                  <w:noWrap w:val="0"/>
                  <w:vAlign w:val="center"/>
                </w:tcPr>
                <w:p w14:paraId="0C5C7E6C">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w:t>
                  </w:r>
                </w:p>
              </w:tc>
            </w:tr>
            <w:tr w14:paraId="6599B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779" w:type="pct"/>
                  <w:vMerge w:val="continue"/>
                  <w:noWrap w:val="0"/>
                  <w:vAlign w:val="center"/>
                </w:tcPr>
                <w:p w14:paraId="4604D0DE">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2579" w:type="pct"/>
                  <w:noWrap w:val="0"/>
                  <w:vAlign w:val="center"/>
                </w:tcPr>
                <w:p w14:paraId="1ADFFF24">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第四十一条 运输渣土、砂石、建筑垃圾等易产生扬尘污染物料的车辆应当密闭，物料不得沿途散落或者飞扬，并按照规定路线行驶</w:t>
                  </w:r>
                </w:p>
              </w:tc>
              <w:tc>
                <w:tcPr>
                  <w:tcW w:w="1030" w:type="pct"/>
                  <w:vMerge w:val="continue"/>
                  <w:noWrap w:val="0"/>
                  <w:vAlign w:val="center"/>
                </w:tcPr>
                <w:p w14:paraId="5BC7556C">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610" w:type="pct"/>
                  <w:vMerge w:val="continue"/>
                  <w:noWrap w:val="0"/>
                  <w:vAlign w:val="center"/>
                </w:tcPr>
                <w:p w14:paraId="561C5163">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r>
            <w:tr w14:paraId="254A5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779" w:type="pct"/>
                  <w:vMerge w:val="restart"/>
                  <w:noWrap w:val="0"/>
                  <w:vAlign w:val="center"/>
                </w:tcPr>
                <w:p w14:paraId="201D80D1">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《河北省2023年大气污染综合治理工作要点》</w:t>
                  </w:r>
                </w:p>
              </w:tc>
              <w:tc>
                <w:tcPr>
                  <w:tcW w:w="2579" w:type="pct"/>
                  <w:noWrap w:val="0"/>
                  <w:vAlign w:val="center"/>
                </w:tcPr>
                <w:p w14:paraId="7796C1E8">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b/>
                      <w:bCs/>
                      <w:color w:val="auto"/>
                      <w:sz w:val="21"/>
                      <w:szCs w:val="21"/>
                      <w:highlight w:val="none"/>
                    </w:rPr>
                    <w:t>持续做好工业企业达标排放治理监管。</w:t>
                  </w:r>
                  <w:r>
                    <w:rPr>
                      <w:rFonts w:hint="default" w:ascii="Times New Roman" w:hAnsi="Times New Roman" w:eastAsia="宋体" w:cs="Times New Roman"/>
                      <w:color w:val="auto"/>
                      <w:sz w:val="21"/>
                      <w:szCs w:val="21"/>
                      <w:highlight w:val="none"/>
                    </w:rPr>
                    <w:t>深化重点行业深度治理，巩固钢铁、焦化、火电、水泥等重点行业超低排放改造成效，实施工艺全流程深度治理，推进全过程无组织排放管控。深入开展工业窑炉和锅炉综合治理，规范污染治理设施运行。提升产业集群管理水平，坚持分类施策、一群一策，通过淘汰关停、搬迁入园、就地改造提升等措施，积极推动塑料制品、家具制造、铸造等行业148个涉气产业集群开展升级改造，提升企业环保治理水平。</w:t>
                  </w:r>
                </w:p>
              </w:tc>
              <w:tc>
                <w:tcPr>
                  <w:tcW w:w="1030" w:type="pct"/>
                  <w:vMerge w:val="restart"/>
                  <w:noWrap w:val="0"/>
                  <w:vAlign w:val="center"/>
                </w:tcPr>
                <w:p w14:paraId="031C0992">
                  <w:pPr>
                    <w:autoSpaceDE w:val="0"/>
                    <w:autoSpaceDN w:val="0"/>
                    <w:adjustRightInd w:val="0"/>
                    <w:snapToGrid w:val="0"/>
                    <w:spacing w:line="240" w:lineRule="atLeast"/>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610" w:type="pct"/>
                  <w:vMerge w:val="restart"/>
                  <w:noWrap w:val="0"/>
                  <w:vAlign w:val="center"/>
                </w:tcPr>
                <w:p w14:paraId="6CDDF9EE">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w:t>
                  </w:r>
                </w:p>
              </w:tc>
            </w:tr>
            <w:tr w14:paraId="6D9D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779" w:type="pct"/>
                  <w:vMerge w:val="continue"/>
                  <w:noWrap w:val="0"/>
                  <w:vAlign w:val="center"/>
                </w:tcPr>
                <w:p w14:paraId="0B1E984F">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lang w:val="zh-CN"/>
                    </w:rPr>
                  </w:pPr>
                </w:p>
              </w:tc>
              <w:tc>
                <w:tcPr>
                  <w:tcW w:w="2579" w:type="pct"/>
                  <w:noWrap w:val="0"/>
                  <w:vAlign w:val="center"/>
                </w:tcPr>
                <w:p w14:paraId="65BF98F8">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lang w:val="zh-CN"/>
                    </w:rPr>
                  </w:pPr>
                  <w:r>
                    <w:rPr>
                      <w:rFonts w:hint="eastAsia" w:ascii="Times New Roman" w:hAnsi="Times New Roman" w:eastAsia="宋体" w:cs="Times New Roman"/>
                      <w:b/>
                      <w:bCs/>
                      <w:color w:val="auto"/>
                      <w:sz w:val="21"/>
                      <w:szCs w:val="21"/>
                      <w:highlight w:val="none"/>
                    </w:rPr>
                    <w:t>加快推动重污染天气消除。</w:t>
                  </w:r>
                  <w:r>
                    <w:rPr>
                      <w:rFonts w:hint="default" w:ascii="Times New Roman" w:hAnsi="Times New Roman" w:eastAsia="宋体" w:cs="Times New Roman"/>
                      <w:color w:val="auto"/>
                      <w:sz w:val="21"/>
                      <w:szCs w:val="21"/>
                      <w:highlight w:val="none"/>
                    </w:rPr>
                    <w:t>积极探索基本消除重污染天气的科学应对机制，强化源头治理、系统治理、综合治理，重点区域、重点领域、重点时段实行一厂一策差异化管控，精准调控火电、钢铁、焦化等燃煤行业企业运行负荷，减少本地污染物排放，实现源头控制和末端治理协同增效，力争今年不发生严重污染天气，重污染天数在巩固去年成绩基础上有所减少。强化区域联防联控，全面落实京津冀及周边地区大气污染防治协作机制，加强与京津及周边省份协同防治，健全省内跨区域联防联控机制。</w:t>
                  </w:r>
                </w:p>
              </w:tc>
              <w:tc>
                <w:tcPr>
                  <w:tcW w:w="1030" w:type="pct"/>
                  <w:vMerge w:val="continue"/>
                  <w:noWrap w:val="0"/>
                  <w:vAlign w:val="center"/>
                </w:tcPr>
                <w:p w14:paraId="04E41B5D">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610" w:type="pct"/>
                  <w:vMerge w:val="continue"/>
                  <w:noWrap w:val="0"/>
                  <w:vAlign w:val="center"/>
                </w:tcPr>
                <w:p w14:paraId="0D7D66DA">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r>
            <w:tr w14:paraId="48344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6" w:hRule="atLeast"/>
                <w:jc w:val="center"/>
              </w:trPr>
              <w:tc>
                <w:tcPr>
                  <w:tcW w:w="779" w:type="pct"/>
                  <w:vMerge w:val="restart"/>
                  <w:noWrap w:val="0"/>
                  <w:vAlign w:val="center"/>
                </w:tcPr>
                <w:p w14:paraId="2F952FD3">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《石家庄市202</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年大气污染综合治理工作要点》</w:t>
                  </w:r>
                </w:p>
              </w:tc>
              <w:tc>
                <w:tcPr>
                  <w:tcW w:w="2579" w:type="pct"/>
                  <w:noWrap w:val="0"/>
                  <w:vAlign w:val="center"/>
                </w:tcPr>
                <w:p w14:paraId="58A6ADB9">
                  <w:pPr>
                    <w:autoSpaceDE w:val="0"/>
                    <w:autoSpaceDN w:val="0"/>
                    <w:adjustRightInd w:val="0"/>
                    <w:snapToGrid w:val="0"/>
                    <w:spacing w:line="240" w:lineRule="atLeast"/>
                    <w:jc w:val="center"/>
                    <w:rPr>
                      <w:rFonts w:hint="eastAsia"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持续优化调整产业结构和布局。</w:t>
                  </w:r>
                  <w:r>
                    <w:rPr>
                      <w:rFonts w:hint="default" w:ascii="Times New Roman" w:hAnsi="Times New Roman" w:eastAsia="宋体" w:cs="Times New Roman"/>
                      <w:color w:val="auto"/>
                      <w:sz w:val="21"/>
                      <w:szCs w:val="21"/>
                      <w:highlight w:val="none"/>
                      <w:lang w:val="en-US" w:eastAsia="zh-CN"/>
                    </w:rPr>
                    <w:t>严格落实“线一单”和产业准入条件，调</w:t>
                  </w:r>
                  <w:r>
                    <w:rPr>
                      <w:rFonts w:hint="eastAsia" w:ascii="Times New Roman" w:hAnsi="Times New Roman" w:eastAsia="宋体" w:cs="Times New Roman"/>
                      <w:color w:val="auto"/>
                      <w:sz w:val="21"/>
                      <w:szCs w:val="21"/>
                      <w:highlight w:val="none"/>
                      <w:lang w:val="en-US" w:eastAsia="zh-CN"/>
                    </w:rPr>
                    <w:t>整</w:t>
                  </w:r>
                  <w:r>
                    <w:rPr>
                      <w:rFonts w:hint="default" w:ascii="Times New Roman" w:hAnsi="Times New Roman" w:eastAsia="宋体" w:cs="Times New Roman"/>
                      <w:color w:val="auto"/>
                      <w:sz w:val="21"/>
                      <w:szCs w:val="21"/>
                      <w:highlight w:val="none"/>
                      <w:lang w:val="en-US" w:eastAsia="zh-CN"/>
                    </w:rPr>
                    <w:t>优化不符合生态环境功能定位的产业布局、规模和结构，严格控制高耗能、高污染项目。巩固去产能成果，严禁新增钢铁、焦化、水泥、平板玻璃</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电解铝等行业产能（产能置换除外）。严格执行钢铁、水泥等重点行业产能置换实施办法。因地制宜推进工业企业布局调整、改造升级。</w:t>
                  </w:r>
                </w:p>
              </w:tc>
              <w:tc>
                <w:tcPr>
                  <w:tcW w:w="1030" w:type="pct"/>
                  <w:vMerge w:val="restart"/>
                  <w:noWrap w:val="0"/>
                  <w:vAlign w:val="center"/>
                </w:tcPr>
                <w:p w14:paraId="12A83F4B">
                  <w:pPr>
                    <w:autoSpaceDE w:val="0"/>
                    <w:autoSpaceDN w:val="0"/>
                    <w:adjustRightInd w:val="0"/>
                    <w:snapToGrid w:val="0"/>
                    <w:spacing w:line="240" w:lineRule="atLeast"/>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610" w:type="pct"/>
                  <w:vMerge w:val="restart"/>
                  <w:noWrap w:val="0"/>
                  <w:vAlign w:val="center"/>
                </w:tcPr>
                <w:p w14:paraId="47EBA553">
                  <w:pPr>
                    <w:autoSpaceDE w:val="0"/>
                    <w:autoSpaceDN w:val="0"/>
                    <w:adjustRightInd w:val="0"/>
                    <w:snapToGrid w:val="0"/>
                    <w:spacing w:line="240" w:lineRule="atLeast"/>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r w14:paraId="4AB31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779" w:type="pct"/>
                  <w:vMerge w:val="continue"/>
                  <w:noWrap w:val="0"/>
                  <w:vAlign w:val="center"/>
                </w:tcPr>
                <w:p w14:paraId="291F7CAC">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2579" w:type="pct"/>
                  <w:noWrap w:val="0"/>
                  <w:vAlign w:val="center"/>
                </w:tcPr>
                <w:p w14:paraId="59F0D128">
                  <w:pPr>
                    <w:autoSpaceDE w:val="0"/>
                    <w:autoSpaceDN w:val="0"/>
                    <w:adjustRightInd w:val="0"/>
                    <w:snapToGrid w:val="0"/>
                    <w:spacing w:line="240" w:lineRule="atLeast"/>
                    <w:jc w:val="left"/>
                    <w:rPr>
                      <w:rFonts w:hint="eastAsia"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加大车辆新能源替代力度。</w:t>
                  </w:r>
                  <w:r>
                    <w:rPr>
                      <w:rFonts w:hint="default" w:ascii="Times New Roman" w:hAnsi="Times New Roman" w:eastAsia="宋体" w:cs="Times New Roman"/>
                      <w:color w:val="auto"/>
                      <w:sz w:val="21"/>
                      <w:szCs w:val="21"/>
                      <w:highlight w:val="none"/>
                      <w:lang w:val="en-US" w:eastAsia="zh-CN"/>
                    </w:rPr>
                    <w:t>新增或更新公交、出租、物流配送、轻型环卫（清扫车和洒水车）等车辆中新能源汽车比例不低于80％。推进城市绿色交通示范区建设，主城区内政府投资、国有企业开发的建设工程项目，渣土运输车、预拌混凝土搅拌车优先使用新能源车辆。推进建材（含砂石骨料）采用新能源汽车运输。加大环保绩效激励力度，鼓励火电、钢铁、焦化等重点行业企业用车单位与运输企业（个人）签订合作协议等方式实现清洁运输，大幅降低燃油（气）重型货车运输比例。在国有大型工矿企业开展零排放运输车队示范。加快推进铁路货场以及火电、钢铁、焦化等工矿企业新增或更新的作业车辆新能源化。2023年，全市新能源重型货车保有量力争达到1800辆。</w:t>
                  </w:r>
                </w:p>
              </w:tc>
              <w:tc>
                <w:tcPr>
                  <w:tcW w:w="1030" w:type="pct"/>
                  <w:vMerge w:val="continue"/>
                  <w:noWrap w:val="0"/>
                  <w:vAlign w:val="center"/>
                </w:tcPr>
                <w:p w14:paraId="18367F55">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610" w:type="pct"/>
                  <w:vMerge w:val="continue"/>
                  <w:noWrap w:val="0"/>
                  <w:vAlign w:val="center"/>
                </w:tcPr>
                <w:p w14:paraId="44FA025D">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r>
            <w:tr w14:paraId="58A26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jc w:val="center"/>
              </w:trPr>
              <w:tc>
                <w:tcPr>
                  <w:tcW w:w="779" w:type="pct"/>
                  <w:noWrap w:val="0"/>
                  <w:vAlign w:val="center"/>
                </w:tcPr>
                <w:p w14:paraId="6210D831">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《国务院关于印发水污染防治行动计划的通知》(国发[2015]17号)</w:t>
                  </w:r>
                </w:p>
              </w:tc>
              <w:tc>
                <w:tcPr>
                  <w:tcW w:w="2579" w:type="pct"/>
                  <w:noWrap w:val="0"/>
                  <w:vAlign w:val="center"/>
                </w:tcPr>
                <w:p w14:paraId="66173298">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全面控制污染物排放：集中治理工业聚集区水污染。强化经济技术开发区、高新技术产业开发区、出口加工区等工业集聚区污染治理。集聚区内工业废水必须经预处理达到集中处理要求，方可进入污水集中处理设施</w:t>
                  </w:r>
                </w:p>
              </w:tc>
              <w:tc>
                <w:tcPr>
                  <w:tcW w:w="1030" w:type="pct"/>
                  <w:vMerge w:val="restart"/>
                  <w:noWrap w:val="0"/>
                  <w:vAlign w:val="center"/>
                </w:tcPr>
                <w:p w14:paraId="6ACE3575">
                  <w:pPr>
                    <w:pStyle w:val="4"/>
                    <w:keepLines w:val="0"/>
                    <w:pageBreakBefore w:val="0"/>
                    <w:widowControl w:val="0"/>
                    <w:kinsoku/>
                    <w:wordWrap/>
                    <w:topLinePunct w:val="0"/>
                    <w:bidi w:val="0"/>
                    <w:snapToGrid w:val="0"/>
                    <w:spacing w:before="0" w:after="0" w:line="240" w:lineRule="auto"/>
                    <w:ind w:left="0" w:firstLine="0"/>
                    <w:textAlignment w:val="auto"/>
                    <w:rPr>
                      <w:rFonts w:hint="default" w:ascii="Times New Roman" w:hAnsi="Times New Roman" w:eastAsia="宋体" w:cs="Times New Roman"/>
                      <w:color w:val="auto"/>
                      <w:sz w:val="21"/>
                      <w:szCs w:val="21"/>
                      <w:highlight w:val="none"/>
                      <w:lang w:val="en-US"/>
                    </w:rPr>
                  </w:pPr>
                  <w:r>
                    <w:rPr>
                      <w:rFonts w:hint="eastAsia" w:ascii="Times New Roman" w:hAnsi="Times New Roman" w:eastAsia="宋体" w:cs="Times New Roman"/>
                      <w:b w:val="0"/>
                      <w:bCs w:val="0"/>
                      <w:color w:val="auto"/>
                      <w:kern w:val="2"/>
                      <w:sz w:val="21"/>
                      <w:szCs w:val="21"/>
                      <w:highlight w:val="none"/>
                      <w:lang w:val="en-US" w:eastAsia="zh-CN" w:bidi="ar-SA"/>
                    </w:rPr>
                    <w:t>技改</w:t>
                  </w:r>
                  <w:r>
                    <w:rPr>
                      <w:rFonts w:hint="default" w:ascii="Times New Roman" w:hAnsi="Times New Roman" w:eastAsia="宋体" w:cs="Times New Roman"/>
                      <w:b w:val="0"/>
                      <w:bCs w:val="0"/>
                      <w:color w:val="auto"/>
                      <w:kern w:val="2"/>
                      <w:sz w:val="21"/>
                      <w:szCs w:val="21"/>
                      <w:highlight w:val="none"/>
                      <w:lang w:val="en-US" w:eastAsia="zh-CN" w:bidi="ar-SA"/>
                    </w:rPr>
                    <w:t>项目</w:t>
                  </w:r>
                  <w:r>
                    <w:rPr>
                      <w:rFonts w:hint="eastAsia" w:eastAsia="宋体" w:cs="Times New Roman"/>
                      <w:b w:val="0"/>
                      <w:bCs w:val="0"/>
                      <w:color w:val="auto"/>
                      <w:kern w:val="2"/>
                      <w:sz w:val="21"/>
                      <w:szCs w:val="21"/>
                      <w:highlight w:val="none"/>
                      <w:lang w:val="en-US" w:eastAsia="zh-CN" w:bidi="ar-SA"/>
                    </w:rPr>
                    <w:t>新增</w:t>
                  </w:r>
                  <w:r>
                    <w:rPr>
                      <w:rFonts w:hint="eastAsia" w:ascii="Times New Roman" w:hAnsi="Times New Roman" w:eastAsia="宋体" w:cs="Times New Roman"/>
                      <w:b w:val="0"/>
                      <w:bCs w:val="0"/>
                      <w:color w:val="auto"/>
                      <w:kern w:val="2"/>
                      <w:sz w:val="21"/>
                      <w:szCs w:val="21"/>
                      <w:highlight w:val="none"/>
                      <w:lang w:val="en-US" w:eastAsia="zh-CN" w:bidi="ar-SA"/>
                    </w:rPr>
                    <w:t>废水排放</w:t>
                  </w:r>
                </w:p>
              </w:tc>
              <w:tc>
                <w:tcPr>
                  <w:tcW w:w="610" w:type="pct"/>
                  <w:vMerge w:val="restart"/>
                  <w:noWrap w:val="0"/>
                  <w:vAlign w:val="center"/>
                </w:tcPr>
                <w:p w14:paraId="24102CFE">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w:t>
                  </w:r>
                </w:p>
              </w:tc>
            </w:tr>
            <w:tr w14:paraId="77D7F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7" w:hRule="atLeast"/>
                <w:jc w:val="center"/>
              </w:trPr>
              <w:tc>
                <w:tcPr>
                  <w:tcW w:w="779" w:type="pct"/>
                  <w:noWrap w:val="0"/>
                  <w:vAlign w:val="center"/>
                </w:tcPr>
                <w:p w14:paraId="730921FF">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《河北省水污染防治工作方案》(冀发[2015]28号)</w:t>
                  </w:r>
                </w:p>
              </w:tc>
              <w:tc>
                <w:tcPr>
                  <w:tcW w:w="2579" w:type="pct"/>
                  <w:noWrap w:val="0"/>
                  <w:vAlign w:val="center"/>
                </w:tcPr>
                <w:p w14:paraId="3C483750">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重点任务：（二）加强源头控制，严控水污染物排放总量。集中治理工业园区（工业聚集区）水污染…工业集聚区内工业废水须经预处理达到集中处理标准要求后，方可排入污水集中处理设施</w:t>
                  </w:r>
                </w:p>
              </w:tc>
              <w:tc>
                <w:tcPr>
                  <w:tcW w:w="1030" w:type="pct"/>
                  <w:vMerge w:val="continue"/>
                  <w:noWrap w:val="0"/>
                  <w:vAlign w:val="center"/>
                </w:tcPr>
                <w:p w14:paraId="16628A45">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c>
                <w:tcPr>
                  <w:tcW w:w="610" w:type="pct"/>
                  <w:vMerge w:val="continue"/>
                  <w:noWrap w:val="0"/>
                  <w:vAlign w:val="center"/>
                </w:tcPr>
                <w:p w14:paraId="30863275">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p>
              </w:tc>
            </w:tr>
            <w:tr w14:paraId="62DB6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779" w:type="pct"/>
                  <w:noWrap w:val="0"/>
                  <w:vAlign w:val="center"/>
                </w:tcPr>
                <w:p w14:paraId="1BA99AE7">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《土壤污染防治行动计划》(国发[2016]31号)</w:t>
                  </w:r>
                </w:p>
              </w:tc>
              <w:tc>
                <w:tcPr>
                  <w:tcW w:w="2579" w:type="pct"/>
                  <w:noWrap w:val="0"/>
                  <w:vAlign w:val="center"/>
                </w:tcPr>
                <w:p w14:paraId="46A22228">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结合区域功能定位和土壤污染防治需要，科学布局生活垃圾处理、危险废物处置、废旧资源再生利用等设施和场所</w:t>
                  </w:r>
                </w:p>
              </w:tc>
              <w:tc>
                <w:tcPr>
                  <w:tcW w:w="1030" w:type="pct"/>
                  <w:noWrap w:val="0"/>
                  <w:vAlign w:val="center"/>
                </w:tcPr>
                <w:p w14:paraId="482DA3BE">
                  <w:pPr>
                    <w:autoSpaceDE w:val="0"/>
                    <w:autoSpaceDN w:val="0"/>
                    <w:adjustRightInd w:val="0"/>
                    <w:snapToGrid w:val="0"/>
                    <w:spacing w:line="240" w:lineRule="atLeast"/>
                    <w:jc w:val="left"/>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技改项目不新增人员、</w:t>
                  </w:r>
                  <w:r>
                    <w:rPr>
                      <w:rFonts w:hint="eastAsia" w:cs="Times New Roman"/>
                      <w:color w:val="auto"/>
                      <w:sz w:val="21"/>
                      <w:szCs w:val="21"/>
                      <w:highlight w:val="none"/>
                      <w:lang w:val="en-US" w:eastAsia="zh-CN"/>
                    </w:rPr>
                    <w:t>有少量</w:t>
                  </w:r>
                  <w:r>
                    <w:rPr>
                      <w:rFonts w:hint="eastAsia" w:ascii="Times New Roman" w:hAnsi="Times New Roman" w:eastAsia="宋体" w:cs="Times New Roman"/>
                      <w:color w:val="auto"/>
                      <w:sz w:val="21"/>
                      <w:szCs w:val="21"/>
                      <w:highlight w:val="none"/>
                      <w:lang w:val="en-US" w:eastAsia="zh-CN"/>
                    </w:rPr>
                    <w:t>固体废弃物产生</w:t>
                  </w:r>
                </w:p>
              </w:tc>
              <w:tc>
                <w:tcPr>
                  <w:tcW w:w="610" w:type="pct"/>
                  <w:noWrap w:val="0"/>
                  <w:vAlign w:val="center"/>
                </w:tcPr>
                <w:p w14:paraId="580276BB">
                  <w:pPr>
                    <w:autoSpaceDE w:val="0"/>
                    <w:autoSpaceDN w:val="0"/>
                    <w:adjustRightInd w:val="0"/>
                    <w:snapToGrid w:val="0"/>
                    <w:spacing w:line="240" w:lineRule="atLeas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w:t>
                  </w:r>
                </w:p>
              </w:tc>
            </w:tr>
          </w:tbl>
          <w:p w14:paraId="46DF7644">
            <w:pPr>
              <w:pStyle w:val="101"/>
              <w:bidi w:val="0"/>
              <w:rPr>
                <w:color w:val="auto"/>
                <w:sz w:val="24"/>
                <w:szCs w:val="24"/>
                <w:highlight w:val="none"/>
              </w:rPr>
            </w:pPr>
            <w:r>
              <w:rPr>
                <w:rFonts w:hint="eastAsia"/>
                <w:color w:val="auto"/>
                <w:sz w:val="24"/>
                <w:szCs w:val="24"/>
                <w:highlight w:val="none"/>
                <w:lang w:val="en-US" w:eastAsia="zh-CN"/>
              </w:rPr>
              <w:t>三</w:t>
            </w:r>
            <w:r>
              <w:rPr>
                <w:color w:val="auto"/>
                <w:sz w:val="24"/>
                <w:szCs w:val="24"/>
                <w:highlight w:val="none"/>
              </w:rPr>
              <w:t>、项目与国家及地方产业政策符合性分析</w:t>
            </w:r>
          </w:p>
          <w:p w14:paraId="56E02FCB">
            <w:pPr>
              <w:pStyle w:val="91"/>
              <w:numPr>
                <w:ilvl w:val="0"/>
                <w:numId w:val="0"/>
              </w:numPr>
              <w:bidi w:val="0"/>
              <w:jc w:val="center"/>
              <w:rPr>
                <w:rFonts w:hint="eastAsia"/>
                <w:color w:val="auto"/>
                <w:sz w:val="24"/>
                <w:szCs w:val="24"/>
                <w:highlight w:val="none"/>
              </w:rPr>
            </w:pPr>
            <w:r>
              <w:rPr>
                <w:rFonts w:hint="eastAsia"/>
                <w:color w:val="auto"/>
                <w:sz w:val="24"/>
                <w:szCs w:val="24"/>
                <w:highlight w:val="none"/>
              </w:rPr>
              <w:t xml:space="preserve">表 </w:t>
            </w:r>
            <w:r>
              <w:rPr>
                <w:color w:val="auto"/>
                <w:sz w:val="24"/>
                <w:szCs w:val="24"/>
                <w:highlight w:val="none"/>
              </w:rPr>
              <w:t>1-</w:t>
            </w:r>
            <w:r>
              <w:rPr>
                <w:rFonts w:hint="eastAsia"/>
                <w:color w:val="auto"/>
                <w:sz w:val="24"/>
                <w:szCs w:val="24"/>
                <w:highlight w:val="none"/>
                <w:lang w:val="en-US" w:eastAsia="zh-CN"/>
              </w:rPr>
              <w:t>7</w:t>
            </w:r>
            <w:r>
              <w:rPr>
                <w:color w:val="auto"/>
                <w:sz w:val="24"/>
                <w:szCs w:val="24"/>
                <w:highlight w:val="none"/>
              </w:rPr>
              <w:tab/>
            </w:r>
            <w:r>
              <w:rPr>
                <w:rFonts w:hint="eastAsia"/>
                <w:color w:val="auto"/>
                <w:sz w:val="24"/>
                <w:szCs w:val="24"/>
                <w:highlight w:val="none"/>
                <w:lang w:eastAsia="zh-CN"/>
              </w:rPr>
              <w:t>技改项目</w:t>
            </w:r>
            <w:r>
              <w:rPr>
                <w:rFonts w:hint="eastAsia"/>
                <w:color w:val="auto"/>
                <w:sz w:val="24"/>
                <w:szCs w:val="24"/>
                <w:highlight w:val="none"/>
              </w:rPr>
              <w:t>与国家及地方产业政策符合性分析</w:t>
            </w:r>
          </w:p>
          <w:tbl>
            <w:tblPr>
              <w:tblStyle w:val="36"/>
              <w:tblW w:w="497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548"/>
              <w:gridCol w:w="836"/>
              <w:gridCol w:w="3072"/>
              <w:gridCol w:w="975"/>
            </w:tblGrid>
            <w:tr w14:paraId="0A93C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57152D9C">
                  <w:pPr>
                    <w:pStyle w:val="102"/>
                    <w:bidi w:val="0"/>
                    <w:rPr>
                      <w:color w:val="auto"/>
                      <w:sz w:val="21"/>
                      <w:szCs w:val="21"/>
                      <w:highlight w:val="none"/>
                    </w:rPr>
                  </w:pPr>
                  <w:r>
                    <w:rPr>
                      <w:color w:val="auto"/>
                      <w:sz w:val="21"/>
                      <w:szCs w:val="21"/>
                      <w:highlight w:val="none"/>
                    </w:rPr>
                    <w:t>依据文件</w:t>
                  </w:r>
                </w:p>
              </w:tc>
              <w:tc>
                <w:tcPr>
                  <w:tcW w:w="837" w:type="dxa"/>
                  <w:tcBorders>
                    <w:tl2br w:val="nil"/>
                    <w:tr2bl w:val="nil"/>
                  </w:tcBorders>
                  <w:noWrap w:val="0"/>
                  <w:vAlign w:val="center"/>
                </w:tcPr>
                <w:p w14:paraId="3C857647">
                  <w:pPr>
                    <w:pStyle w:val="102"/>
                    <w:bidi w:val="0"/>
                    <w:rPr>
                      <w:color w:val="auto"/>
                      <w:sz w:val="21"/>
                      <w:szCs w:val="21"/>
                      <w:highlight w:val="none"/>
                    </w:rPr>
                  </w:pPr>
                  <w:r>
                    <w:rPr>
                      <w:color w:val="auto"/>
                      <w:sz w:val="21"/>
                      <w:szCs w:val="21"/>
                      <w:highlight w:val="none"/>
                    </w:rPr>
                    <w:t>产业政策要求</w:t>
                  </w:r>
                </w:p>
              </w:tc>
              <w:tc>
                <w:tcPr>
                  <w:tcW w:w="3076" w:type="dxa"/>
                  <w:tcBorders>
                    <w:tl2br w:val="nil"/>
                    <w:tr2bl w:val="nil"/>
                  </w:tcBorders>
                  <w:noWrap w:val="0"/>
                  <w:vAlign w:val="center"/>
                </w:tcPr>
                <w:p w14:paraId="61825DC3">
                  <w:pPr>
                    <w:pStyle w:val="102"/>
                    <w:bidi w:val="0"/>
                    <w:rPr>
                      <w:color w:val="auto"/>
                      <w:sz w:val="21"/>
                      <w:szCs w:val="21"/>
                      <w:highlight w:val="none"/>
                    </w:rPr>
                  </w:pPr>
                  <w:r>
                    <w:rPr>
                      <w:color w:val="auto"/>
                      <w:sz w:val="21"/>
                      <w:szCs w:val="21"/>
                      <w:highlight w:val="none"/>
                    </w:rPr>
                    <w:t>项目情况</w:t>
                  </w:r>
                </w:p>
              </w:tc>
              <w:tc>
                <w:tcPr>
                  <w:tcW w:w="976" w:type="dxa"/>
                  <w:tcBorders>
                    <w:tl2br w:val="nil"/>
                    <w:tr2bl w:val="nil"/>
                  </w:tcBorders>
                  <w:noWrap w:val="0"/>
                  <w:vAlign w:val="center"/>
                </w:tcPr>
                <w:p w14:paraId="1ADEFF6A">
                  <w:pPr>
                    <w:pStyle w:val="102"/>
                    <w:bidi w:val="0"/>
                    <w:rPr>
                      <w:color w:val="auto"/>
                      <w:sz w:val="21"/>
                      <w:szCs w:val="21"/>
                      <w:highlight w:val="none"/>
                    </w:rPr>
                  </w:pPr>
                  <w:r>
                    <w:rPr>
                      <w:color w:val="auto"/>
                      <w:sz w:val="21"/>
                      <w:szCs w:val="21"/>
                      <w:highlight w:val="none"/>
                    </w:rPr>
                    <w:t>符合情况</w:t>
                  </w:r>
                </w:p>
              </w:tc>
            </w:tr>
            <w:tr w14:paraId="67B0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4A5A25F5">
                  <w:pPr>
                    <w:pStyle w:val="103"/>
                    <w:bidi w:val="0"/>
                    <w:jc w:val="center"/>
                    <w:rPr>
                      <w:rFonts w:hint="default"/>
                      <w:color w:val="auto"/>
                      <w:sz w:val="21"/>
                      <w:szCs w:val="21"/>
                      <w:highlight w:val="none"/>
                      <w:lang w:val="en-US"/>
                    </w:rPr>
                  </w:pPr>
                  <w:r>
                    <w:rPr>
                      <w:rFonts w:hint="eastAsia"/>
                      <w:color w:val="auto"/>
                      <w:sz w:val="21"/>
                      <w:szCs w:val="21"/>
                      <w:highlight w:val="none"/>
                      <w:lang w:eastAsia="zh-CN"/>
                    </w:rPr>
                    <w:t>《产业结构调整指导目录（2024</w:t>
                  </w:r>
                  <w:r>
                    <w:rPr>
                      <w:rFonts w:hint="eastAsia"/>
                      <w:color w:val="auto"/>
                      <w:sz w:val="21"/>
                      <w:szCs w:val="21"/>
                      <w:highlight w:val="none"/>
                      <w:lang w:val="en-US" w:eastAsia="zh-CN"/>
                    </w:rPr>
                    <w:t>年</w:t>
                  </w:r>
                  <w:r>
                    <w:rPr>
                      <w:rFonts w:hint="eastAsia"/>
                      <w:color w:val="auto"/>
                      <w:sz w:val="21"/>
                      <w:szCs w:val="21"/>
                      <w:highlight w:val="none"/>
                      <w:lang w:eastAsia="zh-CN"/>
                    </w:rPr>
                    <w:t>本）</w:t>
                  </w:r>
                  <w:r>
                    <w:rPr>
                      <w:color w:val="auto"/>
                      <w:sz w:val="21"/>
                      <w:szCs w:val="21"/>
                      <w:highlight w:val="none"/>
                    </w:rPr>
                    <w:t>》</w:t>
                  </w:r>
                </w:p>
              </w:tc>
              <w:tc>
                <w:tcPr>
                  <w:tcW w:w="837" w:type="dxa"/>
                  <w:tcBorders>
                    <w:tl2br w:val="nil"/>
                    <w:tr2bl w:val="nil"/>
                  </w:tcBorders>
                  <w:noWrap w:val="0"/>
                  <w:vAlign w:val="center"/>
                </w:tcPr>
                <w:p w14:paraId="2800C662">
                  <w:pPr>
                    <w:pStyle w:val="103"/>
                    <w:bidi w:val="0"/>
                    <w:jc w:val="center"/>
                    <w:rPr>
                      <w:rFonts w:hint="eastAsia" w:eastAsia="宋体"/>
                      <w:color w:val="auto"/>
                      <w:sz w:val="21"/>
                      <w:szCs w:val="21"/>
                      <w:highlight w:val="none"/>
                      <w:lang w:val="en-US" w:eastAsia="zh-CN"/>
                    </w:rPr>
                  </w:pPr>
                  <w:r>
                    <w:rPr>
                      <w:rFonts w:hint="eastAsia"/>
                      <w:color w:val="auto"/>
                      <w:sz w:val="21"/>
                      <w:szCs w:val="21"/>
                      <w:highlight w:val="none"/>
                      <w:lang w:val="en-US" w:eastAsia="zh-CN"/>
                    </w:rPr>
                    <w:t>/</w:t>
                  </w:r>
                </w:p>
              </w:tc>
              <w:tc>
                <w:tcPr>
                  <w:tcW w:w="3076" w:type="dxa"/>
                  <w:tcBorders>
                    <w:tl2br w:val="nil"/>
                    <w:tr2bl w:val="nil"/>
                  </w:tcBorders>
                  <w:noWrap w:val="0"/>
                  <w:vAlign w:val="center"/>
                </w:tcPr>
                <w:p w14:paraId="35AEF468">
                  <w:pPr>
                    <w:pStyle w:val="103"/>
                    <w:bidi w:val="0"/>
                    <w:jc w:val="center"/>
                    <w:rPr>
                      <w:rFonts w:hint="default"/>
                      <w:color w:val="auto"/>
                      <w:sz w:val="21"/>
                      <w:szCs w:val="21"/>
                      <w:highlight w:val="none"/>
                      <w:lang w:val="en-US"/>
                    </w:rPr>
                  </w:pPr>
                  <w:r>
                    <w:rPr>
                      <w:rFonts w:hint="eastAsia"/>
                      <w:color w:val="auto"/>
                      <w:sz w:val="21"/>
                      <w:szCs w:val="21"/>
                      <w:highlight w:val="none"/>
                      <w:lang w:val="en-US" w:eastAsia="zh-CN"/>
                    </w:rPr>
                    <w:t>企业现有项目</w:t>
                  </w:r>
                  <w:r>
                    <w:rPr>
                      <w:color w:val="auto"/>
                      <w:sz w:val="21"/>
                      <w:szCs w:val="21"/>
                      <w:highlight w:val="none"/>
                    </w:rPr>
                    <w:t>属于黑色金属铸造、</w:t>
                  </w:r>
                  <w:r>
                    <w:rPr>
                      <w:rFonts w:hint="default"/>
                      <w:color w:val="auto"/>
                      <w:sz w:val="21"/>
                      <w:szCs w:val="21"/>
                      <w:highlight w:val="none"/>
                      <w:lang w:val="en-US" w:eastAsia="zh-CN"/>
                    </w:rPr>
                    <w:t>汽车零部件及配件制造</w:t>
                  </w:r>
                  <w:r>
                    <w:rPr>
                      <w:color w:val="auto"/>
                      <w:sz w:val="21"/>
                      <w:szCs w:val="21"/>
                      <w:highlight w:val="none"/>
                    </w:rPr>
                    <w:t>项目，建设内容、所选用的工艺、生产设备及生产的产品均未列入国家发改委令20</w:t>
                  </w:r>
                  <w:r>
                    <w:rPr>
                      <w:rFonts w:hint="eastAsia"/>
                      <w:color w:val="auto"/>
                      <w:sz w:val="21"/>
                      <w:szCs w:val="21"/>
                      <w:highlight w:val="none"/>
                      <w:lang w:val="en-US" w:eastAsia="zh-CN"/>
                    </w:rPr>
                    <w:t>23</w:t>
                  </w:r>
                  <w:r>
                    <w:rPr>
                      <w:color w:val="auto"/>
                      <w:sz w:val="21"/>
                      <w:szCs w:val="21"/>
                      <w:highlight w:val="none"/>
                    </w:rPr>
                    <w:t>年第</w:t>
                  </w:r>
                  <w:r>
                    <w:rPr>
                      <w:rFonts w:hint="eastAsia"/>
                      <w:color w:val="auto"/>
                      <w:sz w:val="21"/>
                      <w:szCs w:val="21"/>
                      <w:highlight w:val="none"/>
                      <w:lang w:val="en-US" w:eastAsia="zh-CN"/>
                    </w:rPr>
                    <w:t>7</w:t>
                  </w:r>
                  <w:r>
                    <w:rPr>
                      <w:color w:val="auto"/>
                      <w:sz w:val="21"/>
                      <w:szCs w:val="21"/>
                      <w:highlight w:val="none"/>
                    </w:rPr>
                    <w:t xml:space="preserve"> </w:t>
                  </w:r>
                  <w:r>
                    <w:rPr>
                      <w:rFonts w:hint="eastAsia" w:ascii="Times New Roman" w:hAnsi="Times New Roman" w:cs="Times New Roman"/>
                      <w:color w:val="auto"/>
                      <w:sz w:val="21"/>
                      <w:szCs w:val="21"/>
                      <w:highlight w:val="none"/>
                      <w:lang w:val="en-US" w:eastAsia="zh-CN"/>
                    </w:rPr>
                    <w:t>号令《</w:t>
                  </w:r>
                  <w:r>
                    <w:rPr>
                      <w:rFonts w:hint="eastAsia" w:cs="Times New Roman"/>
                      <w:color w:val="auto"/>
                      <w:sz w:val="21"/>
                      <w:szCs w:val="21"/>
                      <w:highlight w:val="none"/>
                      <w:lang w:val="en-US" w:eastAsia="zh-CN"/>
                    </w:rPr>
                    <w:t>产业结构调整指导目录（2024 年本）</w:t>
                  </w:r>
                  <w:r>
                    <w:rPr>
                      <w:rFonts w:hint="eastAsia"/>
                      <w:color w:val="auto"/>
                      <w:sz w:val="21"/>
                      <w:szCs w:val="21"/>
                      <w:highlight w:val="none"/>
                      <w:lang w:val="en-US" w:eastAsia="zh-CN"/>
                    </w:rPr>
                    <w:t>》中“限制类”、“淘汰类”之内，本次技改利用已有生产车间</w:t>
                  </w:r>
                  <w:r>
                    <w:rPr>
                      <w:rFonts w:hint="eastAsia"/>
                      <w:color w:val="auto"/>
                      <w:sz w:val="21"/>
                      <w:szCs w:val="21"/>
                      <w:highlight w:val="none"/>
                    </w:rPr>
                    <w:t>，对喷漆线进行技改，喷漆前增加清洗烘干线，提高喷漆质量</w:t>
                  </w:r>
                  <w:r>
                    <w:rPr>
                      <w:rFonts w:hint="eastAsia"/>
                      <w:color w:val="auto"/>
                      <w:sz w:val="21"/>
                      <w:szCs w:val="21"/>
                      <w:highlight w:val="none"/>
                      <w:lang w:val="en-US" w:eastAsia="zh-CN"/>
                    </w:rPr>
                    <w:t>；生产规模均不变。</w:t>
                  </w:r>
                </w:p>
              </w:tc>
              <w:tc>
                <w:tcPr>
                  <w:tcW w:w="976" w:type="dxa"/>
                  <w:tcBorders>
                    <w:tl2br w:val="nil"/>
                    <w:tr2bl w:val="nil"/>
                  </w:tcBorders>
                  <w:noWrap w:val="0"/>
                  <w:vAlign w:val="center"/>
                </w:tcPr>
                <w:p w14:paraId="4134F3EF">
                  <w:pPr>
                    <w:pStyle w:val="103"/>
                    <w:bidi w:val="0"/>
                    <w:jc w:val="center"/>
                    <w:rPr>
                      <w:color w:val="auto"/>
                      <w:sz w:val="21"/>
                      <w:szCs w:val="21"/>
                      <w:highlight w:val="none"/>
                    </w:rPr>
                  </w:pPr>
                </w:p>
                <w:p w14:paraId="0D606279">
                  <w:pPr>
                    <w:pStyle w:val="103"/>
                    <w:bidi w:val="0"/>
                    <w:jc w:val="center"/>
                    <w:rPr>
                      <w:color w:val="auto"/>
                      <w:sz w:val="21"/>
                      <w:szCs w:val="21"/>
                      <w:highlight w:val="none"/>
                    </w:rPr>
                  </w:pPr>
                  <w:r>
                    <w:rPr>
                      <w:color w:val="auto"/>
                      <w:sz w:val="21"/>
                      <w:szCs w:val="21"/>
                      <w:highlight w:val="none"/>
                    </w:rPr>
                    <w:t>属于</w:t>
                  </w:r>
                  <w:r>
                    <w:rPr>
                      <w:rFonts w:hint="eastAsia"/>
                      <w:color w:val="auto"/>
                      <w:sz w:val="21"/>
                      <w:szCs w:val="21"/>
                      <w:highlight w:val="none"/>
                      <w:lang w:val="en-US" w:eastAsia="zh-CN"/>
                    </w:rPr>
                    <w:t>允许</w:t>
                  </w:r>
                  <w:r>
                    <w:rPr>
                      <w:color w:val="auto"/>
                      <w:sz w:val="21"/>
                      <w:szCs w:val="21"/>
                      <w:highlight w:val="none"/>
                    </w:rPr>
                    <w:t>类项目</w:t>
                  </w:r>
                </w:p>
              </w:tc>
            </w:tr>
            <w:tr w14:paraId="622AB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69" w:hRule="atLeast"/>
                <w:jc w:val="center"/>
              </w:trPr>
              <w:tc>
                <w:tcPr>
                  <w:tcW w:w="2552" w:type="dxa"/>
                  <w:tcBorders>
                    <w:tl2br w:val="nil"/>
                    <w:tr2bl w:val="nil"/>
                  </w:tcBorders>
                  <w:noWrap w:val="0"/>
                  <w:vAlign w:val="center"/>
                </w:tcPr>
                <w:p w14:paraId="2553839F">
                  <w:pPr>
                    <w:pStyle w:val="103"/>
                    <w:bidi w:val="0"/>
                    <w:jc w:val="center"/>
                    <w:rPr>
                      <w:rFonts w:hint="eastAsia" w:eastAsia="宋体"/>
                      <w:color w:val="000000" w:themeColor="text1"/>
                      <w:sz w:val="21"/>
                      <w:szCs w:val="21"/>
                      <w:highlight w:val="none"/>
                      <w:lang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《高耗能落后机电设备（产品）淘汰目录（第一批）》</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工节〔2009〕第 67 号</w:t>
                  </w:r>
                  <w:r>
                    <w:rPr>
                      <w:rFonts w:hint="eastAsia"/>
                      <w:color w:val="000000" w:themeColor="text1"/>
                      <w:sz w:val="21"/>
                      <w:szCs w:val="21"/>
                      <w:highlight w:val="none"/>
                      <w:lang w:eastAsia="zh-CN"/>
                      <w14:textFill>
                        <w14:solidFill>
                          <w14:schemeClr w14:val="tx1"/>
                        </w14:solidFill>
                      </w14:textFill>
                    </w:rPr>
                    <w:t>）</w:t>
                  </w:r>
                </w:p>
              </w:tc>
              <w:tc>
                <w:tcPr>
                  <w:tcW w:w="837" w:type="dxa"/>
                  <w:vMerge w:val="restart"/>
                  <w:tcBorders>
                    <w:tl2br w:val="nil"/>
                    <w:tr2bl w:val="nil"/>
                  </w:tcBorders>
                  <w:noWrap w:val="0"/>
                  <w:vAlign w:val="center"/>
                </w:tcPr>
                <w:p w14:paraId="61E2994F">
                  <w:pPr>
                    <w:pStyle w:val="103"/>
                    <w:bidi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3076" w:type="dxa"/>
                  <w:vMerge w:val="restart"/>
                  <w:tcBorders>
                    <w:tl2br w:val="nil"/>
                    <w:tr2bl w:val="nil"/>
                  </w:tcBorders>
                  <w:noWrap w:val="0"/>
                  <w:vAlign w:val="center"/>
                </w:tcPr>
                <w:p w14:paraId="35A4AFE2">
                  <w:pPr>
                    <w:pStyle w:val="103"/>
                    <w:bidi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技改项目</w:t>
                  </w:r>
                  <w:r>
                    <w:rPr>
                      <w:color w:val="000000" w:themeColor="text1"/>
                      <w:sz w:val="21"/>
                      <w:szCs w:val="21"/>
                      <w:highlight w:val="none"/>
                      <w14:textFill>
                        <w14:solidFill>
                          <w14:schemeClr w14:val="tx1"/>
                        </w14:solidFill>
                      </w14:textFill>
                    </w:rPr>
                    <w:t>设备未列入</w:t>
                  </w:r>
                  <w:r>
                    <w:rPr>
                      <w:rFonts w:hint="eastAsia"/>
                      <w:color w:val="000000" w:themeColor="text1"/>
                      <w:sz w:val="21"/>
                      <w:szCs w:val="21"/>
                      <w:highlight w:val="none"/>
                      <w:lang w:val="en-US" w:eastAsia="zh-CN"/>
                      <w14:textFill>
                        <w14:solidFill>
                          <w14:schemeClr w14:val="tx1"/>
                        </w14:solidFill>
                      </w14:textFill>
                    </w:rPr>
                    <w:t>第一批、</w:t>
                  </w:r>
                  <w:r>
                    <w:rPr>
                      <w:color w:val="000000" w:themeColor="text1"/>
                      <w:sz w:val="21"/>
                      <w:szCs w:val="21"/>
                      <w:highlight w:val="none"/>
                      <w14:textFill>
                        <w14:solidFill>
                          <w14:schemeClr w14:val="tx1"/>
                        </w14:solidFill>
                      </w14:textFill>
                    </w:rPr>
                    <w:t>第二批、第三批、第四批高耗能落后机电设备（产品淘汰目录之列）</w:t>
                  </w:r>
                </w:p>
              </w:tc>
              <w:tc>
                <w:tcPr>
                  <w:tcW w:w="976" w:type="dxa"/>
                  <w:vMerge w:val="restart"/>
                  <w:tcBorders>
                    <w:tl2br w:val="nil"/>
                    <w:tr2bl w:val="nil"/>
                  </w:tcBorders>
                  <w:noWrap w:val="0"/>
                  <w:vAlign w:val="center"/>
                </w:tcPr>
                <w:p w14:paraId="612F20A8">
                  <w:pPr>
                    <w:pStyle w:val="103"/>
                    <w:bidi w:val="0"/>
                    <w:jc w:val="center"/>
                    <w:rPr>
                      <w:color w:val="000000" w:themeColor="text1"/>
                      <w:sz w:val="21"/>
                      <w:szCs w:val="21"/>
                      <w:highlight w:val="none"/>
                      <w14:textFill>
                        <w14:solidFill>
                          <w14:schemeClr w14:val="tx1"/>
                        </w14:solidFill>
                      </w14:textFill>
                    </w:rPr>
                  </w:pPr>
                </w:p>
                <w:p w14:paraId="1B682125">
                  <w:pPr>
                    <w:pStyle w:val="103"/>
                    <w:bidi w:val="0"/>
                    <w:jc w:val="cente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符合要求</w:t>
                  </w:r>
                </w:p>
                <w:p w14:paraId="37CDED3D">
                  <w:pPr>
                    <w:pStyle w:val="103"/>
                    <w:bidi w:val="0"/>
                    <w:jc w:val="center"/>
                    <w:rPr>
                      <w:color w:val="000000" w:themeColor="text1"/>
                      <w:sz w:val="21"/>
                      <w:szCs w:val="21"/>
                      <w:highlight w:val="none"/>
                      <w14:textFill>
                        <w14:solidFill>
                          <w14:schemeClr w14:val="tx1"/>
                        </w14:solidFill>
                      </w14:textFill>
                    </w:rPr>
                  </w:pPr>
                </w:p>
              </w:tc>
            </w:tr>
            <w:tr w14:paraId="26C89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37E9F971">
                  <w:pPr>
                    <w:pStyle w:val="103"/>
                    <w:bidi w:val="0"/>
                    <w:jc w:val="both"/>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《高耗能落后机电设备（产品）淘汰目录（第二批）》（工节［2012］第 14 号）</w:t>
                  </w:r>
                </w:p>
              </w:tc>
              <w:tc>
                <w:tcPr>
                  <w:tcW w:w="837" w:type="dxa"/>
                  <w:vMerge w:val="continue"/>
                  <w:tcBorders>
                    <w:tl2br w:val="nil"/>
                    <w:tr2bl w:val="nil"/>
                  </w:tcBorders>
                  <w:noWrap w:val="0"/>
                  <w:vAlign w:val="center"/>
                </w:tcPr>
                <w:p w14:paraId="0040A47F">
                  <w:pPr>
                    <w:pStyle w:val="103"/>
                    <w:bidi w:val="0"/>
                    <w:jc w:val="center"/>
                    <w:rPr>
                      <w:rFonts w:hint="eastAsia" w:eastAsia="宋体"/>
                      <w:color w:val="000000" w:themeColor="text1"/>
                      <w:sz w:val="21"/>
                      <w:szCs w:val="21"/>
                      <w:highlight w:val="none"/>
                      <w:lang w:val="en-US" w:eastAsia="zh-CN"/>
                      <w14:textFill>
                        <w14:solidFill>
                          <w14:schemeClr w14:val="tx1"/>
                        </w14:solidFill>
                      </w14:textFill>
                    </w:rPr>
                  </w:pPr>
                </w:p>
              </w:tc>
              <w:tc>
                <w:tcPr>
                  <w:tcW w:w="3076" w:type="dxa"/>
                  <w:vMerge w:val="continue"/>
                  <w:tcBorders>
                    <w:tl2br w:val="nil"/>
                    <w:tr2bl w:val="nil"/>
                  </w:tcBorders>
                  <w:noWrap w:val="0"/>
                  <w:vAlign w:val="center"/>
                </w:tcPr>
                <w:p w14:paraId="6D22D2EB">
                  <w:pPr>
                    <w:pStyle w:val="103"/>
                    <w:bidi w:val="0"/>
                    <w:jc w:val="center"/>
                    <w:rPr>
                      <w:color w:val="000000" w:themeColor="text1"/>
                      <w:sz w:val="21"/>
                      <w:szCs w:val="21"/>
                      <w:highlight w:val="none"/>
                      <w14:textFill>
                        <w14:solidFill>
                          <w14:schemeClr w14:val="tx1"/>
                        </w14:solidFill>
                      </w14:textFill>
                    </w:rPr>
                  </w:pPr>
                </w:p>
              </w:tc>
              <w:tc>
                <w:tcPr>
                  <w:tcW w:w="976" w:type="dxa"/>
                  <w:vMerge w:val="continue"/>
                  <w:tcBorders>
                    <w:tl2br w:val="nil"/>
                    <w:tr2bl w:val="nil"/>
                  </w:tcBorders>
                  <w:noWrap w:val="0"/>
                  <w:vAlign w:val="center"/>
                </w:tcPr>
                <w:p w14:paraId="2EECC20F">
                  <w:pPr>
                    <w:pStyle w:val="103"/>
                    <w:bidi w:val="0"/>
                    <w:jc w:val="center"/>
                    <w:rPr>
                      <w:color w:val="000000" w:themeColor="text1"/>
                      <w:sz w:val="21"/>
                      <w:szCs w:val="21"/>
                      <w:highlight w:val="none"/>
                      <w14:textFill>
                        <w14:solidFill>
                          <w14:schemeClr w14:val="tx1"/>
                        </w14:solidFill>
                      </w14:textFill>
                    </w:rPr>
                  </w:pPr>
                </w:p>
              </w:tc>
            </w:tr>
            <w:tr w14:paraId="73255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15824C60">
                  <w:pPr>
                    <w:pStyle w:val="103"/>
                    <w:bidi w:val="0"/>
                    <w:jc w:val="both"/>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《高耗能落后机电设备（产品）淘汰目录（第三批）》（工节［2014］年第 16 号</w:t>
                  </w:r>
                </w:p>
              </w:tc>
              <w:tc>
                <w:tcPr>
                  <w:tcW w:w="837" w:type="dxa"/>
                  <w:vMerge w:val="continue"/>
                  <w:tcBorders>
                    <w:tl2br w:val="nil"/>
                    <w:tr2bl w:val="nil"/>
                  </w:tcBorders>
                  <w:noWrap w:val="0"/>
                  <w:vAlign w:val="center"/>
                </w:tcPr>
                <w:p w14:paraId="748B86AB">
                  <w:pPr>
                    <w:pStyle w:val="103"/>
                    <w:bidi w:val="0"/>
                    <w:jc w:val="center"/>
                    <w:rPr>
                      <w:color w:val="000000" w:themeColor="text1"/>
                      <w:sz w:val="21"/>
                      <w:szCs w:val="21"/>
                      <w:highlight w:val="none"/>
                      <w14:textFill>
                        <w14:solidFill>
                          <w14:schemeClr w14:val="tx1"/>
                        </w14:solidFill>
                      </w14:textFill>
                    </w:rPr>
                  </w:pPr>
                </w:p>
              </w:tc>
              <w:tc>
                <w:tcPr>
                  <w:tcW w:w="3076" w:type="dxa"/>
                  <w:vMerge w:val="continue"/>
                  <w:tcBorders>
                    <w:tl2br w:val="nil"/>
                    <w:tr2bl w:val="nil"/>
                  </w:tcBorders>
                  <w:noWrap w:val="0"/>
                  <w:vAlign w:val="center"/>
                </w:tcPr>
                <w:p w14:paraId="171B663F">
                  <w:pPr>
                    <w:pStyle w:val="103"/>
                    <w:bidi w:val="0"/>
                    <w:jc w:val="center"/>
                    <w:rPr>
                      <w:color w:val="000000" w:themeColor="text1"/>
                      <w:sz w:val="21"/>
                      <w:szCs w:val="21"/>
                      <w:highlight w:val="none"/>
                      <w14:textFill>
                        <w14:solidFill>
                          <w14:schemeClr w14:val="tx1"/>
                        </w14:solidFill>
                      </w14:textFill>
                    </w:rPr>
                  </w:pPr>
                </w:p>
              </w:tc>
              <w:tc>
                <w:tcPr>
                  <w:tcW w:w="976" w:type="dxa"/>
                  <w:vMerge w:val="continue"/>
                  <w:tcBorders>
                    <w:tl2br w:val="nil"/>
                    <w:tr2bl w:val="nil"/>
                  </w:tcBorders>
                  <w:noWrap w:val="0"/>
                  <w:vAlign w:val="center"/>
                </w:tcPr>
                <w:p w14:paraId="0067CFB7">
                  <w:pPr>
                    <w:pStyle w:val="103"/>
                    <w:bidi w:val="0"/>
                    <w:jc w:val="center"/>
                    <w:rPr>
                      <w:color w:val="000000" w:themeColor="text1"/>
                      <w:sz w:val="21"/>
                      <w:szCs w:val="21"/>
                      <w:highlight w:val="none"/>
                      <w14:textFill>
                        <w14:solidFill>
                          <w14:schemeClr w14:val="tx1"/>
                        </w14:solidFill>
                      </w14:textFill>
                    </w:rPr>
                  </w:pPr>
                </w:p>
              </w:tc>
            </w:tr>
            <w:tr w14:paraId="5EC22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0FD108B9">
                  <w:pPr>
                    <w:pStyle w:val="103"/>
                    <w:bidi w:val="0"/>
                    <w:jc w:val="both"/>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t>《高耗能落后机电设备（产品）淘汰目录（第四批）》［2016］年第 13 号）</w:t>
                  </w:r>
                </w:p>
              </w:tc>
              <w:tc>
                <w:tcPr>
                  <w:tcW w:w="837" w:type="dxa"/>
                  <w:vMerge w:val="continue"/>
                  <w:tcBorders>
                    <w:tl2br w:val="nil"/>
                    <w:tr2bl w:val="nil"/>
                  </w:tcBorders>
                  <w:noWrap w:val="0"/>
                  <w:vAlign w:val="center"/>
                </w:tcPr>
                <w:p w14:paraId="413FD105">
                  <w:pPr>
                    <w:pStyle w:val="103"/>
                    <w:bidi w:val="0"/>
                    <w:jc w:val="center"/>
                    <w:rPr>
                      <w:color w:val="000000" w:themeColor="text1"/>
                      <w:sz w:val="21"/>
                      <w:szCs w:val="21"/>
                      <w:highlight w:val="none"/>
                      <w14:textFill>
                        <w14:solidFill>
                          <w14:schemeClr w14:val="tx1"/>
                        </w14:solidFill>
                      </w14:textFill>
                    </w:rPr>
                  </w:pPr>
                </w:p>
              </w:tc>
              <w:tc>
                <w:tcPr>
                  <w:tcW w:w="3076" w:type="dxa"/>
                  <w:vMerge w:val="continue"/>
                  <w:tcBorders>
                    <w:tl2br w:val="nil"/>
                    <w:tr2bl w:val="nil"/>
                  </w:tcBorders>
                  <w:noWrap w:val="0"/>
                  <w:vAlign w:val="center"/>
                </w:tcPr>
                <w:p w14:paraId="38EE0328">
                  <w:pPr>
                    <w:pStyle w:val="103"/>
                    <w:bidi w:val="0"/>
                    <w:jc w:val="center"/>
                    <w:rPr>
                      <w:color w:val="000000" w:themeColor="text1"/>
                      <w:sz w:val="21"/>
                      <w:szCs w:val="21"/>
                      <w:highlight w:val="none"/>
                      <w14:textFill>
                        <w14:solidFill>
                          <w14:schemeClr w14:val="tx1"/>
                        </w14:solidFill>
                      </w14:textFill>
                    </w:rPr>
                  </w:pPr>
                </w:p>
              </w:tc>
              <w:tc>
                <w:tcPr>
                  <w:tcW w:w="976" w:type="dxa"/>
                  <w:vMerge w:val="continue"/>
                  <w:tcBorders>
                    <w:tl2br w:val="nil"/>
                    <w:tr2bl w:val="nil"/>
                  </w:tcBorders>
                  <w:noWrap w:val="0"/>
                  <w:vAlign w:val="center"/>
                </w:tcPr>
                <w:p w14:paraId="197B533F">
                  <w:pPr>
                    <w:pStyle w:val="103"/>
                    <w:bidi w:val="0"/>
                    <w:jc w:val="center"/>
                    <w:rPr>
                      <w:color w:val="000000" w:themeColor="text1"/>
                      <w:sz w:val="21"/>
                      <w:szCs w:val="21"/>
                      <w:highlight w:val="none"/>
                      <w14:textFill>
                        <w14:solidFill>
                          <w14:schemeClr w14:val="tx1"/>
                        </w14:solidFill>
                      </w14:textFill>
                    </w:rPr>
                  </w:pPr>
                </w:p>
              </w:tc>
            </w:tr>
            <w:tr w14:paraId="024BD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552" w:type="dxa"/>
                  <w:tcBorders>
                    <w:tl2br w:val="nil"/>
                    <w:tr2bl w:val="nil"/>
                  </w:tcBorders>
                  <w:noWrap w:val="0"/>
                  <w:vAlign w:val="center"/>
                </w:tcPr>
                <w:p w14:paraId="6FED22C4">
                  <w:pPr>
                    <w:pStyle w:val="103"/>
                    <w:bidi w:val="0"/>
                    <w:jc w:val="both"/>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《市场准入负面清单》（2025年版）</w:t>
                  </w:r>
                  <w:r>
                    <w:rPr>
                      <w:rFonts w:hint="eastAsia"/>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发改体改规〔2025〕579 号</w:t>
                  </w:r>
                  <w:r>
                    <w:rPr>
                      <w:rFonts w:hint="eastAsia"/>
                      <w:color w:val="000000" w:themeColor="text1"/>
                      <w:sz w:val="21"/>
                      <w:szCs w:val="21"/>
                      <w:highlight w:val="none"/>
                      <w:lang w:val="en-US" w:eastAsia="zh-CN"/>
                      <w14:textFill>
                        <w14:solidFill>
                          <w14:schemeClr w14:val="tx1"/>
                        </w14:solidFill>
                      </w14:textFill>
                    </w:rPr>
                    <w:t>)</w:t>
                  </w:r>
                </w:p>
              </w:tc>
              <w:tc>
                <w:tcPr>
                  <w:tcW w:w="837" w:type="dxa"/>
                  <w:tcBorders>
                    <w:tl2br w:val="nil"/>
                    <w:tr2bl w:val="nil"/>
                  </w:tcBorders>
                  <w:noWrap w:val="0"/>
                  <w:vAlign w:val="center"/>
                </w:tcPr>
                <w:p w14:paraId="5920B6F2">
                  <w:pPr>
                    <w:pStyle w:val="103"/>
                    <w:bidi w:val="0"/>
                    <w:jc w:val="center"/>
                    <w:rPr>
                      <w:rFonts w:hint="eastAsia"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w:t>
                  </w:r>
                </w:p>
              </w:tc>
              <w:tc>
                <w:tcPr>
                  <w:tcW w:w="3076" w:type="dxa"/>
                  <w:tcBorders>
                    <w:tl2br w:val="nil"/>
                    <w:tr2bl w:val="nil"/>
                  </w:tcBorders>
                  <w:noWrap w:val="0"/>
                  <w:vAlign w:val="center"/>
                </w:tcPr>
                <w:p w14:paraId="6D97A893">
                  <w:pPr>
                    <w:pStyle w:val="103"/>
                    <w:bidi w:val="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技改项目未在市场准入负面清单之列。</w:t>
                  </w:r>
                </w:p>
              </w:tc>
              <w:tc>
                <w:tcPr>
                  <w:tcW w:w="976" w:type="dxa"/>
                  <w:tcBorders>
                    <w:tl2br w:val="nil"/>
                    <w:tr2bl w:val="nil"/>
                  </w:tcBorders>
                  <w:noWrap w:val="0"/>
                  <w:vAlign w:val="center"/>
                </w:tcPr>
                <w:p w14:paraId="233DDDA0">
                  <w:pPr>
                    <w:pStyle w:val="103"/>
                    <w:bidi w:val="0"/>
                    <w:jc w:val="center"/>
                    <w:rPr>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符合要求</w:t>
                  </w:r>
                </w:p>
              </w:tc>
            </w:tr>
          </w:tbl>
          <w:p w14:paraId="7A9C236C">
            <w:pPr>
              <w:pStyle w:val="3"/>
              <w:pageBreakBefore w:val="0"/>
              <w:widowControl w:val="0"/>
              <w:kinsoku/>
              <w:wordWrap/>
              <w:overflowPunct/>
              <w:topLinePunct w:val="0"/>
              <w:autoSpaceDE/>
              <w:autoSpaceDN/>
              <w:bidi w:val="0"/>
              <w:adjustRightInd/>
              <w:spacing w:before="0" w:after="0" w:line="480" w:lineRule="exact"/>
              <w:ind w:firstLine="482" w:firstLineChars="200"/>
              <w:textAlignment w:val="auto"/>
              <w:rPr>
                <w:rFonts w:hint="eastAsia" w:ascii="Times New Roman" w:hAnsi="Times New Roman" w:eastAsia="宋体" w:cs="Times New Roman"/>
                <w:b/>
                <w:bCs/>
                <w:color w:val="auto"/>
                <w:sz w:val="24"/>
                <w:szCs w:val="24"/>
                <w:highlight w:val="none"/>
                <w:lang w:val="en-US" w:eastAsia="zh-CN"/>
              </w:rPr>
            </w:pPr>
          </w:p>
          <w:p w14:paraId="49B4D55C">
            <w:pPr>
              <w:pStyle w:val="3"/>
              <w:pageBreakBefore w:val="0"/>
              <w:widowControl w:val="0"/>
              <w:kinsoku/>
              <w:wordWrap/>
              <w:overflowPunct/>
              <w:topLinePunct w:val="0"/>
              <w:autoSpaceDE/>
              <w:autoSpaceDN/>
              <w:bidi w:val="0"/>
              <w:adjustRightInd/>
              <w:spacing w:before="0" w:after="0" w:line="480" w:lineRule="exact"/>
              <w:ind w:firstLine="482" w:firstLineChars="20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四、与河北省生态环境厅办公室《关于进一步做好沙区建设项目环境影响评价工作的通知》（冀环办字函</w:t>
            </w:r>
            <w:r>
              <w:rPr>
                <w:rFonts w:hint="eastAsia" w:ascii="Times New Roman" w:hAnsi="Times New Roman" w:eastAsia="宋体" w:cs="Times New Roman"/>
                <w:b/>
                <w:bCs/>
                <w:color w:val="auto"/>
                <w:spacing w:val="-11"/>
                <w:sz w:val="24"/>
                <w:szCs w:val="24"/>
                <w:highlight w:val="none"/>
                <w:lang w:val="en-US" w:eastAsia="zh-CN"/>
              </w:rPr>
              <w:t>[2023]326号</w:t>
            </w:r>
            <w:r>
              <w:rPr>
                <w:rFonts w:hint="eastAsia" w:ascii="Times New Roman" w:hAnsi="Times New Roman" w:eastAsia="宋体" w:cs="Times New Roman"/>
                <w:b/>
                <w:bCs/>
                <w:color w:val="auto"/>
                <w:sz w:val="24"/>
                <w:szCs w:val="24"/>
                <w:highlight w:val="none"/>
                <w:lang w:val="en-US" w:eastAsia="zh-CN"/>
              </w:rPr>
              <w:t>）符合性分析</w:t>
            </w:r>
          </w:p>
          <w:p w14:paraId="1A6940DB">
            <w:pPr>
              <w:pStyle w:val="124"/>
              <w:keepNext w:val="0"/>
              <w:keepLines w:val="0"/>
              <w:pageBreakBefore w:val="0"/>
              <w:widowControl w:val="0"/>
              <w:kinsoku/>
              <w:wordWrap/>
              <w:overflowPunct/>
              <w:topLinePunct w:val="0"/>
              <w:autoSpaceDE/>
              <w:autoSpaceDN/>
              <w:bidi w:val="0"/>
              <w:adjustRightInd/>
              <w:snapToGrid w:val="0"/>
              <w:spacing w:line="480" w:lineRule="exact"/>
              <w:ind w:left="0" w:leftChars="0" w:firstLine="480" w:firstLineChars="20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对照河北省“三线一单”信息管理平台全省沙化土地分布图，本项目所在位置为行唐经济开发区属于沙化范围区（详见附图），</w:t>
            </w:r>
            <w:r>
              <w:rPr>
                <w:rFonts w:hint="eastAsia"/>
                <w:bCs/>
                <w:color w:val="auto"/>
                <w:sz w:val="24"/>
                <w:szCs w:val="24"/>
                <w:highlight w:val="none"/>
              </w:rPr>
              <w:t>本项目用地性质为</w:t>
            </w:r>
            <w:r>
              <w:rPr>
                <w:rFonts w:hint="eastAsia"/>
                <w:bCs/>
                <w:color w:val="auto"/>
                <w:sz w:val="24"/>
                <w:szCs w:val="24"/>
                <w:highlight w:val="none"/>
                <w:lang w:val="en-US" w:eastAsia="zh-CN"/>
              </w:rPr>
              <w:t>工业</w:t>
            </w:r>
            <w:r>
              <w:rPr>
                <w:rFonts w:hint="eastAsia"/>
                <w:bCs/>
                <w:color w:val="auto"/>
                <w:sz w:val="24"/>
                <w:szCs w:val="24"/>
                <w:highlight w:val="none"/>
              </w:rPr>
              <w:t>用地，</w:t>
            </w:r>
            <w:r>
              <w:rPr>
                <w:rFonts w:hint="eastAsia"/>
                <w:bCs/>
                <w:color w:val="auto"/>
                <w:sz w:val="24"/>
                <w:szCs w:val="24"/>
                <w:highlight w:val="none"/>
                <w:lang w:val="en-US" w:eastAsia="zh-CN"/>
              </w:rPr>
              <w:t>技改现有厂区现有生产车间内进行扩建，不涉及新增占地，</w:t>
            </w:r>
            <w:r>
              <w:rPr>
                <w:rFonts w:hint="eastAsia" w:ascii="Times New Roman" w:hAnsi="Times New Roman" w:eastAsia="宋体" w:cs="Times New Roman"/>
                <w:color w:val="auto"/>
                <w:sz w:val="24"/>
                <w:szCs w:val="24"/>
                <w:highlight w:val="none"/>
                <w:lang w:val="en-US" w:eastAsia="zh-CN"/>
              </w:rPr>
              <w:t>不在生态保护红线范围内，且厂区地面已完成硬化，不会对沙区植被、生态环境造成影响。</w:t>
            </w:r>
          </w:p>
          <w:p w14:paraId="0720F4E3">
            <w:pPr>
              <w:pStyle w:val="124"/>
              <w:keepNext w:val="0"/>
              <w:keepLines w:val="0"/>
              <w:pageBreakBefore w:val="0"/>
              <w:widowControl w:val="0"/>
              <w:kinsoku/>
              <w:wordWrap/>
              <w:overflowPunct/>
              <w:topLinePunct w:val="0"/>
              <w:autoSpaceDE/>
              <w:autoSpaceDN/>
              <w:bidi w:val="0"/>
              <w:adjustRightInd/>
              <w:snapToGrid w:val="0"/>
              <w:spacing w:line="480" w:lineRule="exact"/>
              <w:ind w:left="0" w:leftChars="0" w:firstLine="480" w:firstLineChars="20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综上，本项目的建设符合《关于进一步做好沙区建设项目环境影响评价工作的通知》（冀环办字函[2023]326号）。</w:t>
            </w:r>
          </w:p>
          <w:p w14:paraId="4D9928B0">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241" w:firstLineChars="100"/>
              <w:jc w:val="left"/>
              <w:textAlignment w:val="auto"/>
              <w:rPr>
                <w:rFonts w:hint="default"/>
                <w:b/>
                <w:bCs/>
                <w:color w:val="auto"/>
                <w:kern w:val="0"/>
                <w:sz w:val="24"/>
                <w:highlight w:val="none"/>
                <w:lang w:val="en-US" w:eastAsia="zh-CN"/>
              </w:rPr>
            </w:pPr>
            <w:r>
              <w:rPr>
                <w:rFonts w:hint="eastAsia"/>
                <w:b/>
                <w:bCs/>
                <w:color w:val="auto"/>
                <w:kern w:val="0"/>
                <w:sz w:val="24"/>
                <w:highlight w:val="none"/>
                <w:lang w:val="en-US" w:eastAsia="zh-CN"/>
              </w:rPr>
              <w:t>五、项目选址符合性分析</w:t>
            </w:r>
          </w:p>
          <w:p w14:paraId="657841A8">
            <w:pPr>
              <w:autoSpaceDE w:val="0"/>
              <w:autoSpaceDN w:val="0"/>
              <w:adjustRightInd w:val="0"/>
              <w:snapToGrid w:val="0"/>
              <w:spacing w:line="410" w:lineRule="exact"/>
              <w:ind w:firstLine="480" w:firstLineChars="200"/>
              <w:rPr>
                <w:rFonts w:hint="eastAsia" w:eastAsia="宋体"/>
                <w:color w:val="auto"/>
                <w:kern w:val="0"/>
                <w:sz w:val="24"/>
                <w:highlight w:val="none"/>
                <w:lang w:val="en-US" w:eastAsia="zh-CN"/>
              </w:rPr>
            </w:pPr>
            <w:r>
              <w:rPr>
                <w:rFonts w:hint="eastAsia" w:ascii="Times New Roman" w:hAnsi="Times New Roman" w:eastAsia="宋体" w:cs="Times New Roman"/>
                <w:bCs/>
                <w:color w:val="auto"/>
                <w:kern w:val="0"/>
                <w:sz w:val="24"/>
                <w:szCs w:val="24"/>
                <w:highlight w:val="none"/>
                <w:lang w:val="en-US" w:eastAsia="zh-CN"/>
              </w:rPr>
              <w:t>本次技改利用已有生产车间，对喷漆线进行技改，喷漆前增加清洗烘干线，提高喷漆质量</w:t>
            </w:r>
            <w:r>
              <w:rPr>
                <w:rFonts w:hint="eastAsia" w:cs="Times New Roman"/>
                <w:bCs/>
                <w:color w:val="auto"/>
                <w:kern w:val="0"/>
                <w:sz w:val="24"/>
                <w:szCs w:val="24"/>
                <w:highlight w:val="none"/>
                <w:lang w:val="en-US" w:eastAsia="zh-CN"/>
              </w:rPr>
              <w:t>；</w:t>
            </w:r>
            <w:r>
              <w:rPr>
                <w:rFonts w:hint="eastAsia" w:ascii="Times New Roman" w:hAnsi="Times New Roman" w:eastAsia="宋体" w:cs="Times New Roman"/>
                <w:bCs/>
                <w:color w:val="auto"/>
                <w:kern w:val="0"/>
                <w:sz w:val="24"/>
                <w:szCs w:val="24"/>
                <w:highlight w:val="none"/>
                <w:lang w:val="en-US" w:eastAsia="zh-CN"/>
              </w:rPr>
              <w:t>生产规模均不变。技改项目位于</w:t>
            </w:r>
            <w:r>
              <w:rPr>
                <w:rFonts w:hint="eastAsia" w:cs="Times New Roman"/>
                <w:bCs/>
                <w:color w:val="auto"/>
                <w:kern w:val="0"/>
                <w:sz w:val="24"/>
                <w:szCs w:val="24"/>
                <w:highlight w:val="none"/>
                <w:lang w:val="en-US" w:eastAsia="zh-CN"/>
              </w:rPr>
              <w:t>原有厂区</w:t>
            </w:r>
            <w:r>
              <w:rPr>
                <w:rFonts w:hint="eastAsia" w:ascii="Times New Roman" w:hAnsi="Times New Roman" w:eastAsia="宋体" w:cs="Times New Roman"/>
                <w:bCs/>
                <w:color w:val="auto"/>
                <w:kern w:val="0"/>
                <w:sz w:val="24"/>
                <w:szCs w:val="24"/>
                <w:highlight w:val="none"/>
                <w:lang w:val="en-US" w:eastAsia="zh-CN"/>
              </w:rPr>
              <w:t>占地范围内。</w:t>
            </w:r>
            <w:r>
              <w:rPr>
                <w:rFonts w:hint="eastAsia" w:cs="Times New Roman"/>
                <w:bCs/>
                <w:color w:val="auto"/>
                <w:kern w:val="0"/>
                <w:sz w:val="24"/>
                <w:szCs w:val="24"/>
                <w:highlight w:val="none"/>
                <w:lang w:val="en-US" w:eastAsia="zh-CN"/>
              </w:rPr>
              <w:t>原厂区</w:t>
            </w:r>
            <w:r>
              <w:rPr>
                <w:rFonts w:hint="eastAsia" w:ascii="Times New Roman" w:hAnsi="Times New Roman" w:eastAsia="宋体" w:cs="Times New Roman"/>
                <w:bCs/>
                <w:color w:val="auto"/>
                <w:kern w:val="0"/>
                <w:sz w:val="24"/>
                <w:szCs w:val="24"/>
                <w:highlight w:val="none"/>
                <w:lang w:val="en-US" w:eastAsia="zh-CN"/>
              </w:rPr>
              <w:t>选址</w:t>
            </w:r>
            <w:r>
              <w:rPr>
                <w:rFonts w:hint="eastAsia" w:cs="Times New Roman"/>
                <w:bCs/>
                <w:color w:val="auto"/>
                <w:kern w:val="0"/>
                <w:sz w:val="24"/>
                <w:szCs w:val="24"/>
                <w:highlight w:val="none"/>
                <w:lang w:val="en-US" w:eastAsia="zh-CN"/>
              </w:rPr>
              <w:t>位</w:t>
            </w:r>
            <w:r>
              <w:rPr>
                <w:rFonts w:hint="eastAsia" w:ascii="Times New Roman" w:hAnsi="Times New Roman" w:eastAsia="宋体" w:cs="Times New Roman"/>
                <w:bCs/>
                <w:color w:val="auto"/>
                <w:kern w:val="0"/>
                <w:sz w:val="24"/>
                <w:szCs w:val="24"/>
                <w:highlight w:val="none"/>
                <w:lang w:val="en-US" w:eastAsia="zh-CN"/>
              </w:rPr>
              <w:t>于</w:t>
            </w:r>
            <w:r>
              <w:rPr>
                <w:rFonts w:hint="eastAsia" w:ascii="Times New Roman" w:hAnsi="Times New Roman" w:eastAsia="宋体" w:cs="Times New Roman"/>
                <w:bCs/>
                <w:color w:val="auto"/>
                <w:kern w:val="0"/>
                <w:sz w:val="24"/>
                <w:szCs w:val="24"/>
                <w:highlight w:val="none"/>
              </w:rPr>
              <w:t>行唐县经济</w:t>
            </w:r>
            <w:r>
              <w:rPr>
                <w:rFonts w:hint="eastAsia"/>
                <w:bCs/>
                <w:color w:val="auto"/>
                <w:kern w:val="0"/>
                <w:sz w:val="24"/>
                <w:szCs w:val="24"/>
                <w:highlight w:val="none"/>
              </w:rPr>
              <w:t>开发区南区</w:t>
            </w:r>
            <w:r>
              <w:rPr>
                <w:rFonts w:hint="eastAsia" w:ascii="Times New Roman" w:hAnsi="Times New Roman" w:cs="宋体"/>
                <w:color w:val="auto"/>
                <w:sz w:val="24"/>
                <w:szCs w:val="24"/>
                <w:highlight w:val="none"/>
                <w:u w:val="none"/>
                <w:lang w:val="en-US" w:eastAsia="zh-CN"/>
              </w:rPr>
              <w:t>胜利大街北侧、玉晶路西侧</w:t>
            </w:r>
            <w:r>
              <w:rPr>
                <w:rFonts w:hint="eastAsia"/>
                <w:bCs/>
                <w:color w:val="auto"/>
                <w:kern w:val="0"/>
                <w:sz w:val="24"/>
                <w:szCs w:val="24"/>
                <w:highlight w:val="none"/>
                <w:u w:val="none"/>
              </w:rPr>
              <w:t>，</w:t>
            </w:r>
            <w:r>
              <w:rPr>
                <w:rFonts w:hint="default"/>
                <w:color w:val="auto"/>
                <w:sz w:val="24"/>
                <w:szCs w:val="24"/>
                <w:highlight w:val="none"/>
                <w:lang w:eastAsia="zh-CN"/>
              </w:rPr>
              <w:t>主要</w:t>
            </w:r>
            <w:r>
              <w:rPr>
                <w:rFonts w:hint="eastAsia"/>
                <w:color w:val="auto"/>
                <w:sz w:val="24"/>
                <w:szCs w:val="24"/>
                <w:highlight w:val="none"/>
                <w:lang w:val="en-US" w:eastAsia="zh-CN"/>
              </w:rPr>
              <w:t>生产汽车制动盘、制动鼓等</w:t>
            </w:r>
            <w:r>
              <w:rPr>
                <w:rFonts w:hint="eastAsia"/>
                <w:bCs/>
                <w:color w:val="auto"/>
                <w:kern w:val="0"/>
                <w:sz w:val="24"/>
                <w:szCs w:val="24"/>
                <w:highlight w:val="none"/>
                <w:u w:val="none"/>
              </w:rPr>
              <w:t>，</w:t>
            </w:r>
            <w:r>
              <w:rPr>
                <w:rFonts w:hint="eastAsia"/>
                <w:bCs/>
                <w:color w:val="auto"/>
                <w:kern w:val="0"/>
                <w:sz w:val="24"/>
                <w:szCs w:val="24"/>
                <w:highlight w:val="none"/>
                <w:u w:val="none"/>
                <w:lang w:val="en-US" w:eastAsia="zh-CN"/>
              </w:rPr>
              <w:t>为汽车配件，符合装备制造产业定位，本项目位于</w:t>
            </w:r>
            <w:r>
              <w:rPr>
                <w:rFonts w:hint="eastAsia"/>
                <w:bCs/>
                <w:color w:val="auto"/>
                <w:sz w:val="24"/>
                <w:szCs w:val="24"/>
                <w:highlight w:val="none"/>
              </w:rPr>
              <w:t>装备制造及绿色建材</w:t>
            </w:r>
            <w:r>
              <w:rPr>
                <w:rFonts w:hint="eastAsia"/>
                <w:bCs/>
                <w:color w:val="auto"/>
                <w:sz w:val="24"/>
                <w:szCs w:val="24"/>
                <w:highlight w:val="none"/>
                <w:lang w:val="en-US" w:eastAsia="zh-CN"/>
              </w:rPr>
              <w:t>产业园内，占</w:t>
            </w:r>
            <w:r>
              <w:rPr>
                <w:rFonts w:hint="eastAsia"/>
                <w:bCs/>
                <w:color w:val="auto"/>
                <w:kern w:val="0"/>
                <w:sz w:val="24"/>
                <w:szCs w:val="24"/>
                <w:highlight w:val="none"/>
              </w:rPr>
              <w:t>地类型为规划的工业用地，符合开发区用地规划和产业规划</w:t>
            </w:r>
            <w:r>
              <w:rPr>
                <w:rFonts w:hint="eastAsia"/>
                <w:bCs/>
                <w:color w:val="auto"/>
                <w:kern w:val="0"/>
                <w:sz w:val="24"/>
                <w:highlight w:val="none"/>
              </w:rPr>
              <w:t>。河北行唐经济开发区管理委员会已出具关于本项目的选址意见，项目选址符合园区产业规划</w:t>
            </w:r>
            <w:r>
              <w:rPr>
                <w:rFonts w:hint="eastAsia"/>
                <w:bCs/>
                <w:color w:val="auto"/>
                <w:kern w:val="0"/>
                <w:sz w:val="24"/>
                <w:highlight w:val="none"/>
                <w:lang w:eastAsia="zh-CN"/>
              </w:rPr>
              <w:t>。</w:t>
            </w:r>
            <w:r>
              <w:rPr>
                <w:rFonts w:hint="eastAsia" w:ascii="Times New Roman" w:hAnsi="Times New Roman" w:eastAsia="宋体" w:cs="Times New Roman"/>
                <w:bCs/>
                <w:color w:val="auto"/>
                <w:sz w:val="24"/>
                <w:highlight w:val="none"/>
                <w:lang w:val="en-US" w:eastAsia="zh-CN"/>
              </w:rPr>
              <w:t>行唐县龙鑫机械制造有限公司</w:t>
            </w:r>
            <w:r>
              <w:rPr>
                <w:rFonts w:hint="eastAsia" w:ascii="Times New Roman" w:hAnsi="Times New Roman" w:eastAsia="宋体" w:cs="Times New Roman"/>
                <w:bCs/>
                <w:color w:val="auto"/>
                <w:sz w:val="24"/>
                <w:highlight w:val="none"/>
                <w:lang w:eastAsia="zh-CN"/>
              </w:rPr>
              <w:t>年产5400吨汽车制动鼓、制动盘精密铸造项目</w:t>
            </w:r>
            <w:r>
              <w:rPr>
                <w:rFonts w:hint="eastAsia" w:ascii="Times New Roman" w:hAnsi="Times New Roman" w:eastAsia="宋体" w:cs="Times New Roman"/>
                <w:bCs/>
                <w:color w:val="auto"/>
                <w:sz w:val="24"/>
                <w:highlight w:val="none"/>
                <w:lang w:val="en-US" w:eastAsia="zh-CN"/>
              </w:rPr>
              <w:t>占用两个批次建设用地，两个批次建设用地均已取得土地证、规划许可证</w:t>
            </w:r>
            <w:r>
              <w:rPr>
                <w:rFonts w:hint="eastAsia"/>
                <w:bCs/>
                <w:color w:val="auto"/>
                <w:kern w:val="0"/>
                <w:sz w:val="24"/>
                <w:highlight w:val="none"/>
              </w:rPr>
              <w:t>。</w:t>
            </w:r>
          </w:p>
        </w:tc>
      </w:tr>
    </w:tbl>
    <w:p w14:paraId="1DCC04F5">
      <w:pPr>
        <w:spacing w:line="360" w:lineRule="auto"/>
        <w:outlineLvl w:val="9"/>
        <w:rPr>
          <w:rFonts w:eastAsia="黑体"/>
          <w:color w:val="auto"/>
          <w:sz w:val="30"/>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14:paraId="73871810">
      <w:pPr>
        <w:pStyle w:val="30"/>
        <w:jc w:val="center"/>
        <w:outlineLvl w:val="0"/>
        <w:rPr>
          <w:rFonts w:ascii="Times New Roman" w:hAnsi="Times New Roman" w:eastAsia="黑体"/>
          <w:snapToGrid w:val="0"/>
          <w:color w:val="000000" w:themeColor="text1"/>
          <w:sz w:val="30"/>
          <w:szCs w:val="30"/>
          <w:highlight w:val="none"/>
          <w14:textFill>
            <w14:solidFill>
              <w14:schemeClr w14:val="tx1"/>
            </w14:solidFill>
          </w14:textFill>
        </w:rPr>
      </w:pPr>
      <w:bookmarkStart w:id="4" w:name="_Toc20495"/>
      <w:r>
        <w:rPr>
          <w:rFonts w:ascii="Times New Roman" w:hAnsi="Times New Roman" w:eastAsia="黑体"/>
          <w:snapToGrid w:val="0"/>
          <w:color w:val="000000" w:themeColor="text1"/>
          <w:sz w:val="30"/>
          <w:szCs w:val="30"/>
          <w:highlight w:val="none"/>
          <w14:textFill>
            <w14:solidFill>
              <w14:schemeClr w14:val="tx1"/>
            </w14:solidFill>
          </w14:textFill>
        </w:rPr>
        <w:t>二、建设项目工程分析</w:t>
      </w:r>
      <w:bookmarkEnd w:id="4"/>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8525"/>
      </w:tblGrid>
      <w:tr w14:paraId="396230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58" w:hRule="atLeast"/>
          <w:jc w:val="center"/>
        </w:trPr>
        <w:tc>
          <w:tcPr>
            <w:tcW w:w="538" w:type="dxa"/>
            <w:noWrap w:val="0"/>
            <w:vAlign w:val="center"/>
          </w:tcPr>
          <w:p w14:paraId="5E635541">
            <w:pPr>
              <w:pStyle w:val="30"/>
              <w:adjustRightInd w:val="0"/>
              <w:snapToGrid w:val="0"/>
              <w:spacing w:before="0" w:beforeAutospacing="0" w:after="0" w:afterAutospacing="0"/>
              <w:jc w:val="center"/>
              <w:rPr>
                <w:rFonts w:ascii="Times New Roman" w:hAnsi="Times New Roman"/>
                <w:color w:val="auto"/>
                <w:szCs w:val="24"/>
                <w:highlight w:val="none"/>
              </w:rPr>
            </w:pPr>
            <w:r>
              <w:rPr>
                <w:rFonts w:ascii="Times New Roman" w:hAnsi="Times New Roman"/>
                <w:color w:val="auto"/>
                <w:szCs w:val="24"/>
                <w:highlight w:val="none"/>
              </w:rPr>
              <w:t>建设内容</w:t>
            </w:r>
          </w:p>
        </w:tc>
        <w:tc>
          <w:tcPr>
            <w:tcW w:w="8446" w:type="dxa"/>
            <w:noWrap w:val="0"/>
            <w:vAlign w:val="top"/>
          </w:tcPr>
          <w:p w14:paraId="61E7D41A">
            <w:pPr>
              <w:numPr>
                <w:ilvl w:val="0"/>
                <w:numId w:val="7"/>
              </w:numPr>
              <w:spacing w:line="480" w:lineRule="exact"/>
              <w:ind w:left="-62" w:leftChars="0" w:firstLine="482" w:firstLineChars="0"/>
              <w:rPr>
                <w:rFonts w:hint="eastAsia"/>
                <w:b/>
                <w:bCs w:val="0"/>
                <w:color w:val="auto"/>
                <w:sz w:val="24"/>
                <w:highlight w:val="none"/>
                <w:lang w:val="en-US" w:eastAsia="zh-CN"/>
              </w:rPr>
            </w:pPr>
            <w:r>
              <w:rPr>
                <w:rFonts w:hint="eastAsia"/>
                <w:b/>
                <w:bCs w:val="0"/>
                <w:color w:val="auto"/>
                <w:sz w:val="24"/>
                <w:highlight w:val="none"/>
                <w:lang w:val="en-US" w:eastAsia="zh-CN"/>
              </w:rPr>
              <w:t>项目由来</w:t>
            </w:r>
          </w:p>
          <w:p w14:paraId="2830E3F4">
            <w:pPr>
              <w:spacing w:line="480" w:lineRule="exact"/>
              <w:ind w:firstLine="480" w:firstLineChars="200"/>
              <w:rPr>
                <w:bCs/>
                <w:color w:val="000000" w:themeColor="text1"/>
                <w:sz w:val="24"/>
                <w:highlight w:val="none"/>
                <w14:textFill>
                  <w14:solidFill>
                    <w14:schemeClr w14:val="tx1"/>
                  </w14:solidFill>
                </w14:textFill>
              </w:rPr>
            </w:pP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行唐县龙鑫机械制造有限公司现有项目“年产5400吨汽车制动鼓、制动盘精密铸造项目</w:t>
            </w:r>
            <w:r>
              <w:rPr>
                <w:rFonts w:hint="eastAsia" w:cs="Times New Roman"/>
                <w:color w:val="000000" w:themeColor="text1"/>
                <w:kern w:val="2"/>
                <w:sz w:val="24"/>
                <w:szCs w:val="24"/>
                <w:highlight w:val="none"/>
                <w:lang w:val="en-US" w:eastAsia="zh-CN" w:bidi="ar-SA"/>
                <w14:textFill>
                  <w14:solidFill>
                    <w14:schemeClr w14:val="tx1"/>
                  </w14:solidFill>
                </w14:textFill>
              </w:rPr>
              <w:t>及喷漆线技改项目</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正常运行</w:t>
            </w:r>
            <w:r>
              <w:rPr>
                <w:rFonts w:hint="eastAsia"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w:t>
            </w:r>
            <w:r>
              <w:rPr>
                <w:rFonts w:hint="eastAsia" w:cs="Times New Roman"/>
                <w:color w:val="000000" w:themeColor="text1"/>
                <w:kern w:val="2"/>
                <w:sz w:val="24"/>
                <w:szCs w:val="24"/>
                <w:highlight w:val="none"/>
                <w:lang w:val="en-US" w:eastAsia="zh-CN" w:bidi="ar-SA"/>
                <w14:textFill>
                  <w14:solidFill>
                    <w14:schemeClr w14:val="tx1"/>
                  </w14:solidFill>
                </w14:textFill>
              </w:rPr>
              <w:t>企业</w:t>
            </w:r>
            <w:r>
              <w:rPr>
                <w:rFonts w:hint="eastAsia"/>
                <w:color w:val="000000" w:themeColor="text1"/>
                <w:sz w:val="24"/>
                <w:highlight w:val="none"/>
                <w14:textFill>
                  <w14:solidFill>
                    <w14:schemeClr w14:val="tx1"/>
                  </w14:solidFill>
                </w14:textFill>
              </w:rPr>
              <w:t>运营过程中发现产品喷漆效果不能达到对喷漆质量要求较高客户的需求。经排查认为是由于机械加工过程中工件沾染了微量的铁屑、润滑油等物质，对喷漆效果产生影响。为提高产品质量，经过考察相关设备厂家，决定对</w:t>
            </w:r>
            <w:r>
              <w:rPr>
                <w:rFonts w:hint="eastAsia"/>
                <w:bCs/>
                <w:color w:val="000000" w:themeColor="text1"/>
                <w:kern w:val="0"/>
                <w:sz w:val="24"/>
                <w:highlight w:val="none"/>
                <w14:textFill>
                  <w14:solidFill>
                    <w14:schemeClr w14:val="tx1"/>
                  </w14:solidFill>
                </w14:textFill>
              </w:rPr>
              <w:t>喷漆线进行技改，喷漆前增加清洗烘干线，提高喷漆质量。</w:t>
            </w:r>
          </w:p>
          <w:p w14:paraId="6A7914D2">
            <w:pPr>
              <w:spacing w:line="480" w:lineRule="exact"/>
              <w:ind w:firstLine="480" w:firstLineChars="200"/>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根据《中华人民共和国环境影响评价法》（2018年修正本）和《建设项目环境保护管理条例》有关规定，技改项目应进行环境影响评价工作。根据《建设项目环境保护分类管理名录》（2021年版），主项目属于“三十、金属制品业”中的“68 铸造及其他金属制品制造339其他”，应编制环境影响报告表。</w:t>
            </w:r>
          </w:p>
          <w:p w14:paraId="2220707E">
            <w:pPr>
              <w:spacing w:line="480" w:lineRule="exact"/>
              <w:ind w:firstLine="480" w:firstLineChars="200"/>
              <w:rPr>
                <w:rFonts w:hint="eastAsia"/>
                <w:color w:val="auto"/>
                <w:sz w:val="24"/>
                <w:szCs w:val="32"/>
                <w:highlight w:val="none"/>
              </w:rPr>
            </w:pPr>
            <w:r>
              <w:rPr>
                <w:rFonts w:hint="eastAsia" w:ascii="Times New Roman" w:hAnsi="Times New Roman" w:eastAsia="宋体" w:cs="Times New Roman"/>
                <w:color w:val="auto"/>
                <w:kern w:val="2"/>
                <w:sz w:val="24"/>
                <w:szCs w:val="24"/>
                <w:highlight w:val="none"/>
                <w:lang w:val="en-US" w:eastAsia="zh-CN" w:bidi="ar-SA"/>
              </w:rPr>
              <w:t>为此行唐县龙鑫机械制造有限公司委</w:t>
            </w:r>
            <w:r>
              <w:rPr>
                <w:rFonts w:hint="eastAsia"/>
                <w:color w:val="auto"/>
                <w:sz w:val="24"/>
                <w:szCs w:val="32"/>
                <w:highlight w:val="none"/>
              </w:rPr>
              <w:t>托</w:t>
            </w:r>
            <w:r>
              <w:rPr>
                <w:rFonts w:hint="eastAsia"/>
                <w:color w:val="auto"/>
                <w:sz w:val="24"/>
                <w:szCs w:val="32"/>
                <w:highlight w:val="none"/>
                <w:lang w:val="en-US" w:eastAsia="zh-CN"/>
              </w:rPr>
              <w:t>冀之润（河北）环保科技有限公司</w:t>
            </w:r>
            <w:r>
              <w:rPr>
                <w:rFonts w:hint="eastAsia"/>
                <w:color w:val="auto"/>
                <w:sz w:val="24"/>
                <w:szCs w:val="32"/>
                <w:highlight w:val="none"/>
              </w:rPr>
              <w:t>承担本报告表的编制工作，我单位接受委托后立即组织技术人员进行了现场踏勘、资料收集与调研，并按</w:t>
            </w:r>
            <w:r>
              <w:rPr>
                <w:rFonts w:hint="eastAsia"/>
                <w:color w:val="auto"/>
                <w:sz w:val="24"/>
                <w:szCs w:val="32"/>
                <w:highlight w:val="none"/>
                <w:lang w:eastAsia="zh-CN"/>
              </w:rPr>
              <w:t>相关</w:t>
            </w:r>
            <w:r>
              <w:rPr>
                <w:rFonts w:hint="eastAsia"/>
                <w:color w:val="auto"/>
                <w:sz w:val="24"/>
                <w:szCs w:val="32"/>
                <w:highlight w:val="none"/>
              </w:rPr>
              <w:t>要求编写完成</w:t>
            </w:r>
            <w:r>
              <w:rPr>
                <w:rFonts w:hint="eastAsia"/>
                <w:color w:val="auto"/>
                <w:sz w:val="24"/>
                <w:szCs w:val="32"/>
                <w:highlight w:val="none"/>
                <w:lang w:eastAsia="zh-CN"/>
              </w:rPr>
              <w:t>项目</w:t>
            </w:r>
            <w:r>
              <w:rPr>
                <w:rFonts w:hint="eastAsia"/>
                <w:color w:val="auto"/>
                <w:sz w:val="24"/>
                <w:szCs w:val="32"/>
                <w:highlight w:val="none"/>
              </w:rPr>
              <w:t>环境影响报告表。</w:t>
            </w:r>
          </w:p>
          <w:p w14:paraId="67F14E3A">
            <w:pPr>
              <w:numPr>
                <w:ilvl w:val="0"/>
                <w:numId w:val="7"/>
              </w:numPr>
              <w:spacing w:line="480" w:lineRule="exact"/>
              <w:ind w:left="-62" w:leftChars="0" w:firstLine="482" w:firstLineChars="0"/>
              <w:rPr>
                <w:rFonts w:hint="eastAsia"/>
                <w:b/>
                <w:bCs/>
                <w:color w:val="auto"/>
                <w:sz w:val="24"/>
                <w:szCs w:val="24"/>
                <w:highlight w:val="none"/>
                <w:lang w:val="en-US" w:eastAsia="zh-CN"/>
              </w:rPr>
            </w:pPr>
            <w:r>
              <w:rPr>
                <w:rFonts w:hint="eastAsia"/>
                <w:b/>
                <w:bCs/>
                <w:color w:val="auto"/>
                <w:sz w:val="24"/>
                <w:szCs w:val="24"/>
                <w:highlight w:val="none"/>
                <w:lang w:val="en-US" w:eastAsia="zh-CN"/>
              </w:rPr>
              <w:t>现有项目建设内容</w:t>
            </w:r>
          </w:p>
          <w:p w14:paraId="19708BC0">
            <w:pPr>
              <w:adjustRightInd w:val="0"/>
              <w:snapToGrid w:val="0"/>
              <w:spacing w:line="480" w:lineRule="exact"/>
              <w:ind w:firstLine="480" w:firstLineChars="200"/>
              <w:rPr>
                <w:rFonts w:hint="eastAsia" w:ascii="Times New Roman" w:hAnsi="Times New Roman" w:eastAsia="宋体" w:cs="Times New Roman"/>
                <w:color w:val="auto"/>
                <w:kern w:val="2"/>
                <w:sz w:val="24"/>
                <w:szCs w:val="24"/>
                <w:highlight w:val="none"/>
                <w:lang w:val="en-US" w:eastAsia="zh-CN"/>
              </w:rPr>
            </w:pPr>
            <w:r>
              <w:rPr>
                <w:rFonts w:hint="eastAsia"/>
                <w:color w:val="auto"/>
                <w:sz w:val="24"/>
                <w:highlight w:val="none"/>
                <w:lang w:val="en-US" w:eastAsia="zh-CN"/>
              </w:rPr>
              <w:t>现有</w:t>
            </w:r>
            <w:r>
              <w:rPr>
                <w:rFonts w:hint="eastAsia"/>
                <w:color w:val="auto"/>
                <w:sz w:val="24"/>
                <w:highlight w:val="none"/>
                <w:lang w:eastAsia="zh-CN"/>
              </w:rPr>
              <w:t>项目</w:t>
            </w:r>
            <w:r>
              <w:rPr>
                <w:color w:val="auto"/>
                <w:sz w:val="24"/>
                <w:highlight w:val="none"/>
              </w:rPr>
              <w:t>位</w:t>
            </w:r>
            <w:r>
              <w:rPr>
                <w:rFonts w:hint="eastAsia"/>
                <w:color w:val="auto"/>
                <w:sz w:val="24"/>
                <w:highlight w:val="none"/>
                <w:lang w:val="en-US" w:eastAsia="zh-CN"/>
              </w:rPr>
              <w:t>于</w:t>
            </w:r>
            <w:r>
              <w:rPr>
                <w:rFonts w:hint="eastAsia" w:ascii="Times New Roman" w:hAnsi="Times New Roman" w:eastAsia="宋体" w:cs="Times New Roman"/>
                <w:color w:val="auto"/>
                <w:sz w:val="24"/>
                <w:highlight w:val="none"/>
                <w:lang w:eastAsia="zh-CN"/>
              </w:rPr>
              <w:t>河北省石家庄市行唐县</w:t>
            </w:r>
            <w:r>
              <w:rPr>
                <w:rFonts w:hint="eastAsia" w:ascii="Times New Roman" w:hAnsi="Times New Roman" w:eastAsia="宋体" w:cs="Times New Roman"/>
                <w:color w:val="auto"/>
                <w:sz w:val="24"/>
                <w:highlight w:val="none"/>
                <w:lang w:val="en-US" w:eastAsia="zh-CN"/>
              </w:rPr>
              <w:t>河北行唐经济开发区南区</w:t>
            </w:r>
            <w:r>
              <w:rPr>
                <w:color w:val="auto"/>
                <w:sz w:val="24"/>
                <w:highlight w:val="none"/>
              </w:rPr>
              <w:t>，项目厂址中心地理坐标</w:t>
            </w:r>
            <w:r>
              <w:rPr>
                <w:rFonts w:hint="eastAsia"/>
                <w:color w:val="auto"/>
                <w:sz w:val="24"/>
                <w:highlight w:val="none"/>
                <w:u w:val="none"/>
                <w:lang w:eastAsia="zh-CN"/>
              </w:rPr>
              <w:t>：</w:t>
            </w:r>
            <w:r>
              <w:rPr>
                <w:rFonts w:hint="eastAsia" w:ascii="Times New Roman" w:hAnsi="Times New Roman" w:eastAsia="宋体" w:cs="Times New Roman"/>
                <w:color w:val="auto"/>
                <w:sz w:val="24"/>
                <w:szCs w:val="24"/>
                <w:highlight w:val="none"/>
                <w:lang w:val="en-US" w:eastAsia="zh-CN"/>
              </w:rPr>
              <w:t>东经</w:t>
            </w:r>
            <w:r>
              <w:rPr>
                <w:rFonts w:hint="default" w:ascii="Times New Roman" w:hAnsi="Times New Roman" w:eastAsia="宋体" w:cs="Times New Roman"/>
                <w:color w:val="auto"/>
                <w:sz w:val="24"/>
                <w:szCs w:val="24"/>
                <w:highlight w:val="none"/>
                <w:lang w:val="en-US" w:eastAsia="zh-CN"/>
              </w:rPr>
              <w:t>114</w:t>
            </w:r>
            <w:r>
              <w:rPr>
                <w:rFonts w:hint="eastAsia" w:ascii="Times New Roman" w:hAnsi="Times New Roman" w:eastAsia="宋体" w:cs="Times New Roman"/>
                <w:color w:val="auto"/>
                <w:sz w:val="24"/>
                <w:szCs w:val="24"/>
                <w:highlight w:val="none"/>
                <w:lang w:val="en-US" w:eastAsia="zh-CN"/>
              </w:rPr>
              <w:t>度</w:t>
            </w:r>
            <w:r>
              <w:rPr>
                <w:rFonts w:hint="default" w:ascii="Times New Roman" w:hAnsi="Times New Roman" w:eastAsia="宋体" w:cs="Times New Roman"/>
                <w:color w:val="auto"/>
                <w:sz w:val="24"/>
                <w:szCs w:val="24"/>
                <w:highlight w:val="none"/>
                <w:lang w:val="en-US" w:eastAsia="zh-CN"/>
              </w:rPr>
              <w:t>30</w:t>
            </w:r>
            <w:r>
              <w:rPr>
                <w:rFonts w:hint="eastAsia" w:ascii="Times New Roman" w:hAnsi="Times New Roman" w:eastAsia="宋体" w:cs="Times New Roman"/>
                <w:color w:val="auto"/>
                <w:sz w:val="24"/>
                <w:szCs w:val="24"/>
                <w:highlight w:val="none"/>
                <w:lang w:val="en-US" w:eastAsia="zh-CN"/>
              </w:rPr>
              <w:t>分</w:t>
            </w:r>
            <w:r>
              <w:rPr>
                <w:rFonts w:hint="eastAsia" w:cs="Times New Roman"/>
                <w:color w:val="auto"/>
                <w:sz w:val="24"/>
                <w:szCs w:val="24"/>
                <w:highlight w:val="none"/>
                <w:lang w:val="en-US" w:eastAsia="zh-CN"/>
              </w:rPr>
              <w:t>55.662</w:t>
            </w:r>
            <w:r>
              <w:rPr>
                <w:rFonts w:hint="eastAsia" w:ascii="Times New Roman" w:hAnsi="Times New Roman" w:eastAsia="宋体" w:cs="Times New Roman"/>
                <w:color w:val="auto"/>
                <w:sz w:val="24"/>
                <w:szCs w:val="24"/>
                <w:highlight w:val="none"/>
                <w:lang w:val="en-US" w:eastAsia="zh-CN"/>
              </w:rPr>
              <w:t>秒，北纬</w:t>
            </w:r>
            <w:r>
              <w:rPr>
                <w:rFonts w:hint="default" w:ascii="Times New Roman" w:hAnsi="Times New Roman" w:eastAsia="宋体" w:cs="Times New Roman"/>
                <w:color w:val="auto"/>
                <w:sz w:val="24"/>
                <w:szCs w:val="24"/>
                <w:highlight w:val="none"/>
                <w:lang w:val="en-US" w:eastAsia="zh-CN"/>
              </w:rPr>
              <w:t>38</w:t>
            </w:r>
            <w:r>
              <w:rPr>
                <w:rFonts w:hint="eastAsia" w:ascii="Times New Roman" w:hAnsi="Times New Roman" w:eastAsia="宋体" w:cs="Times New Roman"/>
                <w:color w:val="auto"/>
                <w:sz w:val="24"/>
                <w:szCs w:val="24"/>
                <w:highlight w:val="none"/>
                <w:lang w:val="en-US" w:eastAsia="zh-CN"/>
              </w:rPr>
              <w:t>度2</w:t>
            </w:r>
            <w:r>
              <w:rPr>
                <w:rFonts w:hint="eastAsia" w:cs="Times New Roman"/>
                <w:color w:val="auto"/>
                <w:sz w:val="24"/>
                <w:szCs w:val="24"/>
                <w:highlight w:val="none"/>
                <w:lang w:val="en-US" w:eastAsia="zh-CN"/>
              </w:rPr>
              <w:t>3</w:t>
            </w:r>
            <w:r>
              <w:rPr>
                <w:rFonts w:hint="eastAsia" w:ascii="Times New Roman" w:hAnsi="Times New Roman" w:eastAsia="宋体" w:cs="Times New Roman"/>
                <w:color w:val="auto"/>
                <w:sz w:val="24"/>
                <w:szCs w:val="24"/>
                <w:highlight w:val="none"/>
                <w:lang w:val="en-US" w:eastAsia="zh-CN"/>
              </w:rPr>
              <w:t>分</w:t>
            </w:r>
            <w:r>
              <w:rPr>
                <w:rFonts w:hint="eastAsia" w:cs="Times New Roman"/>
                <w:color w:val="auto"/>
                <w:sz w:val="24"/>
                <w:szCs w:val="24"/>
                <w:highlight w:val="none"/>
                <w:lang w:val="en-US" w:eastAsia="zh-CN"/>
              </w:rPr>
              <w:t>38.733</w:t>
            </w:r>
            <w:r>
              <w:rPr>
                <w:rFonts w:hint="eastAsia" w:ascii="Times New Roman" w:hAnsi="Times New Roman" w:eastAsia="宋体" w:cs="Times New Roman"/>
                <w:color w:val="auto"/>
                <w:sz w:val="24"/>
                <w:szCs w:val="24"/>
                <w:highlight w:val="none"/>
                <w:lang w:val="en-US" w:eastAsia="zh-CN"/>
              </w:rPr>
              <w:t>秒。西侧</w:t>
            </w:r>
            <w:r>
              <w:rPr>
                <w:rFonts w:hint="eastAsia" w:eastAsia="宋体"/>
                <w:color w:val="auto"/>
                <w:sz w:val="24"/>
                <w:szCs w:val="24"/>
                <w:highlight w:val="none"/>
                <w:lang w:val="en-US" w:eastAsia="zh-CN"/>
              </w:rPr>
              <w:t>为河北圣旋机械制造有限公司，北侧为空地，南侧隔胜利大街为空地，东侧为隔玉晶西路为岳霍口村</w:t>
            </w:r>
            <w:r>
              <w:rPr>
                <w:rFonts w:ascii="Times New Roman" w:hAnsi="Times New Roman" w:eastAsia="宋体" w:cs="Times New Roman"/>
                <w:color w:val="auto"/>
                <w:kern w:val="2"/>
                <w:sz w:val="24"/>
                <w:szCs w:val="24"/>
                <w:highlight w:val="none"/>
              </w:rPr>
              <w:t>。</w:t>
            </w:r>
            <w:r>
              <w:rPr>
                <w:rFonts w:hint="eastAsia" w:ascii="Times New Roman" w:hAnsi="Times New Roman" w:eastAsia="宋体" w:cs="Times New Roman"/>
                <w:color w:val="auto"/>
                <w:kern w:val="2"/>
                <w:sz w:val="24"/>
                <w:szCs w:val="24"/>
                <w:highlight w:val="none"/>
                <w:lang w:val="en-US" w:eastAsia="zh-CN"/>
              </w:rPr>
              <w:t>距离项目最近的敏感点为东侧30m处的</w:t>
            </w:r>
            <w:r>
              <w:rPr>
                <w:rFonts w:hint="eastAsia" w:eastAsia="宋体"/>
                <w:color w:val="auto"/>
                <w:sz w:val="24"/>
                <w:szCs w:val="24"/>
                <w:highlight w:val="none"/>
                <w:lang w:val="en-US" w:eastAsia="zh-CN"/>
              </w:rPr>
              <w:t>岳霍口</w:t>
            </w:r>
            <w:r>
              <w:rPr>
                <w:rFonts w:hint="eastAsia" w:ascii="Times New Roman" w:hAnsi="Times New Roman" w:eastAsia="宋体" w:cs="Times New Roman"/>
                <w:color w:val="auto"/>
                <w:kern w:val="2"/>
                <w:sz w:val="24"/>
                <w:szCs w:val="24"/>
                <w:highlight w:val="none"/>
                <w:lang w:val="en-US" w:eastAsia="zh-CN"/>
              </w:rPr>
              <w:t>村。</w:t>
            </w:r>
          </w:p>
          <w:p w14:paraId="1AD4CB2D">
            <w:pPr>
              <w:adjustRightInd w:val="0"/>
              <w:snapToGrid w:val="0"/>
              <w:spacing w:line="480" w:lineRule="exact"/>
              <w:ind w:firstLine="480" w:firstLineChars="200"/>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kern w:val="2"/>
                <w:sz w:val="24"/>
                <w:szCs w:val="24"/>
                <w:highlight w:val="none"/>
                <w:lang w:val="en-US" w:eastAsia="zh-CN"/>
              </w:rPr>
              <w:t>现有项目</w:t>
            </w:r>
            <w:r>
              <w:rPr>
                <w:rFonts w:hint="default" w:ascii="Times New Roman" w:hAnsi="Times New Roman" w:eastAsia="宋体" w:cs="Times New Roman"/>
                <w:color w:val="auto"/>
                <w:sz w:val="24"/>
                <w:szCs w:val="24"/>
                <w:highlight w:val="none"/>
                <w:u w:val="none"/>
              </w:rPr>
              <w:t>占地面积</w:t>
            </w:r>
            <w:r>
              <w:rPr>
                <w:rFonts w:hint="eastAsia" w:ascii="Times New Roman" w:hAnsi="Times New Roman" w:eastAsia="宋体" w:cs="Times New Roman"/>
                <w:color w:val="auto"/>
                <w:sz w:val="24"/>
                <w:szCs w:val="24"/>
                <w:highlight w:val="none"/>
                <w:u w:val="none"/>
                <w:lang w:val="en-US" w:eastAsia="zh-CN"/>
              </w:rPr>
              <w:t>20900.84</w:t>
            </w:r>
            <w:r>
              <w:rPr>
                <w:rFonts w:hint="default" w:ascii="Times New Roman" w:hAnsi="Times New Roman" w:eastAsia="宋体" w:cs="Times New Roman"/>
                <w:color w:val="auto"/>
                <w:sz w:val="24"/>
                <w:szCs w:val="24"/>
                <w:highlight w:val="none"/>
                <w:u w:val="none"/>
              </w:rPr>
              <w:t>m</w:t>
            </w:r>
            <w:r>
              <w:rPr>
                <w:rFonts w:hint="default" w:ascii="Times New Roman" w:hAnsi="Times New Roman" w:eastAsia="宋体" w:cs="Times New Roman"/>
                <w:color w:val="auto"/>
                <w:sz w:val="24"/>
                <w:szCs w:val="24"/>
                <w:highlight w:val="none"/>
                <w:u w:val="none"/>
                <w:vertAlign w:val="superscript"/>
              </w:rPr>
              <w:t>2</w:t>
            </w:r>
            <w:r>
              <w:rPr>
                <w:rFonts w:hint="default" w:ascii="Times New Roman" w:hAnsi="Times New Roman" w:eastAsia="宋体" w:cs="Times New Roman"/>
                <w:color w:val="auto"/>
                <w:sz w:val="24"/>
                <w:szCs w:val="24"/>
                <w:highlight w:val="none"/>
                <w:u w:val="none"/>
              </w:rPr>
              <w:t>，总建筑面积</w:t>
            </w:r>
            <w:r>
              <w:rPr>
                <w:rFonts w:hint="eastAsia" w:cs="Times New Roman"/>
                <w:color w:val="auto"/>
                <w:sz w:val="24"/>
                <w:szCs w:val="24"/>
                <w:highlight w:val="none"/>
                <w:u w:val="none"/>
                <w:lang w:val="en-US" w:eastAsia="zh-CN"/>
              </w:rPr>
              <w:t>17841.01</w:t>
            </w:r>
            <w:r>
              <w:rPr>
                <w:rFonts w:hint="default" w:ascii="Times New Roman" w:hAnsi="Times New Roman" w:eastAsia="宋体" w:cs="Times New Roman"/>
                <w:color w:val="auto"/>
                <w:sz w:val="24"/>
                <w:szCs w:val="24"/>
                <w:highlight w:val="none"/>
                <w:u w:val="none"/>
              </w:rPr>
              <w:t>m</w:t>
            </w:r>
            <w:r>
              <w:rPr>
                <w:rFonts w:hint="default" w:ascii="Times New Roman" w:hAnsi="Times New Roman" w:eastAsia="宋体" w:cs="Times New Roman"/>
                <w:color w:val="auto"/>
                <w:sz w:val="24"/>
                <w:szCs w:val="24"/>
                <w:highlight w:val="none"/>
                <w:u w:val="none"/>
                <w:vertAlign w:val="superscript"/>
              </w:rPr>
              <w:t>2</w:t>
            </w:r>
            <w:r>
              <w:rPr>
                <w:rFonts w:hint="default" w:ascii="Times New Roman" w:hAnsi="Times New Roman" w:eastAsia="宋体" w:cs="Times New Roman"/>
                <w:color w:val="auto"/>
                <w:sz w:val="24"/>
                <w:szCs w:val="24"/>
                <w:highlight w:val="none"/>
                <w:u w:val="none"/>
              </w:rPr>
              <w:t>，主要建设</w:t>
            </w:r>
            <w:r>
              <w:rPr>
                <w:rFonts w:hint="eastAsia" w:ascii="Times New Roman" w:hAnsi="Times New Roman" w:eastAsia="宋体" w:cs="Times New Roman"/>
                <w:color w:val="auto"/>
                <w:sz w:val="24"/>
                <w:szCs w:val="24"/>
                <w:highlight w:val="none"/>
                <w:u w:val="none"/>
                <w:lang w:val="en-US" w:eastAsia="zh-CN"/>
              </w:rPr>
              <w:t>了</w:t>
            </w:r>
            <w:r>
              <w:rPr>
                <w:rFonts w:hint="default" w:ascii="Times New Roman" w:hAnsi="Times New Roman" w:eastAsia="宋体" w:cs="Times New Roman"/>
                <w:color w:val="auto"/>
                <w:sz w:val="24"/>
                <w:szCs w:val="24"/>
                <w:highlight w:val="none"/>
                <w:u w:val="none"/>
              </w:rPr>
              <w:t>办公楼、</w:t>
            </w:r>
            <w:r>
              <w:rPr>
                <w:rFonts w:hint="default" w:ascii="Times New Roman" w:hAnsi="Times New Roman" w:eastAsia="宋体" w:cs="Times New Roman"/>
                <w:color w:val="auto"/>
                <w:sz w:val="24"/>
                <w:szCs w:val="24"/>
                <w:highlight w:val="none"/>
                <w:u w:val="none"/>
                <w:lang w:eastAsia="zh-CN"/>
              </w:rPr>
              <w:t>机加工车间、铸造车间</w:t>
            </w:r>
            <w:r>
              <w:rPr>
                <w:rFonts w:hint="default" w:ascii="Times New Roman" w:hAnsi="Times New Roman" w:eastAsia="宋体" w:cs="Times New Roman"/>
                <w:color w:val="auto"/>
                <w:sz w:val="24"/>
                <w:szCs w:val="24"/>
                <w:highlight w:val="none"/>
                <w:u w:val="none"/>
              </w:rPr>
              <w:t>及其他附属设施</w:t>
            </w:r>
            <w:r>
              <w:rPr>
                <w:rFonts w:hint="default" w:ascii="Times New Roman" w:hAnsi="Times New Roman" w:eastAsia="宋体" w:cs="Times New Roman"/>
                <w:color w:val="auto"/>
                <w:sz w:val="24"/>
                <w:szCs w:val="24"/>
                <w:highlight w:val="none"/>
                <w:u w:val="none"/>
                <w:lang w:eastAsia="zh-CN"/>
              </w:rPr>
              <w:t>。</w:t>
            </w:r>
            <w:r>
              <w:rPr>
                <w:rFonts w:hint="default" w:ascii="Times New Roman" w:hAnsi="Times New Roman" w:eastAsia="宋体" w:cs="Times New Roman"/>
                <w:color w:val="auto"/>
                <w:sz w:val="24"/>
                <w:szCs w:val="24"/>
                <w:highlight w:val="none"/>
                <w:lang w:val="en-US" w:eastAsia="zh-CN"/>
              </w:rPr>
              <w:t>厂区大门位于</w:t>
            </w:r>
            <w:r>
              <w:rPr>
                <w:rFonts w:hint="eastAsia" w:ascii="Times New Roman" w:hAnsi="Times New Roman" w:eastAsia="宋体" w:cs="Times New Roman"/>
                <w:color w:val="auto"/>
                <w:sz w:val="24"/>
                <w:szCs w:val="24"/>
                <w:highlight w:val="none"/>
                <w:lang w:val="en-US" w:eastAsia="zh-CN"/>
              </w:rPr>
              <w:t>南</w:t>
            </w:r>
            <w:r>
              <w:rPr>
                <w:rFonts w:hint="default" w:ascii="Times New Roman" w:hAnsi="Times New Roman" w:eastAsia="宋体" w:cs="Times New Roman"/>
                <w:color w:val="auto"/>
                <w:sz w:val="24"/>
                <w:szCs w:val="24"/>
                <w:highlight w:val="none"/>
                <w:lang w:val="en-US" w:eastAsia="zh-CN"/>
              </w:rPr>
              <w:t>侧，厂区</w:t>
            </w:r>
            <w:r>
              <w:rPr>
                <w:rFonts w:hint="eastAsia" w:ascii="Times New Roman" w:hAnsi="Times New Roman" w:eastAsia="宋体" w:cs="Times New Roman"/>
                <w:color w:val="auto"/>
                <w:sz w:val="24"/>
                <w:szCs w:val="24"/>
                <w:highlight w:val="none"/>
                <w:lang w:val="en-US" w:eastAsia="zh-CN"/>
              </w:rPr>
              <w:t>西侧为铸造车间，东</w:t>
            </w:r>
            <w:r>
              <w:rPr>
                <w:rFonts w:hint="default" w:ascii="Times New Roman" w:hAnsi="Times New Roman" w:eastAsia="宋体" w:cs="Times New Roman"/>
                <w:color w:val="auto"/>
                <w:sz w:val="24"/>
                <w:szCs w:val="24"/>
                <w:highlight w:val="none"/>
                <w:lang w:val="en-US" w:eastAsia="zh-CN"/>
              </w:rPr>
              <w:t>侧</w:t>
            </w:r>
            <w:r>
              <w:rPr>
                <w:rFonts w:hint="eastAsia" w:ascii="Times New Roman" w:hAnsi="Times New Roman" w:eastAsia="宋体" w:cs="Times New Roman"/>
                <w:color w:val="auto"/>
                <w:sz w:val="24"/>
                <w:szCs w:val="24"/>
                <w:highlight w:val="none"/>
                <w:lang w:val="en-US" w:eastAsia="zh-CN"/>
              </w:rPr>
              <w:t>为机械加工车间和办公楼，</w:t>
            </w:r>
            <w:r>
              <w:rPr>
                <w:rFonts w:hint="default" w:ascii="Times New Roman" w:hAnsi="Times New Roman" w:eastAsia="宋体" w:cs="Times New Roman"/>
                <w:color w:val="auto"/>
                <w:sz w:val="24"/>
                <w:szCs w:val="24"/>
                <w:highlight w:val="none"/>
                <w:lang w:val="en-US" w:eastAsia="zh-CN"/>
              </w:rPr>
              <w:t>喷漆烘干间</w:t>
            </w:r>
            <w:r>
              <w:rPr>
                <w:rFonts w:hint="eastAsia" w:eastAsia="宋体" w:cs="Times New Roman"/>
                <w:color w:val="auto"/>
                <w:sz w:val="24"/>
                <w:szCs w:val="24"/>
                <w:highlight w:val="none"/>
                <w:lang w:val="en-US" w:eastAsia="zh-CN"/>
              </w:rPr>
              <w:t>在机械加工车间东侧。现有项目</w:t>
            </w:r>
            <w:r>
              <w:rPr>
                <w:rFonts w:hint="eastAsia" w:ascii="Times New Roman" w:hAnsi="Times New Roman" w:eastAsia="宋体" w:cs="Times New Roman"/>
                <w:color w:val="auto"/>
                <w:sz w:val="24"/>
                <w:szCs w:val="32"/>
                <w:highlight w:val="none"/>
                <w:lang w:val="en-US" w:eastAsia="zh-CN"/>
              </w:rPr>
              <w:t>主要建设内容如下表。</w:t>
            </w:r>
          </w:p>
          <w:p w14:paraId="7CE76E43">
            <w:pPr>
              <w:pStyle w:val="4"/>
              <w:jc w:val="center"/>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sz w:val="24"/>
                <w:szCs w:val="32"/>
                <w:highlight w:val="none"/>
                <w:lang w:val="en-US" w:eastAsia="zh-CN"/>
              </w:rPr>
              <w:t>表2-1  现有项目主要建设内容</w:t>
            </w:r>
          </w:p>
          <w:tbl>
            <w:tblPr>
              <w:tblStyle w:val="36"/>
              <w:tblW w:w="82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9"/>
              <w:gridCol w:w="1302"/>
              <w:gridCol w:w="1730"/>
              <w:gridCol w:w="2876"/>
              <w:gridCol w:w="1852"/>
            </w:tblGrid>
            <w:tr w14:paraId="7B706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blHeader/>
                <w:jc w:val="center"/>
              </w:trPr>
              <w:tc>
                <w:tcPr>
                  <w:tcW w:w="1787" w:type="dxa"/>
                  <w:gridSpan w:val="2"/>
                  <w:vAlign w:val="center"/>
                </w:tcPr>
                <w:p w14:paraId="15070C9D">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项目组成</w:t>
                  </w:r>
                </w:p>
              </w:tc>
              <w:tc>
                <w:tcPr>
                  <w:tcW w:w="6512" w:type="dxa"/>
                  <w:gridSpan w:val="3"/>
                  <w:vAlign w:val="center"/>
                </w:tcPr>
                <w:p w14:paraId="367B377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eastAsia="zh-CN"/>
                    </w:rPr>
                    <w:t>建设内容</w:t>
                  </w:r>
                </w:p>
              </w:tc>
            </w:tr>
            <w:tr w14:paraId="76039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1787" w:type="dxa"/>
                  <w:gridSpan w:val="2"/>
                  <w:vAlign w:val="center"/>
                </w:tcPr>
                <w:p w14:paraId="009C8E18">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产品</w:t>
                  </w:r>
                </w:p>
              </w:tc>
              <w:tc>
                <w:tcPr>
                  <w:tcW w:w="6512" w:type="dxa"/>
                  <w:gridSpan w:val="3"/>
                  <w:vAlign w:val="center"/>
                </w:tcPr>
                <w:p w14:paraId="691C4A87">
                  <w:pPr>
                    <w:keepNext w:val="0"/>
                    <w:pageBreakBefore w:val="0"/>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制动盘、制动鼓</w:t>
                  </w:r>
                </w:p>
              </w:tc>
            </w:tr>
            <w:tr w14:paraId="05EAF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1787" w:type="dxa"/>
                  <w:gridSpan w:val="2"/>
                  <w:vAlign w:val="center"/>
                </w:tcPr>
                <w:p w14:paraId="1A3B110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建设规模</w:t>
                  </w:r>
                </w:p>
              </w:tc>
              <w:tc>
                <w:tcPr>
                  <w:tcW w:w="6512" w:type="dxa"/>
                  <w:gridSpan w:val="3"/>
                  <w:vAlign w:val="center"/>
                </w:tcPr>
                <w:p w14:paraId="3042D5EB">
                  <w:pPr>
                    <w:pStyle w:val="34"/>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年产5400吨汽车制动鼓、制动盘</w:t>
                  </w:r>
                </w:p>
              </w:tc>
            </w:tr>
            <w:tr w14:paraId="06A28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 w:hRule="atLeast"/>
                <w:jc w:val="center"/>
              </w:trPr>
              <w:tc>
                <w:tcPr>
                  <w:tcW w:w="1787" w:type="dxa"/>
                  <w:gridSpan w:val="2"/>
                  <w:vAlign w:val="center"/>
                </w:tcPr>
                <w:p w14:paraId="34063FA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投资情况</w:t>
                  </w:r>
                </w:p>
              </w:tc>
              <w:tc>
                <w:tcPr>
                  <w:tcW w:w="6512" w:type="dxa"/>
                  <w:gridSpan w:val="3"/>
                  <w:vAlign w:val="center"/>
                </w:tcPr>
                <w:p w14:paraId="30AA0D5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总投资10000万元，环保投资71万元</w:t>
                  </w:r>
                </w:p>
              </w:tc>
            </w:tr>
            <w:tr w14:paraId="7193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787" w:type="dxa"/>
                  <w:gridSpan w:val="2"/>
                  <w:vAlign w:val="center"/>
                </w:tcPr>
                <w:p w14:paraId="1348099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劳动定员</w:t>
                  </w:r>
                  <w:r>
                    <w:rPr>
                      <w:rFonts w:hint="default" w:ascii="Times New Roman" w:hAnsi="Times New Roman" w:eastAsia="宋体" w:cs="Times New Roman"/>
                      <w:b w:val="0"/>
                      <w:bCs w:val="0"/>
                      <w:color w:val="auto"/>
                      <w:sz w:val="21"/>
                      <w:szCs w:val="21"/>
                      <w:highlight w:val="none"/>
                      <w:lang w:eastAsia="zh-CN"/>
                    </w:rPr>
                    <w:t>及工作制度</w:t>
                  </w:r>
                </w:p>
              </w:tc>
              <w:tc>
                <w:tcPr>
                  <w:tcW w:w="6512" w:type="dxa"/>
                  <w:gridSpan w:val="3"/>
                  <w:vAlign w:val="center"/>
                </w:tcPr>
                <w:p w14:paraId="3C74571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劳动定员</w:t>
                  </w:r>
                  <w:r>
                    <w:rPr>
                      <w:rFonts w:hint="default" w:ascii="Times New Roman" w:hAnsi="Times New Roman" w:eastAsia="宋体" w:cs="Times New Roman"/>
                      <w:color w:val="auto"/>
                      <w:sz w:val="21"/>
                      <w:szCs w:val="21"/>
                      <w:highlight w:val="none"/>
                      <w:lang w:val="en-US" w:eastAsia="zh-CN"/>
                    </w:rPr>
                    <w:t>53人</w:t>
                  </w:r>
                  <w:r>
                    <w:rPr>
                      <w:rFonts w:hint="default" w:ascii="Times New Roman" w:hAnsi="Times New Roman" w:eastAsia="宋体" w:cs="Times New Roman"/>
                      <w:color w:val="auto"/>
                      <w:sz w:val="21"/>
                      <w:szCs w:val="21"/>
                      <w:highlight w:val="none"/>
                      <w:lang w:eastAsia="zh-CN"/>
                    </w:rPr>
                    <w:t>，年生产300天，</w:t>
                  </w:r>
                  <w:r>
                    <w:rPr>
                      <w:rFonts w:hint="default" w:ascii="Times New Roman" w:hAnsi="Times New Roman" w:eastAsia="宋体" w:cs="Times New Roman"/>
                      <w:color w:val="auto"/>
                      <w:sz w:val="21"/>
                      <w:szCs w:val="21"/>
                      <w:highlight w:val="none"/>
                      <w:lang w:val="en-US" w:eastAsia="zh-CN"/>
                    </w:rPr>
                    <w:t>两</w:t>
                  </w:r>
                  <w:r>
                    <w:rPr>
                      <w:rFonts w:hint="default" w:ascii="Times New Roman" w:hAnsi="Times New Roman" w:eastAsia="宋体" w:cs="Times New Roman"/>
                      <w:color w:val="auto"/>
                      <w:sz w:val="21"/>
                      <w:szCs w:val="21"/>
                      <w:highlight w:val="none"/>
                      <w:lang w:eastAsia="zh-CN"/>
                    </w:rPr>
                    <w:t>班制，每班8小时</w:t>
                  </w:r>
                </w:p>
              </w:tc>
            </w:tr>
            <w:tr w14:paraId="729C0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481" w:type="dxa"/>
                  <w:vMerge w:val="restart"/>
                  <w:vAlign w:val="center"/>
                </w:tcPr>
                <w:p w14:paraId="59CEF00B">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主体工程</w:t>
                  </w:r>
                </w:p>
              </w:tc>
              <w:tc>
                <w:tcPr>
                  <w:tcW w:w="1306" w:type="dxa"/>
                  <w:vAlign w:val="center"/>
                </w:tcPr>
                <w:p w14:paraId="3B87F3DE">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铸造车间</w:t>
                  </w:r>
                </w:p>
              </w:tc>
              <w:tc>
                <w:tcPr>
                  <w:tcW w:w="6512" w:type="dxa"/>
                  <w:gridSpan w:val="3"/>
                  <w:vAlign w:val="center"/>
                </w:tcPr>
                <w:p w14:paraId="204D9251">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建筑面积5126.89</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，一层，</w:t>
                  </w:r>
                  <w:r>
                    <w:rPr>
                      <w:rFonts w:hint="eastAsia" w:cs="Times New Roman"/>
                      <w:color w:val="auto"/>
                      <w:sz w:val="21"/>
                      <w:szCs w:val="21"/>
                      <w:highlight w:val="none"/>
                      <w:lang w:val="en-US" w:eastAsia="zh-CN"/>
                    </w:rPr>
                    <w:t>高13m。</w:t>
                  </w:r>
                  <w:r>
                    <w:rPr>
                      <w:rFonts w:hint="default" w:ascii="Times New Roman" w:hAnsi="Times New Roman" w:eastAsia="宋体" w:cs="Times New Roman"/>
                      <w:color w:val="auto"/>
                      <w:sz w:val="21"/>
                      <w:szCs w:val="21"/>
                      <w:highlight w:val="none"/>
                      <w:lang w:val="en-US" w:eastAsia="zh-CN"/>
                    </w:rPr>
                    <w:t>设置混砂造型区、中频电炉熔炼铁水区、浇注区、翻箱落砂区、砂处理区、抛丸区</w:t>
                  </w:r>
                </w:p>
              </w:tc>
            </w:tr>
            <w:tr w14:paraId="36635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continue"/>
                  <w:vAlign w:val="center"/>
                </w:tcPr>
                <w:p w14:paraId="25A785B4">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3A06D7E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机加工车间</w:t>
                  </w:r>
                </w:p>
              </w:tc>
              <w:tc>
                <w:tcPr>
                  <w:tcW w:w="6512" w:type="dxa"/>
                  <w:gridSpan w:val="3"/>
                  <w:vAlign w:val="center"/>
                </w:tcPr>
                <w:p w14:paraId="0B12AB3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建筑面积5409.37</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，一层，</w:t>
                  </w:r>
                  <w:r>
                    <w:rPr>
                      <w:rFonts w:hint="eastAsia" w:cs="Times New Roman"/>
                      <w:color w:val="auto"/>
                      <w:sz w:val="21"/>
                      <w:szCs w:val="21"/>
                      <w:highlight w:val="none"/>
                      <w:lang w:val="en-US" w:eastAsia="zh-CN"/>
                    </w:rPr>
                    <w:t>高13m。</w:t>
                  </w:r>
                  <w:r>
                    <w:rPr>
                      <w:rFonts w:hint="default" w:ascii="Times New Roman" w:hAnsi="Times New Roman" w:eastAsia="宋体" w:cs="Times New Roman"/>
                      <w:color w:val="auto"/>
                      <w:sz w:val="21"/>
                      <w:szCs w:val="21"/>
                      <w:highlight w:val="none"/>
                      <w:lang w:val="en-US" w:eastAsia="zh-CN"/>
                    </w:rPr>
                    <w:t>设置机加工设备、喷漆烘干生产线</w:t>
                  </w:r>
                </w:p>
              </w:tc>
            </w:tr>
            <w:tr w14:paraId="24A0E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restart"/>
                  <w:vAlign w:val="center"/>
                </w:tcPr>
                <w:p w14:paraId="361A5AD5">
                  <w:pPr>
                    <w:pStyle w:val="103"/>
                    <w:pageBreakBefore w:val="0"/>
                    <w:kinsoku/>
                    <w:wordWrap/>
                    <w:overflowPunct/>
                    <w:topLinePunct w:val="0"/>
                    <w:bidi w:val="0"/>
                    <w:adjustRightInd w:val="0"/>
                    <w:snapToGrid w:val="0"/>
                    <w:spacing w:line="240" w:lineRule="auto"/>
                    <w:ind w:left="21" w:leftChars="10" w:right="21" w:rightChars="10"/>
                    <w:jc w:val="center"/>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储运工程</w:t>
                  </w:r>
                </w:p>
              </w:tc>
              <w:tc>
                <w:tcPr>
                  <w:tcW w:w="1306" w:type="dxa"/>
                  <w:vAlign w:val="center"/>
                </w:tcPr>
                <w:p w14:paraId="39F95E22">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原材料存放区</w:t>
                  </w:r>
                </w:p>
              </w:tc>
              <w:tc>
                <w:tcPr>
                  <w:tcW w:w="6512" w:type="dxa"/>
                  <w:gridSpan w:val="3"/>
                  <w:vAlign w:val="center"/>
                </w:tcPr>
                <w:p w14:paraId="242FF677">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建筑面积2563</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，位于铸造车间内部东侧</w:t>
                  </w:r>
                </w:p>
              </w:tc>
            </w:tr>
            <w:tr w14:paraId="124B9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29B03CAD">
                  <w:pPr>
                    <w:pStyle w:val="103"/>
                    <w:pageBreakBefore w:val="0"/>
                    <w:kinsoku/>
                    <w:wordWrap/>
                    <w:overflowPunct/>
                    <w:topLinePunct w:val="0"/>
                    <w:bidi w:val="0"/>
                    <w:adjustRightInd w:val="0"/>
                    <w:snapToGrid w:val="0"/>
                    <w:spacing w:line="240" w:lineRule="auto"/>
                    <w:ind w:left="21" w:leftChars="10" w:right="21" w:rightChars="1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47CBF78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库房</w:t>
                  </w:r>
                </w:p>
              </w:tc>
              <w:tc>
                <w:tcPr>
                  <w:tcW w:w="6512" w:type="dxa"/>
                  <w:gridSpan w:val="3"/>
                  <w:vAlign w:val="center"/>
                </w:tcPr>
                <w:p w14:paraId="685ECBC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建筑面积2704</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位于机加工车间内</w:t>
                  </w:r>
                  <w:r>
                    <w:rPr>
                      <w:rFonts w:hint="default" w:ascii="Times New Roman" w:hAnsi="Times New Roman" w:eastAsia="宋体" w:cs="Times New Roman"/>
                      <w:color w:val="auto"/>
                      <w:sz w:val="21"/>
                      <w:szCs w:val="21"/>
                      <w:highlight w:val="none"/>
                      <w:lang w:val="en-US" w:eastAsia="zh-CN"/>
                    </w:rPr>
                    <w:t>部</w:t>
                  </w:r>
                  <w:r>
                    <w:rPr>
                      <w:rFonts w:hint="default" w:ascii="Times New Roman" w:hAnsi="Times New Roman" w:eastAsia="宋体" w:cs="Times New Roman"/>
                      <w:color w:val="auto"/>
                      <w:sz w:val="21"/>
                      <w:szCs w:val="21"/>
                      <w:highlight w:val="none"/>
                      <w:lang w:eastAsia="zh-CN"/>
                    </w:rPr>
                    <w:t>南侧</w:t>
                  </w:r>
                </w:p>
              </w:tc>
            </w:tr>
            <w:tr w14:paraId="060BF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restart"/>
                  <w:vAlign w:val="center"/>
                </w:tcPr>
                <w:p w14:paraId="0724A941">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辅助工程</w:t>
                  </w:r>
                </w:p>
              </w:tc>
              <w:tc>
                <w:tcPr>
                  <w:tcW w:w="1306" w:type="dxa"/>
                  <w:vAlign w:val="center"/>
                </w:tcPr>
                <w:p w14:paraId="5FAA7EF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办公楼</w:t>
                  </w:r>
                </w:p>
              </w:tc>
              <w:tc>
                <w:tcPr>
                  <w:tcW w:w="6512" w:type="dxa"/>
                  <w:gridSpan w:val="3"/>
                  <w:vAlign w:val="center"/>
                </w:tcPr>
                <w:p w14:paraId="29E84B13">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color w:val="auto"/>
                      <w:sz w:val="21"/>
                      <w:szCs w:val="21"/>
                      <w:highlight w:val="none"/>
                      <w:lang w:val="en-US" w:eastAsia="zh-CN"/>
                    </w:rPr>
                    <w:t>建筑面积1772.77</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三</w:t>
                  </w:r>
                  <w:r>
                    <w:rPr>
                      <w:rFonts w:hint="default" w:ascii="Times New Roman" w:hAnsi="Times New Roman" w:eastAsia="宋体" w:cs="Times New Roman"/>
                      <w:color w:val="auto"/>
                      <w:sz w:val="21"/>
                      <w:szCs w:val="21"/>
                      <w:highlight w:val="none"/>
                      <w:lang w:val="en-US" w:eastAsia="zh-CN"/>
                    </w:rPr>
                    <w:t>层，</w:t>
                  </w:r>
                  <w:r>
                    <w:rPr>
                      <w:rFonts w:hint="eastAsia" w:cs="Times New Roman"/>
                      <w:color w:val="auto"/>
                      <w:sz w:val="21"/>
                      <w:szCs w:val="21"/>
                      <w:highlight w:val="none"/>
                      <w:lang w:val="en-US" w:eastAsia="zh-CN"/>
                    </w:rPr>
                    <w:t>高11.46m高。</w:t>
                  </w:r>
                  <w:r>
                    <w:rPr>
                      <w:rFonts w:hint="eastAsia" w:ascii="Times New Roman" w:hAnsi="Times New Roman" w:eastAsia="宋体" w:cs="Times New Roman"/>
                      <w:color w:val="auto"/>
                      <w:sz w:val="21"/>
                      <w:szCs w:val="21"/>
                      <w:highlight w:val="none"/>
                      <w:lang w:val="en-US" w:eastAsia="zh-CN"/>
                    </w:rPr>
                    <w:t>机械加工</w:t>
                  </w:r>
                  <w:r>
                    <w:rPr>
                      <w:rFonts w:hint="default" w:ascii="Times New Roman" w:hAnsi="Times New Roman" w:eastAsia="宋体" w:cs="Times New Roman"/>
                      <w:color w:val="auto"/>
                      <w:sz w:val="21"/>
                      <w:szCs w:val="21"/>
                      <w:highlight w:val="none"/>
                      <w:lang w:val="en-US" w:eastAsia="zh-CN"/>
                    </w:rPr>
                    <w:t>车间南侧</w:t>
                  </w:r>
                </w:p>
              </w:tc>
            </w:tr>
            <w:tr w14:paraId="03EF8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1D6E0D8C">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c>
                <w:tcPr>
                  <w:tcW w:w="1306" w:type="dxa"/>
                  <w:vAlign w:val="center"/>
                </w:tcPr>
                <w:p w14:paraId="02298F37">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食堂</w:t>
                  </w:r>
                </w:p>
              </w:tc>
              <w:tc>
                <w:tcPr>
                  <w:tcW w:w="6512" w:type="dxa"/>
                  <w:gridSpan w:val="3"/>
                  <w:vAlign w:val="center"/>
                </w:tcPr>
                <w:p w14:paraId="41510CB1">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建筑面积50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，厂区东南角</w:t>
                  </w:r>
                </w:p>
              </w:tc>
            </w:tr>
            <w:tr w14:paraId="1D84D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continue"/>
                  <w:vAlign w:val="center"/>
                </w:tcPr>
                <w:p w14:paraId="33A49E13">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c>
                <w:tcPr>
                  <w:tcW w:w="1306" w:type="dxa"/>
                  <w:vAlign w:val="center"/>
                </w:tcPr>
                <w:p w14:paraId="6FEBBEE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一般固废间</w:t>
                  </w:r>
                </w:p>
              </w:tc>
              <w:tc>
                <w:tcPr>
                  <w:tcW w:w="6512" w:type="dxa"/>
                  <w:gridSpan w:val="3"/>
                  <w:vAlign w:val="center"/>
                </w:tcPr>
                <w:p w14:paraId="78C9BE0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建筑面积10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，厂区北侧偏</w:t>
                  </w:r>
                  <w:r>
                    <w:rPr>
                      <w:rFonts w:hint="eastAsia" w:cs="Times New Roman"/>
                      <w:color w:val="auto"/>
                      <w:sz w:val="21"/>
                      <w:szCs w:val="21"/>
                      <w:highlight w:val="none"/>
                      <w:lang w:val="en-US" w:eastAsia="zh-CN"/>
                    </w:rPr>
                    <w:t>西</w:t>
                  </w:r>
                </w:p>
              </w:tc>
            </w:tr>
            <w:tr w14:paraId="1B2C8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28F661B4">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c>
                <w:tcPr>
                  <w:tcW w:w="1306" w:type="dxa"/>
                  <w:vAlign w:val="center"/>
                </w:tcPr>
                <w:p w14:paraId="55B47B51">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危废间</w:t>
                  </w:r>
                </w:p>
              </w:tc>
              <w:tc>
                <w:tcPr>
                  <w:tcW w:w="6512" w:type="dxa"/>
                  <w:gridSpan w:val="3"/>
                  <w:vAlign w:val="center"/>
                </w:tcPr>
                <w:p w14:paraId="7FF22DE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建筑面积10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，厂区北侧偏</w:t>
                  </w:r>
                  <w:r>
                    <w:rPr>
                      <w:rFonts w:hint="eastAsia" w:cs="Times New Roman"/>
                      <w:color w:val="auto"/>
                      <w:sz w:val="21"/>
                      <w:szCs w:val="21"/>
                      <w:highlight w:val="none"/>
                      <w:lang w:val="en-US" w:eastAsia="zh-CN"/>
                    </w:rPr>
                    <w:t>东</w:t>
                  </w:r>
                </w:p>
              </w:tc>
            </w:tr>
            <w:tr w14:paraId="6C7E4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68811C6F">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c>
                <w:tcPr>
                  <w:tcW w:w="1306" w:type="dxa"/>
                  <w:vAlign w:val="center"/>
                </w:tcPr>
                <w:p w14:paraId="2228F0D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调漆间</w:t>
                  </w:r>
                </w:p>
              </w:tc>
              <w:tc>
                <w:tcPr>
                  <w:tcW w:w="6512" w:type="dxa"/>
                  <w:gridSpan w:val="3"/>
                  <w:vAlign w:val="center"/>
                </w:tcPr>
                <w:p w14:paraId="6C24B277">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建筑面积10</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lang w:val="en-US" w:eastAsia="zh-CN"/>
                    </w:rPr>
                    <w:t>，机加工车间的喷漆房内</w:t>
                  </w:r>
                </w:p>
              </w:tc>
            </w:tr>
            <w:tr w14:paraId="690DC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5334C3E5">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c>
                <w:tcPr>
                  <w:tcW w:w="1306" w:type="dxa"/>
                  <w:vAlign w:val="center"/>
                </w:tcPr>
                <w:p w14:paraId="780E164A">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水泵房及消防水池</w:t>
                  </w:r>
                </w:p>
              </w:tc>
              <w:tc>
                <w:tcPr>
                  <w:tcW w:w="6512" w:type="dxa"/>
                  <w:gridSpan w:val="3"/>
                  <w:vAlign w:val="center"/>
                </w:tcPr>
                <w:p w14:paraId="44D2A3DE">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建筑面积</w:t>
                  </w:r>
                  <w:r>
                    <w:rPr>
                      <w:rFonts w:hint="eastAsia" w:cs="Times New Roman"/>
                      <w:color w:val="auto"/>
                      <w:sz w:val="21"/>
                      <w:szCs w:val="21"/>
                      <w:highlight w:val="none"/>
                      <w:lang w:val="en-US" w:eastAsia="zh-CN"/>
                    </w:rPr>
                    <w:t>184.98</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2</w:t>
                  </w:r>
                  <w:r>
                    <w:rPr>
                      <w:rFonts w:hint="eastAsia" w:cs="Times New Roman"/>
                      <w:color w:val="auto"/>
                      <w:sz w:val="21"/>
                      <w:szCs w:val="21"/>
                      <w:highlight w:val="none"/>
                      <w:vertAlign w:val="baseline"/>
                      <w:lang w:eastAsia="zh-CN"/>
                    </w:rPr>
                    <w:t>，</w:t>
                  </w:r>
                  <w:r>
                    <w:rPr>
                      <w:rFonts w:hint="eastAsia" w:cs="Times New Roman"/>
                      <w:color w:val="auto"/>
                      <w:sz w:val="21"/>
                      <w:szCs w:val="21"/>
                      <w:highlight w:val="none"/>
                      <w:vertAlign w:val="baseline"/>
                      <w:lang w:val="en-US" w:eastAsia="zh-CN"/>
                    </w:rPr>
                    <w:t>单层</w:t>
                  </w:r>
                </w:p>
              </w:tc>
            </w:tr>
            <w:tr w14:paraId="3A79F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restart"/>
                  <w:vAlign w:val="center"/>
                </w:tcPr>
                <w:p w14:paraId="186E096A">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公用</w:t>
                  </w:r>
                </w:p>
                <w:p w14:paraId="6B641254">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工程</w:t>
                  </w:r>
                </w:p>
              </w:tc>
              <w:tc>
                <w:tcPr>
                  <w:tcW w:w="1306" w:type="dxa"/>
                  <w:vAlign w:val="center"/>
                </w:tcPr>
                <w:p w14:paraId="1B1B37F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供电</w:t>
                  </w:r>
                </w:p>
              </w:tc>
              <w:tc>
                <w:tcPr>
                  <w:tcW w:w="6512" w:type="dxa"/>
                  <w:gridSpan w:val="3"/>
                  <w:vAlign w:val="center"/>
                </w:tcPr>
                <w:p w14:paraId="5AEA84F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由行唐县供电总公司提供</w:t>
                  </w:r>
                </w:p>
              </w:tc>
            </w:tr>
            <w:tr w14:paraId="3E33B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06700BA8">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48E3803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供水</w:t>
                  </w:r>
                </w:p>
              </w:tc>
              <w:tc>
                <w:tcPr>
                  <w:tcW w:w="6512" w:type="dxa"/>
                  <w:gridSpan w:val="3"/>
                  <w:vAlign w:val="center"/>
                </w:tcPr>
                <w:p w14:paraId="7C8BE593">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由园区集中供水</w:t>
                  </w:r>
                </w:p>
              </w:tc>
            </w:tr>
            <w:tr w14:paraId="07045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035B9549">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067D529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供热</w:t>
                  </w:r>
                </w:p>
              </w:tc>
              <w:tc>
                <w:tcPr>
                  <w:tcW w:w="6512" w:type="dxa"/>
                  <w:gridSpan w:val="3"/>
                  <w:vAlign w:val="center"/>
                </w:tcPr>
                <w:p w14:paraId="3D9C05D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项目生活、生产用热均使用电能</w:t>
                  </w:r>
                </w:p>
              </w:tc>
            </w:tr>
            <w:tr w14:paraId="52B4D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81" w:type="dxa"/>
                  <w:vMerge w:val="restart"/>
                  <w:vAlign w:val="center"/>
                </w:tcPr>
                <w:p w14:paraId="25B3D278">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环保工程</w:t>
                  </w:r>
                </w:p>
                <w:p w14:paraId="5FDC3CF3">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color w:val="auto"/>
                      <w:sz w:val="21"/>
                      <w:szCs w:val="21"/>
                      <w:highlight w:val="none"/>
                    </w:rPr>
                  </w:pPr>
                </w:p>
                <w:p w14:paraId="5A7FAFE4">
                  <w:pPr>
                    <w:spacing w:line="240" w:lineRule="auto"/>
                    <w:jc w:val="center"/>
                    <w:rPr>
                      <w:rFonts w:hint="default" w:ascii="Times New Roman" w:hAnsi="Times New Roman" w:eastAsia="宋体" w:cs="Times New Roman"/>
                      <w:color w:val="auto"/>
                      <w:sz w:val="21"/>
                      <w:szCs w:val="21"/>
                      <w:highlight w:val="none"/>
                    </w:rPr>
                  </w:pPr>
                </w:p>
              </w:tc>
              <w:tc>
                <w:tcPr>
                  <w:tcW w:w="1306" w:type="dxa"/>
                  <w:vMerge w:val="restart"/>
                  <w:vAlign w:val="center"/>
                </w:tcPr>
                <w:p w14:paraId="654DCBB2">
                  <w:pPr>
                    <w:spacing w:line="240" w:lineRule="auto"/>
                    <w:jc w:val="center"/>
                    <w:rPr>
                      <w:rFonts w:hint="default" w:ascii="Times New Roman" w:hAnsi="Times New Roman" w:eastAsia="宋体" w:cs="Times New Roman"/>
                      <w:b w:val="0"/>
                      <w:bCs w:val="0"/>
                      <w:color w:val="auto"/>
                      <w:kern w:val="2"/>
                      <w:sz w:val="21"/>
                      <w:szCs w:val="21"/>
                      <w:highlight w:val="none"/>
                      <w:lang w:val="zh-CN" w:eastAsia="zh-CN" w:bidi="ar-SA"/>
                    </w:rPr>
                  </w:pPr>
                  <w:r>
                    <w:rPr>
                      <w:rFonts w:hint="default" w:ascii="Times New Roman" w:hAnsi="Times New Roman" w:eastAsia="宋体" w:cs="Times New Roman"/>
                      <w:b w:val="0"/>
                      <w:bCs w:val="0"/>
                      <w:color w:val="auto"/>
                      <w:sz w:val="21"/>
                      <w:szCs w:val="21"/>
                      <w:highlight w:val="none"/>
                      <w:lang w:val="zh-CN"/>
                    </w:rPr>
                    <w:t>废水治理</w:t>
                  </w:r>
                </w:p>
              </w:tc>
              <w:tc>
                <w:tcPr>
                  <w:tcW w:w="6512" w:type="dxa"/>
                  <w:gridSpan w:val="3"/>
                  <w:vMerge w:val="restart"/>
                  <w:vAlign w:val="center"/>
                </w:tcPr>
                <w:p w14:paraId="7966BB28">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食堂废水经隔油池隔油后与生活污水一同进入</w:t>
                  </w:r>
                  <w:r>
                    <w:rPr>
                      <w:rFonts w:hint="default" w:ascii="Times New Roman" w:hAnsi="Times New Roman" w:eastAsia="宋体" w:cs="Times New Roman"/>
                      <w:color w:val="auto"/>
                      <w:sz w:val="21"/>
                      <w:szCs w:val="21"/>
                      <w:highlight w:val="none"/>
                    </w:rPr>
                    <w:t>厂区化粪池进行预处理</w:t>
                  </w:r>
                  <w:r>
                    <w:rPr>
                      <w:rFonts w:hint="default" w:ascii="Times New Roman" w:hAnsi="Times New Roman" w:eastAsia="宋体" w:cs="Times New Roman"/>
                      <w:color w:val="auto"/>
                      <w:sz w:val="21"/>
                      <w:szCs w:val="21"/>
                      <w:highlight w:val="none"/>
                      <w:lang w:val="en-US" w:eastAsia="zh-CN"/>
                    </w:rPr>
                    <w:t>后</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eastAsia="zh-CN"/>
                    </w:rPr>
                    <w:t>排入园区污水管网，最终进入行唐县第二污水处理厂进行深度处理</w:t>
                  </w:r>
                </w:p>
              </w:tc>
            </w:tr>
            <w:tr w14:paraId="1A1F5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81" w:type="dxa"/>
                  <w:vMerge w:val="continue"/>
                  <w:vAlign w:val="center"/>
                </w:tcPr>
                <w:p w14:paraId="41DE3DC5">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49EF8640">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6512" w:type="dxa"/>
                  <w:gridSpan w:val="3"/>
                  <w:vMerge w:val="continue"/>
                  <w:vAlign w:val="center"/>
                </w:tcPr>
                <w:p w14:paraId="555054A4">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11CCB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481" w:type="dxa"/>
                  <w:vMerge w:val="continue"/>
                  <w:vAlign w:val="center"/>
                </w:tcPr>
                <w:p w14:paraId="0BC84DFC">
                  <w:pPr>
                    <w:spacing w:line="240" w:lineRule="auto"/>
                    <w:jc w:val="center"/>
                    <w:rPr>
                      <w:rFonts w:hint="default" w:ascii="Times New Roman" w:hAnsi="Times New Roman" w:eastAsia="宋体" w:cs="Times New Roman"/>
                      <w:color w:val="auto"/>
                      <w:sz w:val="21"/>
                      <w:szCs w:val="21"/>
                      <w:highlight w:val="none"/>
                    </w:rPr>
                  </w:pPr>
                </w:p>
              </w:tc>
              <w:tc>
                <w:tcPr>
                  <w:tcW w:w="1306" w:type="dxa"/>
                  <w:vMerge w:val="restart"/>
                  <w:vAlign w:val="center"/>
                </w:tcPr>
                <w:p w14:paraId="490B3780">
                  <w:pPr>
                    <w:spacing w:line="240" w:lineRule="auto"/>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zh-CN"/>
                    </w:rPr>
                    <w:t>废气治理</w:t>
                  </w:r>
                  <w:r>
                    <w:rPr>
                      <w:rFonts w:hint="eastAsia" w:cs="Times New Roman"/>
                      <w:b w:val="0"/>
                      <w:bCs w:val="0"/>
                      <w:color w:val="auto"/>
                      <w:sz w:val="21"/>
                      <w:szCs w:val="21"/>
                      <w:highlight w:val="none"/>
                      <w:lang w:val="en-US" w:eastAsia="zh-CN"/>
                    </w:rPr>
                    <w:t>(排气筒编号与排污证一致，无DA004、DA005）</w:t>
                  </w:r>
                </w:p>
              </w:tc>
              <w:tc>
                <w:tcPr>
                  <w:tcW w:w="1746" w:type="dxa"/>
                  <w:vAlign w:val="center"/>
                </w:tcPr>
                <w:p w14:paraId="3209690F">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中频感应电炉烟尘</w:t>
                  </w:r>
                </w:p>
              </w:tc>
              <w:tc>
                <w:tcPr>
                  <w:tcW w:w="4766" w:type="dxa"/>
                  <w:gridSpan w:val="2"/>
                  <w:vAlign w:val="center"/>
                </w:tcPr>
                <w:p w14:paraId="44247C78">
                  <w:pPr>
                    <w:spacing w:line="240" w:lineRule="auto"/>
                    <w:ind w:firstLine="210" w:firstLineChars="100"/>
                    <w:jc w:val="both"/>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二次密闭+旋风除尘器TA001+布袋除尘器TA002+1</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m高排气筒（DA001）</w:t>
                  </w:r>
                </w:p>
              </w:tc>
            </w:tr>
            <w:tr w14:paraId="5FD45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481" w:type="dxa"/>
                  <w:vMerge w:val="continue"/>
                  <w:vAlign w:val="center"/>
                </w:tcPr>
                <w:p w14:paraId="1D6A47B5">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150A68AF">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547FF1A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翻箱落砂粉尘</w:t>
                  </w:r>
                </w:p>
              </w:tc>
              <w:tc>
                <w:tcPr>
                  <w:tcW w:w="2906" w:type="dxa"/>
                  <w:vAlign w:val="center"/>
                </w:tcPr>
                <w:p w14:paraId="4C292D2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生产线全密闭+布袋除尘器TA003</w:t>
                  </w:r>
                </w:p>
              </w:tc>
              <w:tc>
                <w:tcPr>
                  <w:tcW w:w="1860" w:type="dxa"/>
                  <w:vMerge w:val="restart"/>
                  <w:vAlign w:val="center"/>
                </w:tcPr>
                <w:p w14:paraId="6CAF7FB0">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m高排气筒</w:t>
                  </w:r>
                </w:p>
                <w:p w14:paraId="443F780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（DA002）</w:t>
                  </w:r>
                </w:p>
                <w:p w14:paraId="1C9F014D">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40CAC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481" w:type="dxa"/>
                  <w:vMerge w:val="continue"/>
                  <w:vAlign w:val="center"/>
                </w:tcPr>
                <w:p w14:paraId="66F70A52">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61E1D7CD">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3DC8A88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抛丸粉尘</w:t>
                  </w:r>
                </w:p>
              </w:tc>
              <w:tc>
                <w:tcPr>
                  <w:tcW w:w="2906" w:type="dxa"/>
                  <w:vAlign w:val="center"/>
                </w:tcPr>
                <w:p w14:paraId="675B02D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设备密闭+布袋除尘器TA004</w:t>
                  </w:r>
                </w:p>
              </w:tc>
              <w:tc>
                <w:tcPr>
                  <w:tcW w:w="1860" w:type="dxa"/>
                  <w:vMerge w:val="continue"/>
                  <w:vAlign w:val="center"/>
                </w:tcPr>
                <w:p w14:paraId="35EB55EA">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68AC3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1" w:type="dxa"/>
                  <w:vMerge w:val="continue"/>
                  <w:vAlign w:val="center"/>
                </w:tcPr>
                <w:p w14:paraId="0D6604CC">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467C2CC4">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3664CAE1">
                  <w:pPr>
                    <w:pStyle w:val="103"/>
                    <w:bidi w:val="0"/>
                    <w:spacing w:line="240" w:lineRule="auto"/>
                    <w:ind w:left="21" w:leftChars="10" w:right="21" w:rightChars="10"/>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混砂粉尘</w:t>
                  </w:r>
                </w:p>
              </w:tc>
              <w:tc>
                <w:tcPr>
                  <w:tcW w:w="2906" w:type="dxa"/>
                  <w:vAlign w:val="center"/>
                </w:tcPr>
                <w:p w14:paraId="287291F1">
                  <w:pPr>
                    <w:pStyle w:val="103"/>
                    <w:bidi w:val="0"/>
                    <w:spacing w:line="240" w:lineRule="auto"/>
                    <w:ind w:left="21" w:leftChars="10" w:right="21" w:rightChars="10"/>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密闭料仓/密闭混砂机+管道+布袋除尘器TA00</w:t>
                  </w:r>
                  <w:r>
                    <w:rPr>
                      <w:rFonts w:hint="eastAsia" w:eastAsia="宋体" w:cs="Times New Roman"/>
                      <w:color w:val="000000" w:themeColor="text1"/>
                      <w:sz w:val="21"/>
                      <w:szCs w:val="21"/>
                      <w:highlight w:val="none"/>
                      <w:lang w:val="en-US" w:eastAsia="zh-CN"/>
                      <w14:textFill>
                        <w14:solidFill>
                          <w14:schemeClr w14:val="tx1"/>
                        </w14:solidFill>
                      </w14:textFill>
                    </w:rPr>
                    <w:t>6</w:t>
                  </w:r>
                </w:p>
              </w:tc>
              <w:tc>
                <w:tcPr>
                  <w:tcW w:w="1860" w:type="dxa"/>
                  <w:vMerge w:val="restart"/>
                  <w:vAlign w:val="center"/>
                </w:tcPr>
                <w:p w14:paraId="386D4D15">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m高排气筒（DA003）</w:t>
                  </w:r>
                </w:p>
                <w:p w14:paraId="247B87FE">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1D43F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481" w:type="dxa"/>
                  <w:vMerge w:val="continue"/>
                  <w:vAlign w:val="center"/>
                </w:tcPr>
                <w:p w14:paraId="55CE5E5A">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2D99C2A4">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1A27A2EB">
                  <w:pPr>
                    <w:pStyle w:val="103"/>
                    <w:bidi w:val="0"/>
                    <w:spacing w:line="240" w:lineRule="auto"/>
                    <w:ind w:left="21" w:leftChars="10" w:right="21" w:rightChars="1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浇注粉尘</w:t>
                  </w:r>
                </w:p>
              </w:tc>
              <w:tc>
                <w:tcPr>
                  <w:tcW w:w="2906" w:type="dxa"/>
                  <w:vAlign w:val="center"/>
                </w:tcPr>
                <w:p w14:paraId="2C717B35">
                  <w:pPr>
                    <w:pStyle w:val="103"/>
                    <w:bidi w:val="0"/>
                    <w:spacing w:line="240" w:lineRule="auto"/>
                    <w:ind w:left="21" w:leftChars="10" w:right="21" w:rightChars="1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集气罩</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+布袋除尘器TA005</w:t>
                  </w:r>
                </w:p>
              </w:tc>
              <w:tc>
                <w:tcPr>
                  <w:tcW w:w="1860" w:type="dxa"/>
                  <w:vMerge w:val="continue"/>
                  <w:vAlign w:val="center"/>
                </w:tcPr>
                <w:p w14:paraId="6A04966A">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66E34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exact"/>
                <w:jc w:val="center"/>
              </w:trPr>
              <w:tc>
                <w:tcPr>
                  <w:tcW w:w="481" w:type="dxa"/>
                  <w:vMerge w:val="continue"/>
                  <w:vAlign w:val="center"/>
                </w:tcPr>
                <w:p w14:paraId="641C3B51">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3D0CD74A">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2516383F">
                  <w:pPr>
                    <w:pStyle w:val="103"/>
                    <w:bidi w:val="0"/>
                    <w:spacing w:line="240" w:lineRule="auto"/>
                    <w:ind w:left="21" w:leftChars="10" w:right="21" w:rightChars="10"/>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砂处理粉尘</w:t>
                  </w:r>
                </w:p>
              </w:tc>
              <w:tc>
                <w:tcPr>
                  <w:tcW w:w="2906" w:type="dxa"/>
                  <w:vAlign w:val="center"/>
                </w:tcPr>
                <w:p w14:paraId="048006BF">
                  <w:pPr>
                    <w:pStyle w:val="103"/>
                    <w:bidi w:val="0"/>
                    <w:spacing w:line="240" w:lineRule="auto"/>
                    <w:ind w:right="21" w:rightChars="10"/>
                    <w:jc w:val="both"/>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密闭输送带+布袋除尘器TA006</w:t>
                  </w:r>
                </w:p>
              </w:tc>
              <w:tc>
                <w:tcPr>
                  <w:tcW w:w="1860" w:type="dxa"/>
                  <w:vMerge w:val="continue"/>
                  <w:vAlign w:val="center"/>
                </w:tcPr>
                <w:p w14:paraId="55457E18">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3BD58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481" w:type="dxa"/>
                  <w:vMerge w:val="continue"/>
                  <w:vAlign w:val="center"/>
                </w:tcPr>
                <w:p w14:paraId="0D68BC38">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27F0FAB3">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3A443EE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喷漆、烘干废气</w:t>
                  </w:r>
                </w:p>
              </w:tc>
              <w:tc>
                <w:tcPr>
                  <w:tcW w:w="2906" w:type="dxa"/>
                  <w:vAlign w:val="center"/>
                </w:tcPr>
                <w:p w14:paraId="2502493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密闭喷漆、烘干</w:t>
                  </w:r>
                  <w:r>
                    <w:rPr>
                      <w:rFonts w:hint="default" w:ascii="Times New Roman" w:hAnsi="Times New Roman" w:eastAsia="宋体" w:cs="Times New Roman"/>
                      <w:color w:val="auto"/>
                      <w:sz w:val="21"/>
                      <w:szCs w:val="21"/>
                      <w:highlight w:val="none"/>
                      <w:lang w:val="en-US" w:eastAsia="zh-CN"/>
                    </w:rPr>
                    <w:t>生产线</w:t>
                  </w:r>
                </w:p>
              </w:tc>
              <w:tc>
                <w:tcPr>
                  <w:tcW w:w="1860" w:type="dxa"/>
                  <w:vMerge w:val="restart"/>
                  <w:vAlign w:val="center"/>
                </w:tcPr>
                <w:p w14:paraId="6133EC42">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二级过滤棉+活性炭吸附脱附催化燃烧装置TA007+18m高排气筒（DA00</w:t>
                  </w:r>
                  <w:r>
                    <w:rPr>
                      <w:rFonts w:hint="eastAsia" w:cs="Times New Roman"/>
                      <w:color w:val="000000" w:themeColor="text1"/>
                      <w:sz w:val="21"/>
                      <w:szCs w:val="21"/>
                      <w:highlight w:val="none"/>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14:paraId="725E8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481" w:type="dxa"/>
                  <w:vMerge w:val="continue"/>
                  <w:vAlign w:val="center"/>
                </w:tcPr>
                <w:p w14:paraId="43D9B880">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25B177BA">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5E430031">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调漆间废气</w:t>
                  </w:r>
                </w:p>
              </w:tc>
              <w:tc>
                <w:tcPr>
                  <w:tcW w:w="2906" w:type="dxa"/>
                  <w:vAlign w:val="center"/>
                </w:tcPr>
                <w:p w14:paraId="7962670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密闭间</w:t>
                  </w:r>
                </w:p>
              </w:tc>
              <w:tc>
                <w:tcPr>
                  <w:tcW w:w="1860" w:type="dxa"/>
                  <w:vMerge w:val="continue"/>
                  <w:vAlign w:val="center"/>
                </w:tcPr>
                <w:p w14:paraId="3BC65798">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4526E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481" w:type="dxa"/>
                  <w:vMerge w:val="continue"/>
                  <w:vAlign w:val="center"/>
                </w:tcPr>
                <w:p w14:paraId="766AAF0B">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6A9EC150">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628A8697">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危废间废气</w:t>
                  </w:r>
                </w:p>
              </w:tc>
              <w:tc>
                <w:tcPr>
                  <w:tcW w:w="2906" w:type="dxa"/>
                  <w:vAlign w:val="center"/>
                </w:tcPr>
                <w:p w14:paraId="387347B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密闭间</w:t>
                  </w:r>
                </w:p>
              </w:tc>
              <w:tc>
                <w:tcPr>
                  <w:tcW w:w="1860" w:type="dxa"/>
                  <w:vMerge w:val="continue"/>
                  <w:vAlign w:val="center"/>
                </w:tcPr>
                <w:p w14:paraId="0ADF2A62">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10A64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1B04EA78">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365E46AE">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0F99673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食堂油烟</w:t>
                  </w:r>
                </w:p>
              </w:tc>
              <w:tc>
                <w:tcPr>
                  <w:tcW w:w="4766" w:type="dxa"/>
                  <w:gridSpan w:val="2"/>
                  <w:vAlign w:val="center"/>
                </w:tcPr>
                <w:p w14:paraId="2C804D6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集气罩+1套高效油烟净化器</w:t>
                  </w:r>
                </w:p>
              </w:tc>
            </w:tr>
            <w:tr w14:paraId="0466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continue"/>
                  <w:vAlign w:val="center"/>
                </w:tcPr>
                <w:p w14:paraId="457E46E3">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2BDCD459">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59AC223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机</w:t>
                  </w:r>
                  <w:r>
                    <w:rPr>
                      <w:rFonts w:hint="default" w:ascii="Times New Roman" w:hAnsi="Times New Roman" w:eastAsia="宋体" w:cs="Times New Roman"/>
                      <w:color w:val="auto"/>
                      <w:sz w:val="21"/>
                      <w:szCs w:val="21"/>
                      <w:highlight w:val="none"/>
                    </w:rPr>
                    <w:t>加工粉尘</w:t>
                  </w:r>
                </w:p>
              </w:tc>
              <w:tc>
                <w:tcPr>
                  <w:tcW w:w="4766" w:type="dxa"/>
                  <w:gridSpan w:val="2"/>
                  <w:vAlign w:val="center"/>
                </w:tcPr>
                <w:p w14:paraId="4509F87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000000" w:themeColor="text1"/>
                      <w:sz w:val="21"/>
                      <w:szCs w:val="21"/>
                      <w:highlight w:val="none"/>
                      <w14:textFill>
                        <w14:solidFill>
                          <w14:schemeClr w14:val="tx1"/>
                        </w14:solidFill>
                      </w14:textFill>
                    </w:rPr>
                    <w:t>厂房密闭、自然沉降</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粗加工工序废气经</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集气罩+布袋除尘器TA008+18m高排气筒（DA00</w:t>
                  </w:r>
                  <w:r>
                    <w:rPr>
                      <w:rFonts w:hint="eastAsia" w:cs="Times New Roman"/>
                      <w:color w:val="000000" w:themeColor="text1"/>
                      <w:sz w:val="21"/>
                      <w:szCs w:val="21"/>
                      <w:highlight w:val="none"/>
                      <w:lang w:val="en-US" w:eastAsia="zh-CN"/>
                      <w14:textFill>
                        <w14:solidFill>
                          <w14:schemeClr w14:val="tx1"/>
                        </w14:solidFill>
                      </w14:textFill>
                    </w:rPr>
                    <w:t>6</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14:paraId="5BFB0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continue"/>
                  <w:vAlign w:val="center"/>
                </w:tcPr>
                <w:p w14:paraId="1758CFE0">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0D53446E">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0B9EBEE4">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天然气燃烧机燃烧废气</w:t>
                  </w:r>
                </w:p>
              </w:tc>
              <w:tc>
                <w:tcPr>
                  <w:tcW w:w="4766" w:type="dxa"/>
                  <w:gridSpan w:val="2"/>
                  <w:vAlign w:val="center"/>
                </w:tcPr>
                <w:p w14:paraId="68653FE2">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rPr>
                  </w:pPr>
                  <w:r>
                    <w:rPr>
                      <w:rFonts w:hint="eastAsia" w:cs="Times New Roman"/>
                      <w:color w:val="000000" w:themeColor="text1"/>
                      <w:sz w:val="21"/>
                      <w:szCs w:val="21"/>
                      <w:highlight w:val="none"/>
                      <w:lang w:val="en-US" w:eastAsia="zh-CN"/>
                      <w14:textFill>
                        <w14:solidFill>
                          <w14:schemeClr w14:val="tx1"/>
                        </w14:solidFill>
                      </w14:textFill>
                    </w:rPr>
                    <w:t>使用清洁燃料，18米排气筒(DA008)直排。</w:t>
                  </w:r>
                </w:p>
              </w:tc>
            </w:tr>
            <w:tr w14:paraId="1A806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0391F9E8">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restart"/>
                  <w:vAlign w:val="center"/>
                </w:tcPr>
                <w:p w14:paraId="5C33AD2E">
                  <w:pPr>
                    <w:spacing w:line="240" w:lineRule="auto"/>
                    <w:jc w:val="center"/>
                    <w:rPr>
                      <w:rFonts w:hint="default" w:ascii="Times New Roman" w:hAnsi="Times New Roman" w:eastAsia="宋体" w:cs="Times New Roman"/>
                      <w:b w:val="0"/>
                      <w:bCs w:val="0"/>
                      <w:color w:val="auto"/>
                      <w:sz w:val="21"/>
                      <w:szCs w:val="21"/>
                      <w:highlight w:val="none"/>
                      <w:lang w:val="zh-CN"/>
                    </w:rPr>
                  </w:pPr>
                  <w:r>
                    <w:rPr>
                      <w:rFonts w:hint="default" w:ascii="Times New Roman" w:hAnsi="Times New Roman" w:eastAsia="宋体" w:cs="Times New Roman"/>
                      <w:b w:val="0"/>
                      <w:bCs w:val="0"/>
                      <w:color w:val="auto"/>
                      <w:sz w:val="21"/>
                      <w:szCs w:val="21"/>
                      <w:highlight w:val="none"/>
                      <w:lang w:val="zh-CN"/>
                    </w:rPr>
                    <w:t>固体废物治理</w:t>
                  </w:r>
                </w:p>
              </w:tc>
              <w:tc>
                <w:tcPr>
                  <w:tcW w:w="1746" w:type="dxa"/>
                  <w:vAlign w:val="center"/>
                </w:tcPr>
                <w:p w14:paraId="157419D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金属边角料、金属屑、废浇冒口、废钢丸</w:t>
                  </w:r>
                </w:p>
              </w:tc>
              <w:tc>
                <w:tcPr>
                  <w:tcW w:w="4766" w:type="dxa"/>
                  <w:gridSpan w:val="2"/>
                  <w:vAlign w:val="center"/>
                </w:tcPr>
                <w:p w14:paraId="278772B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收集后回用</w:t>
                  </w:r>
                </w:p>
              </w:tc>
            </w:tr>
            <w:tr w14:paraId="5B795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81" w:type="dxa"/>
                  <w:vMerge w:val="continue"/>
                  <w:vAlign w:val="center"/>
                </w:tcPr>
                <w:p w14:paraId="01D79947">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447E9ED2">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5BCA478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中频感应电炉炉渣、废砂、除尘灰</w:t>
                  </w:r>
                </w:p>
              </w:tc>
              <w:tc>
                <w:tcPr>
                  <w:tcW w:w="4766" w:type="dxa"/>
                  <w:gridSpan w:val="2"/>
                  <w:vAlign w:val="center"/>
                </w:tcPr>
                <w:p w14:paraId="6C2E216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收集后外售</w:t>
                  </w:r>
                </w:p>
              </w:tc>
            </w:tr>
            <w:tr w14:paraId="0D06A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00FBF05F">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4CEA8527">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7F28B25C">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漆渣、废漆桶</w:t>
                  </w:r>
                </w:p>
              </w:tc>
              <w:tc>
                <w:tcPr>
                  <w:tcW w:w="4766" w:type="dxa"/>
                  <w:gridSpan w:val="2"/>
                  <w:vMerge w:val="restart"/>
                  <w:vAlign w:val="center"/>
                </w:tcPr>
                <w:p w14:paraId="04CFA05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暂存危废间，定期交由有资质单位处置</w:t>
                  </w:r>
                </w:p>
              </w:tc>
            </w:tr>
            <w:tr w14:paraId="5E41F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4417A1E9">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4F963B3A">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49B4C3A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w:t>
                  </w:r>
                </w:p>
              </w:tc>
              <w:tc>
                <w:tcPr>
                  <w:tcW w:w="4766" w:type="dxa"/>
                  <w:gridSpan w:val="2"/>
                  <w:vMerge w:val="continue"/>
                  <w:vAlign w:val="center"/>
                </w:tcPr>
                <w:p w14:paraId="47641573">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00938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481" w:type="dxa"/>
                  <w:vMerge w:val="continue"/>
                  <w:vAlign w:val="center"/>
                </w:tcPr>
                <w:p w14:paraId="6623E60F">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50F22267">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2991071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废活性炭、废过滤棉、废催化剂</w:t>
                  </w:r>
                </w:p>
              </w:tc>
              <w:tc>
                <w:tcPr>
                  <w:tcW w:w="4766" w:type="dxa"/>
                  <w:gridSpan w:val="2"/>
                  <w:vMerge w:val="continue"/>
                  <w:vAlign w:val="center"/>
                </w:tcPr>
                <w:p w14:paraId="4B4B72FC">
                  <w:pPr>
                    <w:spacing w:line="240" w:lineRule="auto"/>
                    <w:jc w:val="center"/>
                    <w:rPr>
                      <w:rFonts w:hint="default" w:ascii="Times New Roman" w:hAnsi="Times New Roman" w:eastAsia="宋体" w:cs="Times New Roman"/>
                      <w:b w:val="0"/>
                      <w:bCs w:val="0"/>
                      <w:color w:val="auto"/>
                      <w:kern w:val="2"/>
                      <w:sz w:val="21"/>
                      <w:szCs w:val="21"/>
                      <w:highlight w:val="none"/>
                      <w:lang w:val="en-US" w:eastAsia="zh-CN" w:bidi="ar-SA"/>
                    </w:rPr>
                  </w:pPr>
                </w:p>
              </w:tc>
            </w:tr>
            <w:tr w14:paraId="06DD8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1" w:type="dxa"/>
                  <w:vMerge w:val="continue"/>
                  <w:vAlign w:val="center"/>
                </w:tcPr>
                <w:p w14:paraId="121170B2">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047A04AC">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7F8F0F6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隔油池、化粪池污泥</w:t>
                  </w:r>
                </w:p>
              </w:tc>
              <w:tc>
                <w:tcPr>
                  <w:tcW w:w="4766" w:type="dxa"/>
                  <w:gridSpan w:val="2"/>
                  <w:vAlign w:val="center"/>
                </w:tcPr>
                <w:p w14:paraId="4745C093">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由环卫部门定期清掏处理</w:t>
                  </w:r>
                </w:p>
              </w:tc>
            </w:tr>
            <w:tr w14:paraId="0569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481" w:type="dxa"/>
                  <w:vMerge w:val="continue"/>
                  <w:vAlign w:val="center"/>
                </w:tcPr>
                <w:p w14:paraId="7B703F20">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Merge w:val="continue"/>
                  <w:vAlign w:val="center"/>
                </w:tcPr>
                <w:p w14:paraId="1E15874F">
                  <w:pPr>
                    <w:spacing w:line="240" w:lineRule="auto"/>
                    <w:jc w:val="center"/>
                    <w:rPr>
                      <w:rFonts w:hint="default" w:ascii="Times New Roman" w:hAnsi="Times New Roman" w:eastAsia="宋体" w:cs="Times New Roman"/>
                      <w:b w:val="0"/>
                      <w:bCs w:val="0"/>
                      <w:color w:val="auto"/>
                      <w:sz w:val="21"/>
                      <w:szCs w:val="21"/>
                      <w:highlight w:val="none"/>
                      <w:lang w:val="zh-CN"/>
                    </w:rPr>
                  </w:pPr>
                </w:p>
              </w:tc>
              <w:tc>
                <w:tcPr>
                  <w:tcW w:w="1746" w:type="dxa"/>
                  <w:vAlign w:val="center"/>
                </w:tcPr>
                <w:p w14:paraId="73E8958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生活垃圾</w:t>
                  </w:r>
                </w:p>
              </w:tc>
              <w:tc>
                <w:tcPr>
                  <w:tcW w:w="4766" w:type="dxa"/>
                  <w:gridSpan w:val="2"/>
                  <w:vAlign w:val="center"/>
                </w:tcPr>
                <w:p w14:paraId="69E8234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统一收集后由环卫部门清运处理</w:t>
                  </w:r>
                </w:p>
              </w:tc>
            </w:tr>
            <w:tr w14:paraId="59A9D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481" w:type="dxa"/>
                  <w:vMerge w:val="continue"/>
                  <w:vAlign w:val="center"/>
                </w:tcPr>
                <w:p w14:paraId="50364CA0">
                  <w:pPr>
                    <w:pStyle w:val="32"/>
                    <w:keepNext w:val="0"/>
                    <w:keepLines w:val="0"/>
                    <w:pageBreakBefore w:val="0"/>
                    <w:widowControl w:val="0"/>
                    <w:kinsoku/>
                    <w:wordWrap/>
                    <w:overflowPunct/>
                    <w:topLinePunct w:val="0"/>
                    <w:autoSpaceDE/>
                    <w:autoSpaceDN/>
                    <w:bidi w:val="0"/>
                    <w:adjustRightInd w:val="0"/>
                    <w:snapToGrid w:val="0"/>
                    <w:spacing w:after="0" w:afterLines="0" w:line="240" w:lineRule="auto"/>
                    <w:ind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306" w:type="dxa"/>
                  <w:vAlign w:val="center"/>
                </w:tcPr>
                <w:p w14:paraId="106DE293">
                  <w:pPr>
                    <w:spacing w:line="240" w:lineRule="auto"/>
                    <w:jc w:val="center"/>
                    <w:rPr>
                      <w:rFonts w:hint="default" w:ascii="Times New Roman" w:hAnsi="Times New Roman" w:eastAsia="宋体" w:cs="Times New Roman"/>
                      <w:b w:val="0"/>
                      <w:bCs w:val="0"/>
                      <w:color w:val="auto"/>
                      <w:sz w:val="21"/>
                      <w:szCs w:val="21"/>
                      <w:highlight w:val="none"/>
                      <w:lang w:val="zh-CN"/>
                    </w:rPr>
                  </w:pPr>
                  <w:r>
                    <w:rPr>
                      <w:rFonts w:hint="default" w:ascii="Times New Roman" w:hAnsi="Times New Roman" w:eastAsia="宋体" w:cs="Times New Roman"/>
                      <w:b w:val="0"/>
                      <w:bCs w:val="0"/>
                      <w:color w:val="auto"/>
                      <w:sz w:val="21"/>
                      <w:szCs w:val="21"/>
                      <w:highlight w:val="none"/>
                      <w:lang w:val="zh-CN"/>
                    </w:rPr>
                    <w:t>噪声治理</w:t>
                  </w:r>
                </w:p>
              </w:tc>
              <w:tc>
                <w:tcPr>
                  <w:tcW w:w="1746" w:type="dxa"/>
                  <w:vAlign w:val="center"/>
                </w:tcPr>
                <w:p w14:paraId="4E66D1C5">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设备噪声</w:t>
                  </w:r>
                </w:p>
              </w:tc>
              <w:tc>
                <w:tcPr>
                  <w:tcW w:w="4766" w:type="dxa"/>
                  <w:gridSpan w:val="2"/>
                  <w:vAlign w:val="center"/>
                </w:tcPr>
                <w:p w14:paraId="442BFFF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低噪声设备、基础减振</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建筑隔声、</w:t>
                  </w:r>
                  <w:r>
                    <w:rPr>
                      <w:rFonts w:hint="default" w:ascii="Times New Roman" w:hAnsi="Times New Roman" w:eastAsia="宋体" w:cs="Times New Roman"/>
                      <w:color w:val="auto"/>
                      <w:sz w:val="21"/>
                      <w:szCs w:val="21"/>
                      <w:highlight w:val="none"/>
                      <w:lang w:val="en-US" w:eastAsia="zh-CN"/>
                    </w:rPr>
                    <w:t>风机安装消声器</w:t>
                  </w:r>
                  <w:r>
                    <w:rPr>
                      <w:rFonts w:hint="default" w:ascii="Times New Roman" w:hAnsi="Times New Roman" w:eastAsia="宋体" w:cs="Times New Roman"/>
                      <w:color w:val="auto"/>
                      <w:sz w:val="21"/>
                      <w:szCs w:val="21"/>
                      <w:highlight w:val="none"/>
                      <w:lang w:eastAsia="zh-CN"/>
                    </w:rPr>
                    <w:t>等</w:t>
                  </w:r>
                </w:p>
              </w:tc>
            </w:tr>
          </w:tbl>
          <w:p w14:paraId="36C4D0E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2、生产设备</w:t>
            </w:r>
          </w:p>
          <w:p w14:paraId="3E00E3A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现有项目</w:t>
            </w:r>
            <w:r>
              <w:rPr>
                <w:rFonts w:hint="default" w:ascii="Times New Roman" w:hAnsi="Times New Roman" w:cs="Times New Roman"/>
                <w:color w:val="auto"/>
                <w:sz w:val="24"/>
                <w:szCs w:val="24"/>
                <w:highlight w:val="none"/>
                <w:lang w:val="en-US" w:eastAsia="zh-CN"/>
              </w:rPr>
              <w:t>主要生产设备</w:t>
            </w:r>
            <w:r>
              <w:rPr>
                <w:rFonts w:hint="default" w:ascii="Times New Roman" w:hAnsi="Times New Roman" w:eastAsia="宋体" w:cs="Times New Roman"/>
                <w:color w:val="auto"/>
                <w:sz w:val="24"/>
                <w:szCs w:val="24"/>
                <w:highlight w:val="none"/>
                <w:lang w:val="en-US" w:eastAsia="zh-CN"/>
              </w:rPr>
              <w:t>为</w:t>
            </w:r>
            <w:r>
              <w:rPr>
                <w:rFonts w:hint="default" w:ascii="Times New Roman" w:hAnsi="Times New Roman" w:cs="Times New Roman"/>
                <w:color w:val="auto"/>
                <w:sz w:val="24"/>
                <w:szCs w:val="24"/>
                <w:highlight w:val="none"/>
                <w:lang w:val="en-US" w:eastAsia="zh-CN"/>
              </w:rPr>
              <w:t>具体情况见表</w:t>
            </w:r>
            <w:r>
              <w:rPr>
                <w:rFonts w:hint="eastAsia"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lang w:val="en-US" w:eastAsia="zh-CN"/>
              </w:rPr>
              <w:t>-2。</w:t>
            </w:r>
          </w:p>
          <w:p w14:paraId="487D4961">
            <w:pPr>
              <w:pStyle w:val="32"/>
              <w:keepNext w:val="0"/>
              <w:keepLines w:val="0"/>
              <w:pageBreakBefore w:val="0"/>
              <w:widowControl w:val="0"/>
              <w:kinsoku/>
              <w:wordWrap/>
              <w:overflowPunct/>
              <w:topLinePunct w:val="0"/>
              <w:autoSpaceDE/>
              <w:autoSpaceDN/>
              <w:bidi w:val="0"/>
              <w:adjustRightInd/>
              <w:snapToGrid/>
              <w:spacing w:after="0" w:afterLines="0" w:line="480" w:lineRule="exact"/>
              <w:ind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eastAsia"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rPr>
              <w:t xml:space="preserve">  </w:t>
            </w:r>
            <w:r>
              <w:rPr>
                <w:rFonts w:hint="eastAsia" w:cs="Times New Roman"/>
                <w:b/>
                <w:bCs/>
                <w:color w:val="auto"/>
                <w:sz w:val="24"/>
                <w:szCs w:val="24"/>
                <w:highlight w:val="none"/>
                <w:lang w:val="en-US" w:eastAsia="zh-CN"/>
              </w:rPr>
              <w:t>现有项目</w:t>
            </w:r>
            <w:r>
              <w:rPr>
                <w:rFonts w:hint="default" w:ascii="Times New Roman" w:hAnsi="Times New Roman" w:eastAsia="宋体" w:cs="Times New Roman"/>
                <w:b/>
                <w:bCs/>
                <w:color w:val="auto"/>
                <w:sz w:val="24"/>
                <w:szCs w:val="24"/>
                <w:highlight w:val="none"/>
              </w:rPr>
              <w:t>主要设备表</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0"/>
              <w:gridCol w:w="2893"/>
              <w:gridCol w:w="2718"/>
              <w:gridCol w:w="1545"/>
            </w:tblGrid>
            <w:tr w14:paraId="7CCBB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687" w:type="pct"/>
                  <w:noWrap w:val="0"/>
                  <w:vAlign w:val="center"/>
                </w:tcPr>
                <w:p w14:paraId="2F163F72">
                  <w:pPr>
                    <w:keepNext w:val="0"/>
                    <w:keepLines w:val="0"/>
                    <w:pageBreakBefore w:val="0"/>
                    <w:kinsoku/>
                    <w:wordWrap/>
                    <w:overflowPunct/>
                    <w:topLinePunct w:val="0"/>
                    <w:autoSpaceDE/>
                    <w:autoSpaceDN/>
                    <w:bidi w:val="0"/>
                    <w:adjustRightInd/>
                    <w:snapToGrid/>
                    <w:spacing w:line="240" w:lineRule="auto"/>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序号</w:t>
                  </w:r>
                </w:p>
              </w:tc>
              <w:tc>
                <w:tcPr>
                  <w:tcW w:w="1743" w:type="pct"/>
                  <w:noWrap w:val="0"/>
                  <w:vAlign w:val="center"/>
                </w:tcPr>
                <w:p w14:paraId="1854AF5F">
                  <w:pPr>
                    <w:keepNext w:val="0"/>
                    <w:keepLines w:val="0"/>
                    <w:pageBreakBefore w:val="0"/>
                    <w:kinsoku/>
                    <w:wordWrap/>
                    <w:overflowPunct/>
                    <w:topLinePunct w:val="0"/>
                    <w:autoSpaceDE/>
                    <w:autoSpaceDN/>
                    <w:bidi w:val="0"/>
                    <w:adjustRightInd/>
                    <w:snapToGrid/>
                    <w:spacing w:line="240" w:lineRule="auto"/>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设备名称</w:t>
                  </w:r>
                </w:p>
              </w:tc>
              <w:tc>
                <w:tcPr>
                  <w:tcW w:w="1638" w:type="pct"/>
                  <w:noWrap w:val="0"/>
                  <w:vAlign w:val="center"/>
                </w:tcPr>
                <w:p w14:paraId="72942258">
                  <w:pPr>
                    <w:keepNext w:val="0"/>
                    <w:keepLines w:val="0"/>
                    <w:pageBreakBefore w:val="0"/>
                    <w:kinsoku/>
                    <w:wordWrap/>
                    <w:overflowPunct/>
                    <w:topLinePunct w:val="0"/>
                    <w:autoSpaceDE/>
                    <w:autoSpaceDN/>
                    <w:bidi w:val="0"/>
                    <w:adjustRightInd/>
                    <w:snapToGrid/>
                    <w:spacing w:line="240" w:lineRule="auto"/>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lang w:val="en-US" w:eastAsia="zh-CN"/>
                    </w:rPr>
                    <w:t>规格型号</w:t>
                  </w:r>
                </w:p>
              </w:tc>
              <w:tc>
                <w:tcPr>
                  <w:tcW w:w="931" w:type="pct"/>
                  <w:noWrap w:val="0"/>
                  <w:vAlign w:val="center"/>
                </w:tcPr>
                <w:p w14:paraId="401892FF">
                  <w:pPr>
                    <w:keepNext w:val="0"/>
                    <w:keepLines w:val="0"/>
                    <w:pageBreakBefore w:val="0"/>
                    <w:kinsoku/>
                    <w:wordWrap/>
                    <w:overflowPunct/>
                    <w:topLinePunct w:val="0"/>
                    <w:autoSpaceDE/>
                    <w:autoSpaceDN/>
                    <w:bidi w:val="0"/>
                    <w:adjustRightInd/>
                    <w:snapToGrid/>
                    <w:spacing w:line="240" w:lineRule="auto"/>
                    <w:jc w:val="center"/>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数量</w:t>
                  </w:r>
                  <w:r>
                    <w:rPr>
                      <w:rFonts w:hint="default" w:ascii="Times New Roman" w:hAnsi="Times New Roman" w:eastAsia="宋体" w:cs="Times New Roman"/>
                      <w:b/>
                      <w:bCs/>
                      <w:i w:val="0"/>
                      <w:color w:val="auto"/>
                      <w:kern w:val="0"/>
                      <w:sz w:val="21"/>
                      <w:szCs w:val="21"/>
                      <w:highlight w:val="none"/>
                      <w:u w:val="none"/>
                      <w:lang w:val="en-US" w:eastAsia="zh-CN" w:bidi="ar"/>
                    </w:rPr>
                    <w:t>（台/套）</w:t>
                  </w:r>
                </w:p>
              </w:tc>
            </w:tr>
            <w:tr w14:paraId="48E3E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noWrap w:val="0"/>
                  <w:vAlign w:val="center"/>
                </w:tcPr>
                <w:p w14:paraId="76EB7E77">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1</w:t>
                  </w:r>
                </w:p>
              </w:tc>
              <w:tc>
                <w:tcPr>
                  <w:tcW w:w="1743" w:type="pct"/>
                  <w:noWrap w:val="0"/>
                  <w:vAlign w:val="center"/>
                </w:tcPr>
                <w:p w14:paraId="185AB9C2">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造型砂生产线</w:t>
                  </w:r>
                </w:p>
              </w:tc>
              <w:tc>
                <w:tcPr>
                  <w:tcW w:w="1638" w:type="pct"/>
                  <w:noWrap w:val="0"/>
                  <w:vAlign w:val="center"/>
                </w:tcPr>
                <w:p w14:paraId="1FFF8BD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noWrap w:val="0"/>
                  <w:vAlign w:val="center"/>
                </w:tcPr>
                <w:p w14:paraId="74AE9EC4">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13F10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687" w:type="pct"/>
                  <w:vAlign w:val="center"/>
                </w:tcPr>
                <w:p w14:paraId="2D3B968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2</w:t>
                  </w:r>
                </w:p>
              </w:tc>
              <w:tc>
                <w:tcPr>
                  <w:tcW w:w="1743" w:type="pct"/>
                  <w:vAlign w:val="center"/>
                </w:tcPr>
                <w:p w14:paraId="379787B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水平分型脱箱射压造型机</w:t>
                  </w:r>
                </w:p>
              </w:tc>
              <w:tc>
                <w:tcPr>
                  <w:tcW w:w="1638" w:type="pct"/>
                  <w:vAlign w:val="center"/>
                </w:tcPr>
                <w:p w14:paraId="525E8613">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铸星Z428新款800*800+220/220</w:t>
                  </w:r>
                </w:p>
              </w:tc>
              <w:tc>
                <w:tcPr>
                  <w:tcW w:w="931" w:type="pct"/>
                  <w:vAlign w:val="center"/>
                </w:tcPr>
                <w:p w14:paraId="0FA7AB0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3391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687" w:type="pct"/>
                  <w:vAlign w:val="center"/>
                </w:tcPr>
                <w:p w14:paraId="4FCF7EC2">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3</w:t>
                  </w:r>
                </w:p>
              </w:tc>
              <w:tc>
                <w:tcPr>
                  <w:tcW w:w="1743" w:type="pct"/>
                  <w:vAlign w:val="center"/>
                </w:tcPr>
                <w:p w14:paraId="16C3932E">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台车输送线</w:t>
                  </w:r>
                </w:p>
              </w:tc>
              <w:tc>
                <w:tcPr>
                  <w:tcW w:w="1638" w:type="pct"/>
                  <w:vAlign w:val="center"/>
                </w:tcPr>
                <w:p w14:paraId="219DEFB3">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铸星Z428</w:t>
                  </w:r>
                </w:p>
              </w:tc>
              <w:tc>
                <w:tcPr>
                  <w:tcW w:w="931" w:type="pct"/>
                  <w:vAlign w:val="center"/>
                </w:tcPr>
                <w:p w14:paraId="38927101">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5ED8E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47B62BD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4</w:t>
                  </w:r>
                </w:p>
              </w:tc>
              <w:tc>
                <w:tcPr>
                  <w:tcW w:w="1743" w:type="pct"/>
                  <w:vAlign w:val="center"/>
                </w:tcPr>
                <w:p w14:paraId="2BB66CD0">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中频感应熔炼炉</w:t>
                  </w:r>
                </w:p>
              </w:tc>
              <w:tc>
                <w:tcPr>
                  <w:tcW w:w="1638" w:type="pct"/>
                  <w:vAlign w:val="center"/>
                </w:tcPr>
                <w:p w14:paraId="13134322">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KGCL800KW/0.5S，1t</w:t>
                  </w:r>
                </w:p>
              </w:tc>
              <w:tc>
                <w:tcPr>
                  <w:tcW w:w="931" w:type="pct"/>
                  <w:vAlign w:val="center"/>
                </w:tcPr>
                <w:p w14:paraId="4F3BCB22">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2</w:t>
                  </w:r>
                </w:p>
              </w:tc>
            </w:tr>
            <w:tr w14:paraId="2E424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3743033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5</w:t>
                  </w:r>
                </w:p>
              </w:tc>
              <w:tc>
                <w:tcPr>
                  <w:tcW w:w="1743" w:type="pct"/>
                  <w:vAlign w:val="center"/>
                </w:tcPr>
                <w:p w14:paraId="341ACD9F">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螺杆空压机</w:t>
                  </w:r>
                </w:p>
              </w:tc>
              <w:tc>
                <w:tcPr>
                  <w:tcW w:w="1638" w:type="pct"/>
                  <w:vAlign w:val="center"/>
                </w:tcPr>
                <w:p w14:paraId="756276A4">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YZ-50PM</w:t>
                  </w:r>
                </w:p>
              </w:tc>
              <w:tc>
                <w:tcPr>
                  <w:tcW w:w="931" w:type="pct"/>
                  <w:vAlign w:val="center"/>
                </w:tcPr>
                <w:p w14:paraId="2C185CFD">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4</w:t>
                  </w:r>
                </w:p>
              </w:tc>
            </w:tr>
            <w:tr w14:paraId="27C5C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58DEED67">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6</w:t>
                  </w:r>
                </w:p>
              </w:tc>
              <w:tc>
                <w:tcPr>
                  <w:tcW w:w="1743" w:type="pct"/>
                  <w:vAlign w:val="center"/>
                </w:tcPr>
                <w:p w14:paraId="55A12C3D">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抛丸机</w:t>
                  </w:r>
                </w:p>
              </w:tc>
              <w:tc>
                <w:tcPr>
                  <w:tcW w:w="1638" w:type="pct"/>
                  <w:vAlign w:val="center"/>
                </w:tcPr>
                <w:p w14:paraId="55707BD7">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55371A71">
                  <w:pPr>
                    <w:keepNext w:val="0"/>
                    <w:keepLines w:val="0"/>
                    <w:widowControl/>
                    <w:suppressLineNumbers w:val="0"/>
                    <w:spacing w:line="240" w:lineRule="auto"/>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eastAsia" w:ascii="Times New Roman" w:hAnsi="Times New Roman" w:eastAsia="宋体" w:cs="Times New Roman"/>
                      <w:b/>
                      <w:bCs/>
                      <w:i w:val="0"/>
                      <w:color w:val="auto"/>
                      <w:kern w:val="0"/>
                      <w:sz w:val="21"/>
                      <w:szCs w:val="21"/>
                      <w:highlight w:val="none"/>
                      <w:u w:val="none"/>
                      <w:lang w:val="en-US" w:eastAsia="zh-CN" w:bidi="ar"/>
                    </w:rPr>
                    <w:t>2</w:t>
                  </w:r>
                </w:p>
              </w:tc>
            </w:tr>
            <w:tr w14:paraId="7998D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20425614">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default"/>
                      <w:color w:val="auto"/>
                      <w:highlight w:val="none"/>
                      <w:lang w:val="en-US" w:eastAsia="zh-CN"/>
                    </w:rPr>
                    <w:t>7</w:t>
                  </w:r>
                </w:p>
              </w:tc>
              <w:tc>
                <w:tcPr>
                  <w:tcW w:w="1743" w:type="pct"/>
                  <w:vAlign w:val="center"/>
                </w:tcPr>
                <w:p w14:paraId="31A15E5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数控机床</w:t>
                  </w:r>
                </w:p>
              </w:tc>
              <w:tc>
                <w:tcPr>
                  <w:tcW w:w="1638" w:type="pct"/>
                  <w:vAlign w:val="center"/>
                </w:tcPr>
                <w:p w14:paraId="1E25247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206D2610">
                  <w:pPr>
                    <w:keepNext w:val="0"/>
                    <w:keepLines w:val="0"/>
                    <w:widowControl/>
                    <w:suppressLineNumbers w:val="0"/>
                    <w:spacing w:line="240" w:lineRule="auto"/>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eastAsia" w:cs="Times New Roman"/>
                      <w:b/>
                      <w:bCs/>
                      <w:i w:val="0"/>
                      <w:color w:val="000000" w:themeColor="text1"/>
                      <w:kern w:val="0"/>
                      <w:sz w:val="21"/>
                      <w:szCs w:val="21"/>
                      <w:highlight w:val="none"/>
                      <w:u w:val="none"/>
                      <w:lang w:val="en-US" w:eastAsia="zh-CN" w:bidi="ar"/>
                      <w14:textFill>
                        <w14:solidFill>
                          <w14:schemeClr w14:val="tx1"/>
                        </w14:solidFill>
                      </w14:textFill>
                    </w:rPr>
                    <w:t>54</w:t>
                  </w:r>
                </w:p>
              </w:tc>
            </w:tr>
            <w:tr w14:paraId="0CE6D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15873FE7">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8</w:t>
                  </w:r>
                </w:p>
              </w:tc>
              <w:tc>
                <w:tcPr>
                  <w:tcW w:w="1743" w:type="pct"/>
                  <w:vAlign w:val="center"/>
                </w:tcPr>
                <w:p w14:paraId="52BB0D3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动（静）平衡机</w:t>
                  </w:r>
                </w:p>
              </w:tc>
              <w:tc>
                <w:tcPr>
                  <w:tcW w:w="1638" w:type="pct"/>
                  <w:vAlign w:val="center"/>
                </w:tcPr>
                <w:p w14:paraId="57B277B5">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6C9354D8">
                  <w:pPr>
                    <w:keepNext w:val="0"/>
                    <w:keepLines w:val="0"/>
                    <w:widowControl/>
                    <w:suppressLineNumbers w:val="0"/>
                    <w:spacing w:line="240" w:lineRule="auto"/>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eastAsia" w:cs="Times New Roman"/>
                      <w:b w:val="0"/>
                      <w:bCs w:val="0"/>
                      <w:i w:val="0"/>
                      <w:color w:val="auto"/>
                      <w:kern w:val="0"/>
                      <w:sz w:val="21"/>
                      <w:szCs w:val="21"/>
                      <w:highlight w:val="none"/>
                      <w:u w:val="none"/>
                      <w:lang w:val="en-US" w:eastAsia="zh-CN" w:bidi="ar"/>
                    </w:rPr>
                    <w:t>3</w:t>
                  </w:r>
                </w:p>
              </w:tc>
            </w:tr>
            <w:tr w14:paraId="302EF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3C80B76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9</w:t>
                  </w:r>
                </w:p>
              </w:tc>
              <w:tc>
                <w:tcPr>
                  <w:tcW w:w="1743" w:type="pct"/>
                  <w:vAlign w:val="center"/>
                </w:tcPr>
                <w:p w14:paraId="181EA2BE">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钻床</w:t>
                  </w:r>
                </w:p>
              </w:tc>
              <w:tc>
                <w:tcPr>
                  <w:tcW w:w="1638" w:type="pct"/>
                  <w:vAlign w:val="center"/>
                </w:tcPr>
                <w:p w14:paraId="3142E8E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210E8EEC">
                  <w:pPr>
                    <w:keepNext w:val="0"/>
                    <w:keepLines w:val="0"/>
                    <w:widowControl/>
                    <w:suppressLineNumbers w:val="0"/>
                    <w:spacing w:line="240" w:lineRule="auto"/>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eastAsia" w:cs="Times New Roman"/>
                      <w:b w:val="0"/>
                      <w:bCs w:val="0"/>
                      <w:i w:val="0"/>
                      <w:color w:val="auto"/>
                      <w:kern w:val="0"/>
                      <w:sz w:val="21"/>
                      <w:szCs w:val="21"/>
                      <w:highlight w:val="none"/>
                      <w:u w:val="none"/>
                      <w:lang w:val="en-US" w:eastAsia="zh-CN" w:bidi="ar"/>
                    </w:rPr>
                    <w:t>20</w:t>
                  </w:r>
                </w:p>
              </w:tc>
            </w:tr>
            <w:tr w14:paraId="6F882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28B588F5">
                  <w:pPr>
                    <w:pStyle w:val="103"/>
                    <w:bidi w:val="0"/>
                    <w:ind w:left="21" w:leftChars="10" w:right="21" w:rightChars="10"/>
                    <w:jc w:val="center"/>
                    <w:rPr>
                      <w:rFonts w:hint="eastAsia"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10</w:t>
                  </w:r>
                </w:p>
              </w:tc>
              <w:tc>
                <w:tcPr>
                  <w:tcW w:w="1743" w:type="pct"/>
                  <w:vAlign w:val="center"/>
                </w:tcPr>
                <w:p w14:paraId="6DE559E8">
                  <w:pPr>
                    <w:pStyle w:val="103"/>
                    <w:bidi w:val="0"/>
                    <w:ind w:left="21" w:leftChars="10" w:right="21" w:rightChars="10"/>
                    <w:jc w:val="center"/>
                    <w:rPr>
                      <w:rFonts w:hint="eastAsia"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铲车</w:t>
                  </w:r>
                </w:p>
              </w:tc>
              <w:tc>
                <w:tcPr>
                  <w:tcW w:w="1638" w:type="pct"/>
                  <w:vAlign w:val="center"/>
                </w:tcPr>
                <w:p w14:paraId="5019740F">
                  <w:pPr>
                    <w:pStyle w:val="103"/>
                    <w:bidi w:val="0"/>
                    <w:ind w:left="21" w:leftChars="10" w:right="21" w:rightChars="10"/>
                    <w:jc w:val="center"/>
                    <w:rPr>
                      <w:rFonts w:hint="eastAsia"/>
                      <w:color w:val="auto"/>
                      <w:highlight w:val="none"/>
                      <w:lang w:val="en-US" w:eastAsia="zh-CN"/>
                    </w:rPr>
                  </w:pPr>
                  <w:r>
                    <w:rPr>
                      <w:rFonts w:hint="eastAsia"/>
                      <w:color w:val="auto"/>
                      <w:highlight w:val="none"/>
                      <w:lang w:val="en-US" w:eastAsia="zh-CN"/>
                    </w:rPr>
                    <w:t>国3</w:t>
                  </w:r>
                </w:p>
              </w:tc>
              <w:tc>
                <w:tcPr>
                  <w:tcW w:w="931" w:type="pct"/>
                  <w:vAlign w:val="center"/>
                </w:tcPr>
                <w:p w14:paraId="21F68404">
                  <w:pPr>
                    <w:keepNext w:val="0"/>
                    <w:keepLines w:val="0"/>
                    <w:widowControl/>
                    <w:suppressLineNumbers w:val="0"/>
                    <w:spacing w:line="240" w:lineRule="auto"/>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eastAsia" w:cs="Times New Roman"/>
                      <w:b w:val="0"/>
                      <w:bCs w:val="0"/>
                      <w:i w:val="0"/>
                      <w:color w:val="auto"/>
                      <w:kern w:val="0"/>
                      <w:sz w:val="21"/>
                      <w:szCs w:val="21"/>
                      <w:highlight w:val="none"/>
                      <w:u w:val="none"/>
                      <w:lang w:val="en-US" w:eastAsia="zh-CN" w:bidi="ar"/>
                    </w:rPr>
                    <w:t>1</w:t>
                  </w:r>
                </w:p>
              </w:tc>
            </w:tr>
            <w:tr w14:paraId="3558B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30BF4FDB">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11</w:t>
                  </w:r>
                </w:p>
              </w:tc>
              <w:tc>
                <w:tcPr>
                  <w:tcW w:w="1743" w:type="pct"/>
                  <w:vAlign w:val="center"/>
                </w:tcPr>
                <w:p w14:paraId="108CC0FC">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叉车</w:t>
                  </w:r>
                </w:p>
              </w:tc>
              <w:tc>
                <w:tcPr>
                  <w:tcW w:w="1638" w:type="pct"/>
                  <w:vAlign w:val="center"/>
                </w:tcPr>
                <w:p w14:paraId="7900D1BE">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国3/国4</w:t>
                  </w:r>
                </w:p>
              </w:tc>
              <w:tc>
                <w:tcPr>
                  <w:tcW w:w="931" w:type="pct"/>
                  <w:vAlign w:val="center"/>
                </w:tcPr>
                <w:p w14:paraId="09872B37">
                  <w:pPr>
                    <w:keepNext w:val="0"/>
                    <w:keepLines w:val="0"/>
                    <w:widowControl/>
                    <w:suppressLineNumbers w:val="0"/>
                    <w:spacing w:line="240" w:lineRule="auto"/>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eastAsia" w:cs="Times New Roman"/>
                      <w:b w:val="0"/>
                      <w:bCs w:val="0"/>
                      <w:i w:val="0"/>
                      <w:color w:val="000000" w:themeColor="text1"/>
                      <w:kern w:val="0"/>
                      <w:sz w:val="21"/>
                      <w:szCs w:val="21"/>
                      <w:highlight w:val="none"/>
                      <w:u w:val="none"/>
                      <w:lang w:val="en-US" w:eastAsia="zh-CN" w:bidi="ar"/>
                      <w14:textFill>
                        <w14:solidFill>
                          <w14:schemeClr w14:val="tx1"/>
                        </w14:solidFill>
                      </w14:textFill>
                    </w:rPr>
                    <w:t>4</w:t>
                  </w:r>
                </w:p>
              </w:tc>
            </w:tr>
            <w:tr w14:paraId="461F0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3740C09E">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12</w:t>
                  </w:r>
                </w:p>
              </w:tc>
              <w:tc>
                <w:tcPr>
                  <w:tcW w:w="1743" w:type="pct"/>
                  <w:vAlign w:val="center"/>
                </w:tcPr>
                <w:p w14:paraId="4D16CFDE">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800KVA变压器</w:t>
                  </w:r>
                </w:p>
              </w:tc>
              <w:tc>
                <w:tcPr>
                  <w:tcW w:w="1638" w:type="pct"/>
                  <w:vAlign w:val="center"/>
                </w:tcPr>
                <w:p w14:paraId="41020AE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ZS11-800/10/0.575</w:t>
                  </w:r>
                </w:p>
              </w:tc>
              <w:tc>
                <w:tcPr>
                  <w:tcW w:w="931" w:type="pct"/>
                  <w:vAlign w:val="center"/>
                </w:tcPr>
                <w:p w14:paraId="6E26E626">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3</w:t>
                  </w:r>
                </w:p>
              </w:tc>
            </w:tr>
            <w:tr w14:paraId="61058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32D30375">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13</w:t>
                  </w:r>
                </w:p>
              </w:tc>
              <w:tc>
                <w:tcPr>
                  <w:tcW w:w="1743" w:type="pct"/>
                  <w:vAlign w:val="center"/>
                </w:tcPr>
                <w:p w14:paraId="7B8E02C8">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250KVA变压器</w:t>
                  </w:r>
                </w:p>
              </w:tc>
              <w:tc>
                <w:tcPr>
                  <w:tcW w:w="1638" w:type="pct"/>
                  <w:vAlign w:val="center"/>
                </w:tcPr>
                <w:p w14:paraId="2152278D">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709C89BC">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35461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02F99D01">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14</w:t>
                  </w:r>
                </w:p>
              </w:tc>
              <w:tc>
                <w:tcPr>
                  <w:tcW w:w="1743" w:type="pct"/>
                  <w:vAlign w:val="center"/>
                </w:tcPr>
                <w:p w14:paraId="4CDBFB2C">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喷漆烘干生产线</w:t>
                  </w:r>
                </w:p>
              </w:tc>
              <w:tc>
                <w:tcPr>
                  <w:tcW w:w="1638" w:type="pct"/>
                  <w:vAlign w:val="center"/>
                </w:tcPr>
                <w:p w14:paraId="1538925A">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580E5D26">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62B7B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87" w:type="pct"/>
                  <w:vAlign w:val="center"/>
                </w:tcPr>
                <w:p w14:paraId="15B9C732">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15</w:t>
                  </w:r>
                </w:p>
              </w:tc>
              <w:tc>
                <w:tcPr>
                  <w:tcW w:w="1743" w:type="pct"/>
                  <w:vAlign w:val="center"/>
                </w:tcPr>
                <w:p w14:paraId="615C0719">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打包机</w:t>
                  </w:r>
                </w:p>
              </w:tc>
              <w:tc>
                <w:tcPr>
                  <w:tcW w:w="1638" w:type="pct"/>
                  <w:vAlign w:val="center"/>
                </w:tcPr>
                <w:p w14:paraId="4B2A44E1">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w:t>
                  </w:r>
                </w:p>
              </w:tc>
              <w:tc>
                <w:tcPr>
                  <w:tcW w:w="931" w:type="pct"/>
                  <w:vAlign w:val="center"/>
                </w:tcPr>
                <w:p w14:paraId="63957E3C">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1</w:t>
                  </w:r>
                </w:p>
              </w:tc>
            </w:tr>
            <w:tr w14:paraId="1E389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687" w:type="pct"/>
                  <w:vAlign w:val="center"/>
                </w:tcPr>
                <w:p w14:paraId="77D1EFD6">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16</w:t>
                  </w:r>
                </w:p>
              </w:tc>
              <w:tc>
                <w:tcPr>
                  <w:tcW w:w="1743" w:type="pct"/>
                  <w:vAlign w:val="center"/>
                </w:tcPr>
                <w:p w14:paraId="1C1E9D3B">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电烤箱</w:t>
                  </w:r>
                </w:p>
              </w:tc>
              <w:tc>
                <w:tcPr>
                  <w:tcW w:w="1638" w:type="pct"/>
                  <w:vAlign w:val="center"/>
                </w:tcPr>
                <w:p w14:paraId="236B0017">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3000瓦</w:t>
                  </w:r>
                </w:p>
              </w:tc>
              <w:tc>
                <w:tcPr>
                  <w:tcW w:w="931" w:type="pct"/>
                  <w:vAlign w:val="center"/>
                </w:tcPr>
                <w:p w14:paraId="77CB44F5">
                  <w:pPr>
                    <w:pStyle w:val="103"/>
                    <w:bidi w:val="0"/>
                    <w:ind w:left="21" w:leftChars="10" w:right="21" w:rightChars="10"/>
                    <w:jc w:val="center"/>
                    <w:rPr>
                      <w:rFonts w:hint="default" w:ascii="Times New Roman" w:hAnsi="Times New Roman" w:eastAsia="宋体" w:cstheme="minorBidi"/>
                      <w:color w:val="auto"/>
                      <w:kern w:val="0"/>
                      <w:sz w:val="21"/>
                      <w:szCs w:val="20"/>
                      <w:highlight w:val="none"/>
                      <w:lang w:val="en-US" w:eastAsia="zh-CN" w:bidi="ar-SA"/>
                    </w:rPr>
                  </w:pPr>
                  <w:r>
                    <w:rPr>
                      <w:rFonts w:hint="eastAsia"/>
                      <w:color w:val="auto"/>
                      <w:highlight w:val="none"/>
                      <w:lang w:val="en-US" w:eastAsia="zh-CN"/>
                    </w:rPr>
                    <w:t>2</w:t>
                  </w:r>
                </w:p>
              </w:tc>
            </w:tr>
            <w:tr w14:paraId="2F909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687" w:type="pct"/>
                  <w:vAlign w:val="center"/>
                </w:tcPr>
                <w:p w14:paraId="70FA981D">
                  <w:pPr>
                    <w:pStyle w:val="103"/>
                    <w:bidi w:val="0"/>
                    <w:ind w:left="21" w:leftChars="10" w:right="21" w:rightChars="10"/>
                    <w:jc w:val="center"/>
                    <w:rPr>
                      <w:rFonts w:hint="default" w:cstheme="minorBidi"/>
                      <w:color w:val="auto"/>
                      <w:kern w:val="0"/>
                      <w:sz w:val="21"/>
                      <w:szCs w:val="20"/>
                      <w:highlight w:val="none"/>
                      <w:lang w:val="en-US" w:eastAsia="zh-CN" w:bidi="ar-SA"/>
                    </w:rPr>
                  </w:pPr>
                  <w:bookmarkStart w:id="5" w:name="_Toc9579"/>
                  <w:r>
                    <w:rPr>
                      <w:rFonts w:hint="eastAsia" w:cstheme="minorBidi"/>
                      <w:color w:val="auto"/>
                      <w:kern w:val="0"/>
                      <w:sz w:val="21"/>
                      <w:szCs w:val="20"/>
                      <w:highlight w:val="none"/>
                      <w:lang w:val="en-US" w:eastAsia="zh-CN" w:bidi="ar-SA"/>
                    </w:rPr>
                    <w:t>17</w:t>
                  </w:r>
                </w:p>
              </w:tc>
              <w:tc>
                <w:tcPr>
                  <w:tcW w:w="1743" w:type="pct"/>
                  <w:vAlign w:val="center"/>
                </w:tcPr>
                <w:p w14:paraId="10461A65">
                  <w:pPr>
                    <w:pStyle w:val="103"/>
                    <w:bidi w:val="0"/>
                    <w:ind w:left="21" w:leftChars="10" w:right="21" w:rightChars="10"/>
                    <w:jc w:val="center"/>
                    <w:rPr>
                      <w:rFonts w:hint="eastAsia"/>
                      <w:color w:val="auto"/>
                      <w:highlight w:val="none"/>
                      <w:lang w:val="en-US" w:eastAsia="zh-CN"/>
                    </w:rPr>
                  </w:pPr>
                  <w:r>
                    <w:rPr>
                      <w:rFonts w:hint="eastAsia" w:ascii="Times New Roman" w:hAnsi="Times New Roman" w:eastAsia="宋体" w:cs="Times New Roman"/>
                      <w:color w:val="auto"/>
                      <w:highlight w:val="none"/>
                      <w:lang w:val="en-US" w:eastAsia="zh-CN"/>
                    </w:rPr>
                    <w:t>天然气燃烧炉</w:t>
                  </w:r>
                </w:p>
              </w:tc>
              <w:tc>
                <w:tcPr>
                  <w:tcW w:w="1638" w:type="pct"/>
                  <w:vAlign w:val="center"/>
                </w:tcPr>
                <w:p w14:paraId="03971238">
                  <w:pPr>
                    <w:pStyle w:val="103"/>
                    <w:bidi w:val="0"/>
                    <w:ind w:left="21" w:leftChars="10" w:right="21" w:rightChars="10"/>
                    <w:jc w:val="center"/>
                    <w:rPr>
                      <w:rFonts w:hint="eastAsia"/>
                      <w:color w:val="auto"/>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 xml:space="preserve">XBJ-300 </w:t>
                  </w:r>
                </w:p>
              </w:tc>
              <w:tc>
                <w:tcPr>
                  <w:tcW w:w="931" w:type="pct"/>
                  <w:vAlign w:val="center"/>
                </w:tcPr>
                <w:p w14:paraId="309A0C4A">
                  <w:pPr>
                    <w:pStyle w:val="103"/>
                    <w:bidi w:val="0"/>
                    <w:ind w:left="21" w:leftChars="10" w:right="21" w:rightChars="10"/>
                    <w:jc w:val="center"/>
                    <w:rPr>
                      <w:rFonts w:hint="default"/>
                      <w:color w:val="auto"/>
                      <w:highlight w:val="none"/>
                      <w:lang w:val="en-US" w:eastAsia="zh-CN"/>
                    </w:rPr>
                  </w:pPr>
                  <w:r>
                    <w:rPr>
                      <w:rFonts w:hint="eastAsia"/>
                      <w:color w:val="auto"/>
                      <w:highlight w:val="none"/>
                      <w:lang w:val="en-US" w:eastAsia="zh-CN"/>
                    </w:rPr>
                    <w:t>1</w:t>
                  </w:r>
                </w:p>
              </w:tc>
            </w:tr>
            <w:tr w14:paraId="0DAE1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687" w:type="pct"/>
                  <w:vAlign w:val="center"/>
                </w:tcPr>
                <w:p w14:paraId="11C9D812">
                  <w:pPr>
                    <w:pStyle w:val="103"/>
                    <w:bidi w:val="0"/>
                    <w:ind w:left="21" w:leftChars="10" w:right="21" w:rightChars="10"/>
                    <w:jc w:val="center"/>
                    <w:rPr>
                      <w:rFonts w:hint="default" w:cstheme="minorBidi"/>
                      <w:color w:val="auto"/>
                      <w:kern w:val="0"/>
                      <w:sz w:val="21"/>
                      <w:szCs w:val="20"/>
                      <w:highlight w:val="none"/>
                      <w:lang w:val="en-US" w:eastAsia="zh-CN" w:bidi="ar-SA"/>
                    </w:rPr>
                  </w:pPr>
                  <w:r>
                    <w:rPr>
                      <w:rFonts w:hint="eastAsia" w:cstheme="minorBidi"/>
                      <w:color w:val="auto"/>
                      <w:kern w:val="0"/>
                      <w:sz w:val="21"/>
                      <w:szCs w:val="20"/>
                      <w:highlight w:val="none"/>
                      <w:lang w:val="en-US" w:eastAsia="zh-CN" w:bidi="ar-SA"/>
                    </w:rPr>
                    <w:t>18</w:t>
                  </w:r>
                </w:p>
              </w:tc>
              <w:tc>
                <w:tcPr>
                  <w:tcW w:w="1743" w:type="pct"/>
                  <w:vAlign w:val="center"/>
                </w:tcPr>
                <w:p w14:paraId="3723BF7C">
                  <w:pPr>
                    <w:pStyle w:val="103"/>
                    <w:bidi w:val="0"/>
                    <w:ind w:left="21" w:leftChars="10" w:right="21" w:rightChars="10"/>
                    <w:jc w:val="center"/>
                    <w:rPr>
                      <w:rFonts w:hint="eastAsia"/>
                      <w:color w:val="auto"/>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喷漆天然气烘干</w:t>
                  </w:r>
                  <w:r>
                    <w:rPr>
                      <w:rFonts w:hint="eastAsia" w:cs="Times New Roman"/>
                      <w:color w:val="auto"/>
                      <w:kern w:val="0"/>
                      <w:sz w:val="21"/>
                      <w:szCs w:val="21"/>
                      <w:highlight w:val="none"/>
                      <w:lang w:val="en-US" w:eastAsia="zh-CN" w:bidi="ar-SA"/>
                    </w:rPr>
                    <w:t>房</w:t>
                  </w:r>
                </w:p>
              </w:tc>
              <w:tc>
                <w:tcPr>
                  <w:tcW w:w="1638" w:type="pct"/>
                  <w:vAlign w:val="center"/>
                </w:tcPr>
                <w:p w14:paraId="30E82386">
                  <w:pPr>
                    <w:pStyle w:val="103"/>
                    <w:bidi w:val="0"/>
                    <w:ind w:left="21" w:leftChars="10" w:right="21" w:rightChars="10"/>
                    <w:jc w:val="center"/>
                    <w:rPr>
                      <w:rFonts w:hint="default"/>
                      <w:color w:val="auto"/>
                      <w:highlight w:val="none"/>
                      <w:lang w:val="en-US" w:eastAsia="zh-CN"/>
                    </w:rPr>
                  </w:pPr>
                  <w:r>
                    <w:rPr>
                      <w:rFonts w:hint="eastAsia"/>
                      <w:color w:val="auto"/>
                      <w:highlight w:val="none"/>
                      <w:lang w:val="en-US" w:eastAsia="zh-CN"/>
                    </w:rPr>
                    <w:t>/</w:t>
                  </w:r>
                </w:p>
              </w:tc>
              <w:tc>
                <w:tcPr>
                  <w:tcW w:w="931" w:type="pct"/>
                  <w:vAlign w:val="center"/>
                </w:tcPr>
                <w:p w14:paraId="218CD5FE">
                  <w:pPr>
                    <w:pStyle w:val="103"/>
                    <w:bidi w:val="0"/>
                    <w:ind w:left="21" w:leftChars="10" w:right="21" w:rightChars="10"/>
                    <w:jc w:val="center"/>
                    <w:rPr>
                      <w:rFonts w:hint="default"/>
                      <w:color w:val="auto"/>
                      <w:highlight w:val="none"/>
                      <w:lang w:val="en-US" w:eastAsia="zh-CN"/>
                    </w:rPr>
                  </w:pPr>
                  <w:r>
                    <w:rPr>
                      <w:rFonts w:hint="eastAsia"/>
                      <w:color w:val="auto"/>
                      <w:highlight w:val="none"/>
                      <w:lang w:val="en-US" w:eastAsia="zh-CN"/>
                    </w:rPr>
                    <w:t>1</w:t>
                  </w:r>
                </w:p>
              </w:tc>
            </w:tr>
          </w:tbl>
          <w:p w14:paraId="1C757396">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eastAsia"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3、主要原辅材料及</w:t>
            </w:r>
            <w:bookmarkEnd w:id="5"/>
            <w:r>
              <w:rPr>
                <w:rFonts w:hint="eastAsia" w:ascii="Times New Roman" w:hAnsi="Times New Roman" w:eastAsia="宋体" w:cs="Times New Roman"/>
                <w:b w:val="0"/>
                <w:bCs w:val="0"/>
                <w:color w:val="auto"/>
                <w:kern w:val="2"/>
                <w:sz w:val="24"/>
                <w:szCs w:val="24"/>
                <w:highlight w:val="none"/>
                <w:lang w:val="en-US" w:eastAsia="zh-CN" w:bidi="ar-SA"/>
              </w:rPr>
              <w:t>能源</w:t>
            </w:r>
          </w:p>
          <w:p w14:paraId="4A4FDBD7">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outlineLvl w:val="9"/>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cs="Times New Roman"/>
                <w:b w:val="0"/>
                <w:bCs w:val="0"/>
                <w:color w:val="auto"/>
                <w:sz w:val="24"/>
                <w:szCs w:val="24"/>
                <w:highlight w:val="none"/>
                <w:lang w:val="en-US" w:eastAsia="zh-CN"/>
              </w:rPr>
              <w:t>现有项目</w:t>
            </w:r>
            <w:r>
              <w:rPr>
                <w:rFonts w:hint="default" w:ascii="Times New Roman" w:hAnsi="Times New Roman" w:eastAsia="宋体" w:cs="Times New Roman"/>
                <w:color w:val="auto"/>
                <w:sz w:val="24"/>
                <w:szCs w:val="24"/>
                <w:highlight w:val="none"/>
              </w:rPr>
              <w:t>主要原辅材</w:t>
            </w:r>
            <w:r>
              <w:rPr>
                <w:rFonts w:hint="default" w:ascii="Times New Roman" w:hAnsi="Times New Roman" w:eastAsia="宋体" w:cs="Times New Roman"/>
                <w:color w:val="auto"/>
                <w:sz w:val="24"/>
                <w:szCs w:val="24"/>
                <w:highlight w:val="none"/>
                <w:lang w:eastAsia="zh-CN"/>
              </w:rPr>
              <w:t>料、能源消耗情况详</w:t>
            </w:r>
            <w:r>
              <w:rPr>
                <w:rFonts w:hint="default" w:ascii="Times New Roman" w:hAnsi="Times New Roman" w:eastAsia="宋体" w:cs="Times New Roman"/>
                <w:color w:val="auto"/>
                <w:sz w:val="24"/>
                <w:szCs w:val="24"/>
                <w:highlight w:val="none"/>
              </w:rPr>
              <w:t>见表</w:t>
            </w:r>
            <w:r>
              <w:rPr>
                <w:rFonts w:hint="eastAsia"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-3。</w:t>
            </w:r>
          </w:p>
          <w:p w14:paraId="27F62556">
            <w:pPr>
              <w:pStyle w:val="32"/>
              <w:keepNext w:val="0"/>
              <w:keepLines w:val="0"/>
              <w:pageBreakBefore w:val="0"/>
              <w:widowControl w:val="0"/>
              <w:kinsoku/>
              <w:wordWrap/>
              <w:overflowPunct/>
              <w:topLinePunct w:val="0"/>
              <w:autoSpaceDE/>
              <w:autoSpaceDN/>
              <w:bidi w:val="0"/>
              <w:adjustRightInd/>
              <w:snapToGrid/>
              <w:spacing w:after="0" w:afterLines="0" w:line="480" w:lineRule="exact"/>
              <w:ind w:firstLine="0" w:firstLineChars="0"/>
              <w:jc w:val="center"/>
              <w:textAlignment w:val="auto"/>
              <w:rPr>
                <w:rFonts w:hint="default" w:ascii="Times New Roman" w:hAnsi="Times New Roman" w:eastAsia="宋体" w:cs="Times New Roman"/>
                <w:b/>
                <w:bCs/>
                <w:color w:val="auto"/>
                <w:sz w:val="24"/>
                <w:szCs w:val="24"/>
                <w:highlight w:val="none"/>
                <w:lang w:eastAsia="zh-CN"/>
              </w:rPr>
            </w:pPr>
            <w:r>
              <w:rPr>
                <w:rFonts w:hint="default" w:ascii="Times New Roman" w:hAnsi="Times New Roman" w:eastAsia="宋体" w:cs="Times New Roman"/>
                <w:b/>
                <w:bCs/>
                <w:color w:val="auto"/>
                <w:sz w:val="24"/>
                <w:szCs w:val="24"/>
                <w:highlight w:val="none"/>
              </w:rPr>
              <w:t>表</w:t>
            </w:r>
            <w:r>
              <w:rPr>
                <w:rFonts w:hint="eastAsia"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 xml:space="preserve">-3 </w:t>
            </w:r>
            <w:r>
              <w:rPr>
                <w:rFonts w:hint="default" w:ascii="Times New Roman" w:hAnsi="Times New Roman" w:eastAsia="宋体" w:cs="Times New Roman"/>
                <w:b/>
                <w:bCs/>
                <w:color w:val="auto"/>
                <w:sz w:val="24"/>
                <w:szCs w:val="24"/>
                <w:highlight w:val="none"/>
              </w:rPr>
              <w:t xml:space="preserve">  </w:t>
            </w:r>
            <w:r>
              <w:rPr>
                <w:rFonts w:hint="default" w:ascii="Times New Roman" w:hAnsi="Times New Roman" w:eastAsia="宋体" w:cs="Times New Roman"/>
                <w:b/>
                <w:bCs/>
                <w:color w:val="auto"/>
                <w:sz w:val="24"/>
                <w:szCs w:val="24"/>
                <w:highlight w:val="none"/>
                <w:lang w:eastAsia="zh-CN"/>
              </w:rPr>
              <w:t>主要原辅材料、能源消耗情况表</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603"/>
              <w:gridCol w:w="1984"/>
              <w:gridCol w:w="12"/>
              <w:gridCol w:w="3884"/>
            </w:tblGrid>
            <w:tr w14:paraId="6E840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490" w:type="pct"/>
                  <w:tcBorders>
                    <w:tl2br w:val="nil"/>
                    <w:tr2bl w:val="nil"/>
                  </w:tcBorders>
                  <w:noWrap w:val="0"/>
                  <w:vAlign w:val="center"/>
                </w:tcPr>
                <w:p w14:paraId="36F30943">
                  <w:pPr>
                    <w:pStyle w:val="5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7"/>
                      <w:kern w:val="2"/>
                      <w:sz w:val="21"/>
                      <w:szCs w:val="21"/>
                      <w:highlight w:val="none"/>
                      <w:lang w:val="en-US" w:eastAsia="zh-CN" w:bidi="ar-SA"/>
                    </w:rPr>
                  </w:pPr>
                  <w:r>
                    <w:rPr>
                      <w:rFonts w:hint="default" w:ascii="Times New Roman" w:hAnsi="Times New Roman" w:eastAsia="宋体" w:cs="Times New Roman"/>
                      <w:b/>
                      <w:bCs/>
                      <w:color w:val="auto"/>
                      <w:spacing w:val="-7"/>
                      <w:kern w:val="2"/>
                      <w:sz w:val="21"/>
                      <w:szCs w:val="21"/>
                      <w:highlight w:val="none"/>
                      <w:lang w:val="en-US" w:eastAsia="zh-CN" w:bidi="ar-SA"/>
                    </w:rPr>
                    <w:t>序号</w:t>
                  </w:r>
                </w:p>
              </w:tc>
              <w:tc>
                <w:tcPr>
                  <w:tcW w:w="966" w:type="pct"/>
                  <w:tcBorders>
                    <w:tl2br w:val="nil"/>
                    <w:tr2bl w:val="nil"/>
                  </w:tcBorders>
                  <w:noWrap w:val="0"/>
                  <w:vAlign w:val="center"/>
                </w:tcPr>
                <w:p w14:paraId="242CE456">
                  <w:pPr>
                    <w:pStyle w:val="5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7"/>
                      <w:kern w:val="2"/>
                      <w:sz w:val="21"/>
                      <w:szCs w:val="21"/>
                      <w:highlight w:val="none"/>
                      <w:lang w:val="en-US" w:eastAsia="zh-CN" w:bidi="ar-SA"/>
                    </w:rPr>
                  </w:pPr>
                  <w:r>
                    <w:rPr>
                      <w:rFonts w:hint="default" w:ascii="Times New Roman" w:hAnsi="Times New Roman" w:eastAsia="宋体" w:cs="Times New Roman"/>
                      <w:b/>
                      <w:bCs/>
                      <w:color w:val="auto"/>
                      <w:spacing w:val="-7"/>
                      <w:kern w:val="2"/>
                      <w:sz w:val="21"/>
                      <w:szCs w:val="21"/>
                      <w:highlight w:val="none"/>
                      <w:lang w:val="en-US" w:eastAsia="zh-CN" w:bidi="ar-SA"/>
                    </w:rPr>
                    <w:t>名称</w:t>
                  </w:r>
                </w:p>
              </w:tc>
              <w:tc>
                <w:tcPr>
                  <w:tcW w:w="1196" w:type="pct"/>
                  <w:tcBorders>
                    <w:tl2br w:val="nil"/>
                    <w:tr2bl w:val="nil"/>
                  </w:tcBorders>
                  <w:noWrap w:val="0"/>
                  <w:vAlign w:val="center"/>
                </w:tcPr>
                <w:p w14:paraId="1CB6FE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7"/>
                      <w:kern w:val="2"/>
                      <w:sz w:val="21"/>
                      <w:szCs w:val="21"/>
                      <w:highlight w:val="none"/>
                      <w:lang w:val="en-US" w:eastAsia="zh-CN" w:bidi="ar-SA"/>
                    </w:rPr>
                  </w:pPr>
                  <w:r>
                    <w:rPr>
                      <w:rFonts w:hint="default" w:ascii="Times New Roman" w:hAnsi="Times New Roman" w:eastAsia="宋体" w:cs="Times New Roman"/>
                      <w:b/>
                      <w:bCs/>
                      <w:color w:val="auto"/>
                      <w:spacing w:val="-7"/>
                      <w:kern w:val="2"/>
                      <w:sz w:val="21"/>
                      <w:szCs w:val="21"/>
                      <w:highlight w:val="none"/>
                      <w:lang w:val="en-US" w:eastAsia="zh-CN" w:bidi="ar-SA"/>
                    </w:rPr>
                    <w:t>环评设计年用量</w:t>
                  </w:r>
                </w:p>
              </w:tc>
              <w:tc>
                <w:tcPr>
                  <w:tcW w:w="2346" w:type="pct"/>
                  <w:gridSpan w:val="2"/>
                  <w:tcBorders>
                    <w:tl2br w:val="nil"/>
                    <w:tr2bl w:val="nil"/>
                  </w:tcBorders>
                  <w:noWrap w:val="0"/>
                  <w:vAlign w:val="center"/>
                </w:tcPr>
                <w:p w14:paraId="1395CD0A">
                  <w:pPr>
                    <w:pStyle w:val="5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7"/>
                      <w:kern w:val="2"/>
                      <w:sz w:val="21"/>
                      <w:szCs w:val="21"/>
                      <w:highlight w:val="none"/>
                      <w:lang w:val="en-US" w:eastAsia="zh-CN" w:bidi="ar-SA"/>
                    </w:rPr>
                  </w:pPr>
                  <w:r>
                    <w:rPr>
                      <w:rFonts w:hint="default" w:ascii="Times New Roman" w:hAnsi="Times New Roman" w:eastAsia="宋体" w:cs="Times New Roman"/>
                      <w:b/>
                      <w:bCs/>
                      <w:color w:val="auto"/>
                      <w:sz w:val="21"/>
                      <w:szCs w:val="21"/>
                      <w:highlight w:val="none"/>
                      <w:lang w:val="en-US" w:eastAsia="zh-CN"/>
                    </w:rPr>
                    <w:t>来源及储存形式</w:t>
                  </w:r>
                </w:p>
              </w:tc>
            </w:tr>
            <w:tr w14:paraId="7551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2659" w:type="pct"/>
                  <w:gridSpan w:val="4"/>
                  <w:tcBorders>
                    <w:tl2br w:val="nil"/>
                    <w:tr2bl w:val="nil"/>
                  </w:tcBorders>
                  <w:noWrap w:val="0"/>
                  <w:vAlign w:val="center"/>
                </w:tcPr>
                <w:p w14:paraId="2104251B">
                  <w:pPr>
                    <w:pStyle w:val="5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7"/>
                      <w:kern w:val="2"/>
                      <w:sz w:val="21"/>
                      <w:szCs w:val="21"/>
                      <w:highlight w:val="none"/>
                      <w:lang w:val="en-US" w:eastAsia="zh-CN" w:bidi="ar-SA"/>
                    </w:rPr>
                  </w:pPr>
                  <w:r>
                    <w:rPr>
                      <w:rFonts w:hint="default" w:ascii="Times New Roman" w:hAnsi="Times New Roman" w:eastAsia="宋体" w:cs="Times New Roman"/>
                      <w:b/>
                      <w:bCs/>
                      <w:color w:val="auto"/>
                      <w:sz w:val="21"/>
                      <w:szCs w:val="21"/>
                      <w:highlight w:val="none"/>
                      <w:lang w:val="en-US" w:eastAsia="zh-CN"/>
                    </w:rPr>
                    <w:t>原材料消耗</w:t>
                  </w:r>
                </w:p>
              </w:tc>
              <w:tc>
                <w:tcPr>
                  <w:tcW w:w="2340" w:type="pct"/>
                  <w:tcBorders>
                    <w:tl2br w:val="nil"/>
                    <w:tr2bl w:val="nil"/>
                  </w:tcBorders>
                  <w:noWrap w:val="0"/>
                  <w:vAlign w:val="center"/>
                </w:tcPr>
                <w:p w14:paraId="6326DF58">
                  <w:pPr>
                    <w:pStyle w:val="5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z w:val="21"/>
                      <w:szCs w:val="21"/>
                      <w:highlight w:val="none"/>
                      <w:lang w:val="en-US" w:eastAsia="zh-CN"/>
                    </w:rPr>
                  </w:pPr>
                </w:p>
              </w:tc>
            </w:tr>
            <w:tr w14:paraId="7FB08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490" w:type="pct"/>
                  <w:tcBorders>
                    <w:tl2br w:val="nil"/>
                    <w:tr2bl w:val="nil"/>
                  </w:tcBorders>
                  <w:noWrap w:val="0"/>
                  <w:vAlign w:val="center"/>
                </w:tcPr>
                <w:p w14:paraId="4C10C95C">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1</w:t>
                  </w:r>
                </w:p>
              </w:tc>
              <w:tc>
                <w:tcPr>
                  <w:tcW w:w="966" w:type="pct"/>
                  <w:tcBorders>
                    <w:tl2br w:val="nil"/>
                    <w:tr2bl w:val="nil"/>
                  </w:tcBorders>
                  <w:noWrap w:val="0"/>
                  <w:vAlign w:val="center"/>
                </w:tcPr>
                <w:p w14:paraId="41F285A8">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生铁</w:t>
                  </w:r>
                </w:p>
              </w:tc>
              <w:tc>
                <w:tcPr>
                  <w:tcW w:w="1196" w:type="pct"/>
                  <w:tcBorders>
                    <w:tl2br w:val="nil"/>
                    <w:tr2bl w:val="nil"/>
                  </w:tcBorders>
                  <w:noWrap w:val="0"/>
                  <w:vAlign w:val="center"/>
                </w:tcPr>
                <w:p w14:paraId="4FF51F45">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2500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2F5286A2">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外购，散装，存储于原料库北侧存放区</w:t>
                  </w:r>
                </w:p>
              </w:tc>
            </w:tr>
            <w:tr w14:paraId="27ACE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490" w:type="pct"/>
                  <w:tcBorders>
                    <w:tl2br w:val="nil"/>
                    <w:tr2bl w:val="nil"/>
                  </w:tcBorders>
                  <w:noWrap w:val="0"/>
                  <w:vAlign w:val="center"/>
                </w:tcPr>
                <w:p w14:paraId="371464E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p>
              </w:tc>
              <w:tc>
                <w:tcPr>
                  <w:tcW w:w="966" w:type="pct"/>
                  <w:tcBorders>
                    <w:tl2br w:val="nil"/>
                    <w:tr2bl w:val="nil"/>
                  </w:tcBorders>
                  <w:noWrap w:val="0"/>
                  <w:vAlign w:val="center"/>
                </w:tcPr>
                <w:p w14:paraId="2608027A">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废</w:t>
                  </w:r>
                  <w:r>
                    <w:rPr>
                      <w:rFonts w:hint="default" w:ascii="Times New Roman" w:hAnsi="Times New Roman" w:eastAsia="宋体" w:cs="Times New Roman"/>
                      <w:color w:val="auto"/>
                      <w:sz w:val="21"/>
                      <w:szCs w:val="21"/>
                      <w:highlight w:val="none"/>
                      <w:lang w:val="en-US" w:eastAsia="zh-CN"/>
                    </w:rPr>
                    <w:t>钢</w:t>
                  </w:r>
                </w:p>
              </w:tc>
              <w:tc>
                <w:tcPr>
                  <w:tcW w:w="1196" w:type="pct"/>
                  <w:tcBorders>
                    <w:tl2br w:val="nil"/>
                    <w:tr2bl w:val="nil"/>
                  </w:tcBorders>
                  <w:noWrap w:val="0"/>
                  <w:vAlign w:val="center"/>
                </w:tcPr>
                <w:p w14:paraId="2B6F3BDD">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1400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4E973F8B">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外购，散装，存储于原料库北侧存放区</w:t>
                  </w:r>
                </w:p>
              </w:tc>
            </w:tr>
            <w:tr w14:paraId="569C3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 w:hRule="atLeast"/>
                <w:jc w:val="center"/>
              </w:trPr>
              <w:tc>
                <w:tcPr>
                  <w:tcW w:w="490" w:type="pct"/>
                  <w:tcBorders>
                    <w:tl2br w:val="nil"/>
                    <w:tr2bl w:val="nil"/>
                  </w:tcBorders>
                  <w:noWrap w:val="0"/>
                  <w:vAlign w:val="center"/>
                </w:tcPr>
                <w:p w14:paraId="2F60CCE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w:t>
                  </w:r>
                </w:p>
              </w:tc>
              <w:tc>
                <w:tcPr>
                  <w:tcW w:w="966" w:type="pct"/>
                  <w:tcBorders>
                    <w:tl2br w:val="nil"/>
                    <w:tr2bl w:val="nil"/>
                  </w:tcBorders>
                  <w:noWrap w:val="0"/>
                  <w:vAlign w:val="center"/>
                </w:tcPr>
                <w:p w14:paraId="161BCB24">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铁豆</w:t>
                  </w:r>
                </w:p>
              </w:tc>
              <w:tc>
                <w:tcPr>
                  <w:tcW w:w="1196" w:type="pct"/>
                  <w:tcBorders>
                    <w:tl2br w:val="nil"/>
                    <w:tr2bl w:val="nil"/>
                  </w:tcBorders>
                  <w:noWrap w:val="0"/>
                  <w:vAlign w:val="center"/>
                </w:tcPr>
                <w:p w14:paraId="663764DC">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2000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35A4F776">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外购，散装，存储于原料库北侧存放区</w:t>
                  </w:r>
                </w:p>
              </w:tc>
            </w:tr>
            <w:tr w14:paraId="2F68C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3E4A33AD">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4</w:t>
                  </w:r>
                </w:p>
              </w:tc>
              <w:tc>
                <w:tcPr>
                  <w:tcW w:w="966" w:type="pct"/>
                  <w:tcBorders>
                    <w:tl2br w:val="nil"/>
                    <w:tr2bl w:val="nil"/>
                  </w:tcBorders>
                  <w:noWrap w:val="0"/>
                  <w:vAlign w:val="center"/>
                </w:tcPr>
                <w:p w14:paraId="265139FB">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硅铁</w:t>
                  </w:r>
                </w:p>
              </w:tc>
              <w:tc>
                <w:tcPr>
                  <w:tcW w:w="1196" w:type="pct"/>
                  <w:tcBorders>
                    <w:tl2br w:val="nil"/>
                    <w:tr2bl w:val="nil"/>
                  </w:tcBorders>
                  <w:noWrap w:val="0"/>
                  <w:vAlign w:val="center"/>
                </w:tcPr>
                <w:p w14:paraId="23239FCC">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120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094E448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外购，袋装，存储于原料库</w:t>
                  </w:r>
                </w:p>
              </w:tc>
            </w:tr>
            <w:tr w14:paraId="6341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39440AC2">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5</w:t>
                  </w:r>
                </w:p>
              </w:tc>
              <w:tc>
                <w:tcPr>
                  <w:tcW w:w="966" w:type="pct"/>
                  <w:tcBorders>
                    <w:tl2br w:val="nil"/>
                    <w:tr2bl w:val="nil"/>
                  </w:tcBorders>
                  <w:noWrap w:val="0"/>
                  <w:vAlign w:val="center"/>
                </w:tcPr>
                <w:p w14:paraId="1CB7B29B">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锰铁</w:t>
                  </w:r>
                </w:p>
              </w:tc>
              <w:tc>
                <w:tcPr>
                  <w:tcW w:w="1196" w:type="pct"/>
                  <w:tcBorders>
                    <w:tl2br w:val="nil"/>
                    <w:tr2bl w:val="nil"/>
                  </w:tcBorders>
                  <w:noWrap w:val="0"/>
                  <w:vAlign w:val="center"/>
                </w:tcPr>
                <w:p w14:paraId="4A4D728F">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521FC2C7">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外购，袋装，存储于原料库</w:t>
                  </w:r>
                </w:p>
              </w:tc>
            </w:tr>
            <w:tr w14:paraId="40A9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45D2202C">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6</w:t>
                  </w:r>
                </w:p>
              </w:tc>
              <w:tc>
                <w:tcPr>
                  <w:tcW w:w="966" w:type="pct"/>
                  <w:tcBorders>
                    <w:tl2br w:val="nil"/>
                    <w:tr2bl w:val="nil"/>
                  </w:tcBorders>
                  <w:noWrap w:val="0"/>
                  <w:vAlign w:val="center"/>
                </w:tcPr>
                <w:p w14:paraId="64481B23">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钢丸</w:t>
                  </w:r>
                </w:p>
              </w:tc>
              <w:tc>
                <w:tcPr>
                  <w:tcW w:w="1196" w:type="pct"/>
                  <w:tcBorders>
                    <w:tl2br w:val="nil"/>
                    <w:tr2bl w:val="nil"/>
                  </w:tcBorders>
                  <w:noWrap w:val="0"/>
                  <w:vAlign w:val="center"/>
                </w:tcPr>
                <w:p w14:paraId="7C98ED97">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60C04A26">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外购，袋装，存储于原料库</w:t>
                  </w:r>
                </w:p>
              </w:tc>
            </w:tr>
            <w:tr w14:paraId="43D80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17940F7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w:t>
                  </w:r>
                </w:p>
              </w:tc>
              <w:tc>
                <w:tcPr>
                  <w:tcW w:w="966" w:type="pct"/>
                  <w:tcBorders>
                    <w:tl2br w:val="nil"/>
                    <w:tr2bl w:val="nil"/>
                  </w:tcBorders>
                  <w:noWrap w:val="0"/>
                  <w:vAlign w:val="center"/>
                </w:tcPr>
                <w:p w14:paraId="26290334">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膨润土</w:t>
                  </w:r>
                </w:p>
              </w:tc>
              <w:tc>
                <w:tcPr>
                  <w:tcW w:w="1196" w:type="pct"/>
                  <w:tcBorders>
                    <w:tl2br w:val="nil"/>
                    <w:tr2bl w:val="nil"/>
                  </w:tcBorders>
                  <w:noWrap w:val="0"/>
                  <w:vAlign w:val="center"/>
                </w:tcPr>
                <w:p w14:paraId="4DE4E604">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19B667C3">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外购，袋装，存储于料仓</w:t>
                  </w:r>
                </w:p>
              </w:tc>
            </w:tr>
            <w:tr w14:paraId="2E47F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490" w:type="pct"/>
                  <w:tcBorders>
                    <w:tl2br w:val="nil"/>
                    <w:tr2bl w:val="nil"/>
                  </w:tcBorders>
                  <w:noWrap w:val="0"/>
                  <w:vAlign w:val="center"/>
                </w:tcPr>
                <w:p w14:paraId="215D9CB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8</w:t>
                  </w:r>
                </w:p>
              </w:tc>
              <w:tc>
                <w:tcPr>
                  <w:tcW w:w="966" w:type="pct"/>
                  <w:tcBorders>
                    <w:tl2br w:val="nil"/>
                    <w:tr2bl w:val="nil"/>
                  </w:tcBorders>
                  <w:noWrap w:val="0"/>
                  <w:vAlign w:val="center"/>
                </w:tcPr>
                <w:p w14:paraId="2B84FC51">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造型砂</w:t>
                  </w:r>
                </w:p>
              </w:tc>
              <w:tc>
                <w:tcPr>
                  <w:tcW w:w="1196" w:type="pct"/>
                  <w:tcBorders>
                    <w:tl2br w:val="nil"/>
                    <w:tr2bl w:val="nil"/>
                  </w:tcBorders>
                  <w:noWrap w:val="0"/>
                  <w:vAlign w:val="center"/>
                </w:tcPr>
                <w:p w14:paraId="0668EC7A">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980</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41AD92E4">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外购，袋装，存储于料仓</w:t>
                  </w:r>
                </w:p>
              </w:tc>
            </w:tr>
            <w:tr w14:paraId="19675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6D847770">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9</w:t>
                  </w:r>
                </w:p>
              </w:tc>
              <w:tc>
                <w:tcPr>
                  <w:tcW w:w="966" w:type="pct"/>
                  <w:tcBorders>
                    <w:tl2br w:val="nil"/>
                    <w:tr2bl w:val="nil"/>
                  </w:tcBorders>
                  <w:noWrap w:val="0"/>
                  <w:vAlign w:val="center"/>
                </w:tcPr>
                <w:p w14:paraId="5A0E3A28">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润滑油</w:t>
                  </w:r>
                </w:p>
              </w:tc>
              <w:tc>
                <w:tcPr>
                  <w:tcW w:w="1196" w:type="pct"/>
                  <w:tcBorders>
                    <w:tl2br w:val="nil"/>
                    <w:tr2bl w:val="nil"/>
                  </w:tcBorders>
                  <w:noWrap w:val="0"/>
                  <w:vAlign w:val="center"/>
                </w:tcPr>
                <w:p w14:paraId="2FD36195">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2354A45D">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外购，桶装，存储于原料库</w:t>
                  </w:r>
                </w:p>
              </w:tc>
            </w:tr>
            <w:tr w14:paraId="35B8C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490" w:type="pct"/>
                  <w:tcBorders>
                    <w:tl2br w:val="nil"/>
                    <w:tr2bl w:val="nil"/>
                  </w:tcBorders>
                  <w:noWrap w:val="0"/>
                  <w:vAlign w:val="center"/>
                </w:tcPr>
                <w:p w14:paraId="04AD5A0F">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10</w:t>
                  </w:r>
                </w:p>
              </w:tc>
              <w:tc>
                <w:tcPr>
                  <w:tcW w:w="966" w:type="pct"/>
                  <w:tcBorders>
                    <w:tl2br w:val="nil"/>
                    <w:tr2bl w:val="nil"/>
                  </w:tcBorders>
                  <w:noWrap w:val="0"/>
                  <w:vAlign w:val="center"/>
                </w:tcPr>
                <w:p w14:paraId="37A4BF26">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水性漆</w:t>
                  </w:r>
                </w:p>
              </w:tc>
              <w:tc>
                <w:tcPr>
                  <w:tcW w:w="1196" w:type="pct"/>
                  <w:tcBorders>
                    <w:tl2br w:val="nil"/>
                    <w:tr2bl w:val="nil"/>
                  </w:tcBorders>
                  <w:noWrap w:val="0"/>
                  <w:vAlign w:val="center"/>
                </w:tcPr>
                <w:p w14:paraId="5ABF004C">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t/a</w:t>
                  </w:r>
                </w:p>
              </w:tc>
              <w:tc>
                <w:tcPr>
                  <w:tcW w:w="2346" w:type="pct"/>
                  <w:gridSpan w:val="2"/>
                  <w:tcBorders>
                    <w:tl2br w:val="nil"/>
                    <w:tr2bl w:val="nil"/>
                  </w:tcBorders>
                  <w:noWrap w:val="0"/>
                  <w:vAlign w:val="center"/>
                </w:tcPr>
                <w:p w14:paraId="4593BCA9">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外购，桶装，存储于调漆间</w:t>
                  </w:r>
                </w:p>
              </w:tc>
            </w:tr>
            <w:tr w14:paraId="7AA35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5000" w:type="pct"/>
                  <w:gridSpan w:val="5"/>
                  <w:vAlign w:val="center"/>
                </w:tcPr>
                <w:p w14:paraId="20B86245">
                  <w:pPr>
                    <w:spacing w:line="240" w:lineRule="auto"/>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能源</w:t>
                  </w:r>
                </w:p>
              </w:tc>
            </w:tr>
            <w:tr w14:paraId="22625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 w:hRule="atLeast"/>
                <w:jc w:val="center"/>
              </w:trPr>
              <w:tc>
                <w:tcPr>
                  <w:tcW w:w="490" w:type="pct"/>
                  <w:vAlign w:val="center"/>
                </w:tcPr>
                <w:p w14:paraId="077BAD75">
                  <w:pPr>
                    <w:pStyle w:val="10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7"/>
                      <w:kern w:val="2"/>
                      <w:sz w:val="21"/>
                      <w:szCs w:val="21"/>
                      <w:highlight w:val="none"/>
                      <w:lang w:val="en-US" w:eastAsia="zh-CN" w:bidi="ar-SA"/>
                    </w:rPr>
                  </w:pPr>
                  <w:r>
                    <w:rPr>
                      <w:rFonts w:hint="default" w:ascii="Times New Roman" w:hAnsi="Times New Roman" w:eastAsia="宋体" w:cs="Times New Roman"/>
                      <w:color w:val="auto"/>
                      <w:spacing w:val="-7"/>
                      <w:kern w:val="2"/>
                      <w:sz w:val="21"/>
                      <w:szCs w:val="21"/>
                      <w:highlight w:val="none"/>
                      <w:lang w:val="en-US" w:eastAsia="zh-CN" w:bidi="ar-SA"/>
                    </w:rPr>
                    <w:t>1</w:t>
                  </w:r>
                </w:p>
              </w:tc>
              <w:tc>
                <w:tcPr>
                  <w:tcW w:w="966" w:type="pct"/>
                  <w:vAlign w:val="center"/>
                </w:tcPr>
                <w:p w14:paraId="7E0AB0C6">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电</w:t>
                  </w:r>
                </w:p>
              </w:tc>
              <w:tc>
                <w:tcPr>
                  <w:tcW w:w="1196" w:type="pct"/>
                  <w:vAlign w:val="center"/>
                </w:tcPr>
                <w:p w14:paraId="6938264A">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380万</w:t>
                  </w:r>
                  <w:r>
                    <w:rPr>
                      <w:rFonts w:hint="default" w:ascii="Times New Roman" w:hAnsi="Times New Roman" w:eastAsia="宋体" w:cs="Times New Roman"/>
                      <w:color w:val="auto"/>
                      <w:sz w:val="21"/>
                      <w:szCs w:val="21"/>
                      <w:highlight w:val="none"/>
                    </w:rPr>
                    <w:t>k</w:t>
                  </w:r>
                  <w:r>
                    <w:rPr>
                      <w:rFonts w:hint="default" w:ascii="Times New Roman" w:hAnsi="Times New Roman" w:eastAsia="宋体" w:cs="Times New Roman"/>
                      <w:color w:val="auto"/>
                      <w:sz w:val="21"/>
                      <w:szCs w:val="21"/>
                      <w:highlight w:val="none"/>
                      <w:lang w:val="en-US" w:eastAsia="zh-CN"/>
                    </w:rPr>
                    <w:t>W</w:t>
                  </w:r>
                  <w:r>
                    <w:rPr>
                      <w:rFonts w:hint="default" w:ascii="Times New Roman" w:hAnsi="Times New Roman" w:eastAsia="宋体" w:cs="Times New Roman"/>
                      <w:color w:val="auto"/>
                      <w:sz w:val="21"/>
                      <w:szCs w:val="21"/>
                      <w:highlight w:val="none"/>
                    </w:rPr>
                    <w:t>h</w:t>
                  </w:r>
                  <w:r>
                    <w:rPr>
                      <w:rFonts w:hint="default" w:ascii="Times New Roman" w:hAnsi="Times New Roman" w:eastAsia="宋体" w:cs="Times New Roman"/>
                      <w:color w:val="auto"/>
                      <w:sz w:val="21"/>
                      <w:szCs w:val="21"/>
                      <w:highlight w:val="none"/>
                      <w:lang w:val="en-US" w:eastAsia="zh-CN"/>
                    </w:rPr>
                    <w:t>·a</w:t>
                  </w:r>
                </w:p>
              </w:tc>
              <w:tc>
                <w:tcPr>
                  <w:tcW w:w="2346" w:type="pct"/>
                  <w:gridSpan w:val="2"/>
                  <w:vAlign w:val="center"/>
                </w:tcPr>
                <w:p w14:paraId="3573FB82">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园区供电线路</w:t>
                  </w:r>
                </w:p>
              </w:tc>
            </w:tr>
            <w:tr w14:paraId="7AE27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jc w:val="center"/>
              </w:trPr>
              <w:tc>
                <w:tcPr>
                  <w:tcW w:w="490" w:type="pct"/>
                  <w:vAlign w:val="center"/>
                </w:tcPr>
                <w:p w14:paraId="2E200280">
                  <w:pPr>
                    <w:pStyle w:val="109"/>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7"/>
                      <w:kern w:val="2"/>
                      <w:sz w:val="21"/>
                      <w:szCs w:val="21"/>
                      <w:highlight w:val="none"/>
                      <w:lang w:val="en-US" w:eastAsia="zh-CN" w:bidi="ar-SA"/>
                    </w:rPr>
                  </w:pPr>
                  <w:r>
                    <w:rPr>
                      <w:rFonts w:hint="default" w:ascii="Times New Roman" w:hAnsi="Times New Roman" w:eastAsia="宋体" w:cs="Times New Roman"/>
                      <w:color w:val="auto"/>
                      <w:spacing w:val="-7"/>
                      <w:kern w:val="2"/>
                      <w:sz w:val="21"/>
                      <w:szCs w:val="21"/>
                      <w:highlight w:val="none"/>
                      <w:lang w:val="en-US" w:eastAsia="zh-CN" w:bidi="ar-SA"/>
                    </w:rPr>
                    <w:t>2</w:t>
                  </w:r>
                </w:p>
              </w:tc>
              <w:tc>
                <w:tcPr>
                  <w:tcW w:w="966" w:type="pct"/>
                  <w:vAlign w:val="center"/>
                </w:tcPr>
                <w:p w14:paraId="7AB2A16D">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新鲜</w:t>
                  </w:r>
                  <w:r>
                    <w:rPr>
                      <w:rFonts w:hint="default" w:ascii="Times New Roman" w:hAnsi="Times New Roman" w:eastAsia="宋体" w:cs="Times New Roman"/>
                      <w:color w:val="auto"/>
                      <w:sz w:val="21"/>
                      <w:szCs w:val="21"/>
                      <w:highlight w:val="none"/>
                    </w:rPr>
                    <w:t>水</w:t>
                  </w:r>
                </w:p>
              </w:tc>
              <w:tc>
                <w:tcPr>
                  <w:tcW w:w="1196" w:type="pct"/>
                  <w:vAlign w:val="center"/>
                </w:tcPr>
                <w:p w14:paraId="74AA9F76">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294</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p>
              </w:tc>
              <w:tc>
                <w:tcPr>
                  <w:tcW w:w="2346" w:type="pct"/>
                  <w:gridSpan w:val="2"/>
                  <w:vAlign w:val="center"/>
                </w:tcPr>
                <w:p w14:paraId="00A67707">
                  <w:pPr>
                    <w:pStyle w:val="103"/>
                    <w:bidi w:val="0"/>
                    <w:spacing w:line="240" w:lineRule="auto"/>
                    <w:ind w:left="21" w:leftChars="10" w:right="21" w:rightChars="10"/>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园区供水</w:t>
                  </w:r>
                  <w:r>
                    <w:rPr>
                      <w:rFonts w:hint="default" w:ascii="Times New Roman" w:hAnsi="Times New Roman" w:eastAsia="宋体" w:cs="Times New Roman"/>
                      <w:color w:val="auto"/>
                      <w:sz w:val="21"/>
                      <w:szCs w:val="21"/>
                      <w:highlight w:val="none"/>
                      <w:lang w:val="en-US" w:eastAsia="zh-CN"/>
                    </w:rPr>
                    <w:t>系统</w:t>
                  </w:r>
                </w:p>
              </w:tc>
            </w:tr>
            <w:tr w14:paraId="2F015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490" w:type="pct"/>
                  <w:vAlign w:val="center"/>
                </w:tcPr>
                <w:p w14:paraId="1D1B02B6">
                  <w:pPr>
                    <w:pStyle w:val="103"/>
                    <w:bidi w:val="0"/>
                    <w:spacing w:line="240" w:lineRule="auto"/>
                    <w:ind w:left="21" w:leftChars="10" w:right="21" w:rightChars="10"/>
                    <w:rPr>
                      <w:rFonts w:hint="default" w:ascii="Times New Roman" w:hAnsi="Times New Roman" w:eastAsia="宋体" w:cs="Times New Roman"/>
                      <w:color w:val="auto"/>
                      <w:sz w:val="21"/>
                      <w:szCs w:val="21"/>
                      <w:highlight w:val="none"/>
                      <w:lang w:val="en-US" w:eastAsia="zh-CN"/>
                    </w:rPr>
                  </w:pPr>
                  <w:bookmarkStart w:id="6" w:name="_Toc6474"/>
                  <w:r>
                    <w:rPr>
                      <w:rFonts w:hint="eastAsia" w:cs="Times New Roman"/>
                      <w:color w:val="auto"/>
                      <w:sz w:val="21"/>
                      <w:szCs w:val="21"/>
                      <w:highlight w:val="none"/>
                      <w:lang w:val="en-US" w:eastAsia="zh-CN"/>
                    </w:rPr>
                    <w:t>3</w:t>
                  </w:r>
                </w:p>
              </w:tc>
              <w:tc>
                <w:tcPr>
                  <w:tcW w:w="966" w:type="pct"/>
                  <w:vAlign w:val="center"/>
                </w:tcPr>
                <w:p w14:paraId="7EBF5090">
                  <w:pPr>
                    <w:pStyle w:val="103"/>
                    <w:bidi w:val="0"/>
                    <w:spacing w:line="240" w:lineRule="auto"/>
                    <w:ind w:left="21" w:leftChars="10" w:right="21" w:rightChars="1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天然气</w:t>
                  </w:r>
                </w:p>
              </w:tc>
              <w:tc>
                <w:tcPr>
                  <w:tcW w:w="1196" w:type="pct"/>
                  <w:vAlign w:val="center"/>
                </w:tcPr>
                <w:p w14:paraId="2DBBF64B">
                  <w:pPr>
                    <w:pStyle w:val="103"/>
                    <w:bidi w:val="0"/>
                    <w:spacing w:line="240" w:lineRule="auto"/>
                    <w:ind w:left="21" w:leftChars="10" w:right="21" w:rightChars="1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42000m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/a</w:t>
                  </w:r>
                </w:p>
              </w:tc>
              <w:tc>
                <w:tcPr>
                  <w:tcW w:w="2346" w:type="pct"/>
                  <w:gridSpan w:val="2"/>
                  <w:vAlign w:val="center"/>
                </w:tcPr>
                <w:p w14:paraId="15DA21D7">
                  <w:pPr>
                    <w:pStyle w:val="103"/>
                    <w:bidi w:val="0"/>
                    <w:spacing w:line="240" w:lineRule="auto"/>
                    <w:ind w:left="21" w:leftChars="10" w:right="21" w:rightChars="1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园区管道供应</w:t>
                  </w:r>
                </w:p>
              </w:tc>
            </w:tr>
          </w:tbl>
          <w:p w14:paraId="7EF5F636">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eastAsia"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4、</w:t>
            </w:r>
            <w:r>
              <w:rPr>
                <w:rFonts w:hint="eastAsia" w:cs="Times New Roman"/>
                <w:b w:val="0"/>
                <w:bCs w:val="0"/>
                <w:color w:val="auto"/>
                <w:kern w:val="2"/>
                <w:sz w:val="24"/>
                <w:szCs w:val="24"/>
                <w:highlight w:val="none"/>
                <w:lang w:val="en-US" w:eastAsia="zh-CN" w:bidi="ar-SA"/>
              </w:rPr>
              <w:t>现有工程</w:t>
            </w:r>
            <w:r>
              <w:rPr>
                <w:rFonts w:hint="eastAsia" w:ascii="Times New Roman" w:hAnsi="Times New Roman" w:eastAsia="宋体" w:cs="Times New Roman"/>
                <w:b w:val="0"/>
                <w:bCs w:val="0"/>
                <w:color w:val="auto"/>
                <w:kern w:val="2"/>
                <w:sz w:val="24"/>
                <w:szCs w:val="24"/>
                <w:highlight w:val="none"/>
                <w:lang w:val="en-US" w:eastAsia="zh-CN" w:bidi="ar-SA"/>
              </w:rPr>
              <w:t>水源及水平衡</w:t>
            </w:r>
            <w:bookmarkEnd w:id="6"/>
          </w:p>
          <w:p w14:paraId="047E7F69">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both"/>
              <w:textAlignment w:val="auto"/>
              <w:rPr>
                <w:rFonts w:hint="default" w:ascii="Times New Roman" w:hAnsi="Times New Roman" w:eastAsia="宋体" w:cs="Times New Roman"/>
                <w:color w:val="auto"/>
                <w:sz w:val="24"/>
                <w:szCs w:val="24"/>
                <w:highlight w:val="none"/>
                <w:lang w:eastAsia="zh-CN"/>
              </w:rPr>
            </w:pPr>
            <w:bookmarkStart w:id="7" w:name="_Toc16090"/>
            <w:bookmarkStart w:id="8" w:name="_Toc10101"/>
            <w:r>
              <w:rPr>
                <w:rFonts w:hint="default" w:ascii="Times New Roman" w:hAnsi="Times New Roman" w:eastAsia="宋体" w:cs="Times New Roman"/>
                <w:b/>
                <w:bCs/>
                <w:color w:val="auto"/>
                <w:kern w:val="0"/>
                <w:sz w:val="24"/>
                <w:szCs w:val="24"/>
                <w:highlight w:val="none"/>
              </w:rPr>
              <w:t>给水：</w:t>
            </w:r>
            <w:r>
              <w:rPr>
                <w:rFonts w:hint="default" w:ascii="Times New Roman" w:hAnsi="Times New Roman" w:eastAsia="宋体" w:cs="Times New Roman"/>
                <w:color w:val="auto"/>
                <w:sz w:val="24"/>
                <w:szCs w:val="24"/>
                <w:highlight w:val="none"/>
                <w:lang w:val="en-US" w:eastAsia="zh-CN"/>
              </w:rPr>
              <w:t>本项目用水由河北行唐经济开发区自来水管网提供，</w:t>
            </w:r>
            <w:r>
              <w:rPr>
                <w:rFonts w:hint="default" w:ascii="Times New Roman" w:hAnsi="Times New Roman" w:eastAsia="宋体" w:cs="Times New Roman"/>
                <w:color w:val="auto"/>
                <w:kern w:val="0"/>
                <w:sz w:val="24"/>
                <w:szCs w:val="24"/>
                <w:highlight w:val="none"/>
              </w:rPr>
              <w:t>用水主要为生活用水、</w:t>
            </w:r>
            <w:r>
              <w:rPr>
                <w:rFonts w:hint="default" w:ascii="Times New Roman" w:hAnsi="Times New Roman" w:eastAsia="宋体" w:cs="Times New Roman"/>
                <w:color w:val="auto"/>
                <w:sz w:val="24"/>
                <w:szCs w:val="24"/>
                <w:highlight w:val="none"/>
                <w:lang w:val="en-US" w:eastAsia="zh-CN"/>
              </w:rPr>
              <w:t>食堂用水、</w:t>
            </w:r>
            <w:r>
              <w:rPr>
                <w:rFonts w:hint="default" w:ascii="Times New Roman" w:hAnsi="Times New Roman" w:eastAsia="宋体" w:cs="Times New Roman"/>
                <w:color w:val="auto"/>
                <w:sz w:val="24"/>
                <w:szCs w:val="24"/>
                <w:highlight w:val="none"/>
                <w:lang w:eastAsia="zh-CN"/>
              </w:rPr>
              <w:t>中频感应电炉冷</w:t>
            </w:r>
            <w:r>
              <w:rPr>
                <w:rFonts w:hint="default" w:ascii="Times New Roman" w:hAnsi="Times New Roman" w:eastAsia="宋体" w:cs="Times New Roman"/>
                <w:color w:val="auto"/>
                <w:sz w:val="24"/>
                <w:szCs w:val="24"/>
                <w:highlight w:val="none"/>
                <w:lang w:val="en-US" w:eastAsia="zh-CN"/>
              </w:rPr>
              <w:t>却水、</w:t>
            </w:r>
            <w:r>
              <w:rPr>
                <w:rFonts w:hint="default" w:ascii="Times New Roman" w:hAnsi="Times New Roman" w:eastAsia="宋体" w:cs="Times New Roman"/>
                <w:color w:val="auto"/>
                <w:sz w:val="24"/>
                <w:szCs w:val="24"/>
                <w:highlight w:val="none"/>
                <w:lang w:eastAsia="zh-CN"/>
              </w:rPr>
              <w:t>混砂用水、</w:t>
            </w:r>
            <w:r>
              <w:rPr>
                <w:rFonts w:hint="default" w:ascii="Times New Roman" w:hAnsi="Times New Roman" w:eastAsia="宋体" w:cs="Times New Roman"/>
                <w:color w:val="auto"/>
                <w:sz w:val="24"/>
                <w:szCs w:val="24"/>
                <w:highlight w:val="none"/>
                <w:lang w:val="en-US" w:eastAsia="zh-CN"/>
              </w:rPr>
              <w:t>绿化用水、降尘用水</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lang w:val="en-US" w:eastAsia="zh-CN"/>
              </w:rPr>
              <w:t>总用水量为</w:t>
            </w:r>
            <w:r>
              <w:rPr>
                <w:rFonts w:hint="default" w:ascii="Times New Roman" w:hAnsi="Times New Roman" w:eastAsia="宋体" w:cs="Times New Roman"/>
                <w:i w:val="0"/>
                <w:iCs w:val="0"/>
                <w:color w:val="auto"/>
                <w:sz w:val="24"/>
                <w:szCs w:val="24"/>
                <w:highlight w:val="none"/>
                <w:u w:val="none"/>
                <w:lang w:val="en-US" w:eastAsia="zh-CN"/>
              </w:rPr>
              <w:t>12.81</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eastAsia" w:cs="Times New Roman"/>
                <w:color w:val="auto"/>
                <w:kern w:val="0"/>
                <w:sz w:val="24"/>
                <w:szCs w:val="24"/>
                <w:highlight w:val="none"/>
                <w:lang w:val="en-US" w:eastAsia="zh-CN"/>
              </w:rPr>
              <w:t>3843.0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其中，新鲜用水量为</w:t>
            </w:r>
            <w:r>
              <w:rPr>
                <w:rFonts w:hint="default" w:ascii="Times New Roman" w:hAnsi="Times New Roman" w:eastAsia="宋体" w:cs="Times New Roman"/>
                <w:i w:val="0"/>
                <w:iCs w:val="0"/>
                <w:color w:val="auto"/>
                <w:sz w:val="24"/>
                <w:szCs w:val="24"/>
                <w:highlight w:val="none"/>
                <w:u w:val="none"/>
                <w:lang w:val="en-US" w:eastAsia="zh-CN"/>
              </w:rPr>
              <w:t>9.81</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default" w:ascii="Times New Roman" w:hAnsi="Times New Roman" w:eastAsia="宋体" w:cs="Times New Roman"/>
                <w:color w:val="auto"/>
                <w:sz w:val="24"/>
                <w:szCs w:val="24"/>
                <w:highlight w:val="none"/>
                <w:lang w:val="en-US" w:eastAsia="zh-CN"/>
              </w:rPr>
              <w:t>294</w:t>
            </w:r>
            <w:r>
              <w:rPr>
                <w:rFonts w:hint="eastAsia" w:cs="Times New Roman"/>
                <w:color w:val="auto"/>
                <w:sz w:val="24"/>
                <w:szCs w:val="24"/>
                <w:highlight w:val="none"/>
                <w:lang w:val="en-US" w:eastAsia="zh-CN"/>
              </w:rPr>
              <w:t>3.0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循环水量为</w:t>
            </w:r>
            <w:r>
              <w:rPr>
                <w:rFonts w:hint="default" w:ascii="Times New Roman" w:hAnsi="Times New Roman" w:eastAsia="宋体" w:cs="Times New Roman"/>
                <w:i w:val="0"/>
                <w:iCs w:val="0"/>
                <w:color w:val="auto"/>
                <w:sz w:val="24"/>
                <w:szCs w:val="24"/>
                <w:highlight w:val="none"/>
                <w:u w:val="none"/>
                <w:lang w:val="en-US" w:eastAsia="zh-CN"/>
              </w:rPr>
              <w:t>3</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default" w:ascii="Times New Roman" w:hAnsi="Times New Roman" w:eastAsia="宋体" w:cs="Times New Roman"/>
                <w:color w:val="auto"/>
                <w:kern w:val="0"/>
                <w:sz w:val="24"/>
                <w:szCs w:val="24"/>
                <w:highlight w:val="none"/>
                <w:lang w:val="en-US" w:eastAsia="zh-CN"/>
              </w:rPr>
              <w:t>900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其中，</w:t>
            </w:r>
            <w:r>
              <w:rPr>
                <w:rFonts w:hint="default" w:ascii="Times New Roman" w:hAnsi="Times New Roman" w:eastAsia="宋体" w:cs="Times New Roman"/>
                <w:color w:val="auto"/>
                <w:sz w:val="24"/>
                <w:szCs w:val="24"/>
                <w:highlight w:val="none"/>
                <w:lang w:eastAsia="zh-CN"/>
              </w:rPr>
              <w:t>生活用水</w:t>
            </w:r>
            <w:r>
              <w:rPr>
                <w:rFonts w:hint="default" w:ascii="Times New Roman" w:hAnsi="Times New Roman" w:eastAsia="宋体" w:cs="Times New Roman"/>
                <w:color w:val="auto"/>
                <w:sz w:val="24"/>
                <w:szCs w:val="24"/>
                <w:highlight w:val="none"/>
                <w:lang w:val="en-US" w:eastAsia="zh-CN"/>
              </w:rPr>
              <w:t>量为3.82</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114</w:t>
            </w:r>
            <w:r>
              <w:rPr>
                <w:rFonts w:hint="eastAsia" w:cs="Times New Roman"/>
                <w:color w:val="auto"/>
                <w:sz w:val="24"/>
                <w:szCs w:val="24"/>
                <w:highlight w:val="none"/>
                <w:lang w:val="en-US" w:eastAsia="zh-CN"/>
              </w:rPr>
              <w:t>6.0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食堂用水量为0.917m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/d，275</w:t>
            </w: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/a</w:t>
            </w:r>
            <w:r>
              <w:rPr>
                <w:rFonts w:hint="default" w:ascii="Times New Roman" w:hAnsi="Times New Roman" w:eastAsia="宋体" w:cs="Times New Roman"/>
                <w:color w:val="auto"/>
                <w:sz w:val="24"/>
                <w:szCs w:val="24"/>
                <w:highlight w:val="none"/>
                <w:lang w:eastAsia="zh-CN"/>
              </w:rPr>
              <w:t>，中频感应电炉冷</w:t>
            </w:r>
            <w:r>
              <w:rPr>
                <w:rFonts w:hint="default" w:ascii="Times New Roman" w:hAnsi="Times New Roman" w:eastAsia="宋体" w:cs="Times New Roman"/>
                <w:color w:val="auto"/>
                <w:sz w:val="24"/>
                <w:szCs w:val="24"/>
                <w:highlight w:val="none"/>
                <w:lang w:val="en-US" w:eastAsia="zh-CN"/>
              </w:rPr>
              <w:t>却水</w:t>
            </w:r>
            <w:r>
              <w:rPr>
                <w:rFonts w:hint="default" w:ascii="Times New Roman" w:hAnsi="Times New Roman" w:eastAsia="宋体" w:cs="Times New Roman"/>
                <w:color w:val="auto"/>
                <w:sz w:val="24"/>
                <w:szCs w:val="24"/>
                <w:highlight w:val="none"/>
              </w:rPr>
              <w:t>循环量为</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vertAlign w:val="baseline"/>
                <w:lang w:val="en-US" w:eastAsia="zh-CN"/>
              </w:rPr>
              <w:t>/d</w:t>
            </w:r>
            <w:r>
              <w:rPr>
                <w:rFonts w:hint="default" w:ascii="Times New Roman" w:hAnsi="Times New Roman" w:eastAsia="宋体" w:cs="Times New Roman"/>
                <w:color w:val="auto"/>
                <w:sz w:val="24"/>
                <w:szCs w:val="24"/>
                <w:highlight w:val="none"/>
              </w:rPr>
              <w:t>，冷却塔</w:t>
            </w:r>
            <w:r>
              <w:rPr>
                <w:rFonts w:hint="default" w:ascii="Times New Roman" w:hAnsi="Times New Roman" w:eastAsia="宋体" w:cs="Times New Roman"/>
                <w:color w:val="auto"/>
                <w:sz w:val="24"/>
                <w:szCs w:val="24"/>
                <w:highlight w:val="none"/>
                <w:lang w:eastAsia="zh-CN"/>
              </w:rPr>
              <w:t>每</w:t>
            </w:r>
            <w:r>
              <w:rPr>
                <w:rFonts w:hint="default" w:ascii="Times New Roman" w:hAnsi="Times New Roman" w:eastAsia="宋体" w:cs="Times New Roman"/>
                <w:color w:val="auto"/>
                <w:sz w:val="24"/>
                <w:szCs w:val="24"/>
                <w:highlight w:val="none"/>
                <w:lang w:val="en-US" w:eastAsia="zh-CN"/>
              </w:rPr>
              <w:t>30天补水一次，每次</w:t>
            </w:r>
            <w:r>
              <w:rPr>
                <w:rFonts w:hint="default" w:ascii="Times New Roman" w:hAnsi="Times New Roman" w:eastAsia="宋体" w:cs="Times New Roman"/>
                <w:color w:val="auto"/>
                <w:sz w:val="24"/>
                <w:szCs w:val="24"/>
                <w:highlight w:val="none"/>
              </w:rPr>
              <w:t>补水量为</w:t>
            </w:r>
            <w:r>
              <w:rPr>
                <w:rFonts w:hint="default" w:ascii="Times New Roman" w:hAnsi="Times New Roman" w:eastAsia="宋体" w:cs="Times New Roman"/>
                <w:color w:val="auto"/>
                <w:sz w:val="24"/>
                <w:szCs w:val="24"/>
                <w:highlight w:val="none"/>
                <w:lang w:val="en-US" w:eastAsia="zh-CN"/>
              </w:rPr>
              <w:t>0.3</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vertAlign w:val="baseline"/>
                <w:lang w:val="en-US" w:eastAsia="zh-CN"/>
              </w:rPr>
              <w:t>（</w:t>
            </w:r>
            <w:r>
              <w:rPr>
                <w:rFonts w:hint="default" w:ascii="Times New Roman" w:hAnsi="Times New Roman" w:eastAsia="宋体" w:cs="Times New Roman"/>
                <w:color w:val="auto"/>
                <w:sz w:val="24"/>
                <w:szCs w:val="24"/>
                <w:highlight w:val="none"/>
                <w:lang w:val="en-US" w:eastAsia="zh-CN"/>
              </w:rPr>
              <w:t>0.01</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vertAlign w:val="baseline"/>
                <w:lang w:val="en-US" w:eastAsia="zh-CN"/>
              </w:rPr>
              <w:t>/d）</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混砂用水量为</w:t>
            </w:r>
            <w:r>
              <w:rPr>
                <w:rFonts w:hint="default" w:ascii="Times New Roman" w:hAnsi="Times New Roman" w:eastAsia="宋体" w:cs="Times New Roman"/>
                <w:color w:val="auto"/>
                <w:sz w:val="24"/>
                <w:szCs w:val="24"/>
                <w:highlight w:val="none"/>
                <w:lang w:val="en-US" w:eastAsia="zh-CN"/>
              </w:rPr>
              <w:t>0.5m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/d；绿化</w:t>
            </w:r>
            <w:r>
              <w:rPr>
                <w:rFonts w:hint="default" w:ascii="Times New Roman" w:hAnsi="Times New Roman" w:eastAsia="宋体" w:cs="Times New Roman"/>
                <w:color w:val="auto"/>
                <w:kern w:val="0"/>
                <w:sz w:val="24"/>
                <w:szCs w:val="24"/>
                <w:highlight w:val="none"/>
              </w:rPr>
              <w:t>用水量为</w:t>
            </w:r>
            <w:r>
              <w:rPr>
                <w:rFonts w:hint="default" w:ascii="Times New Roman" w:hAnsi="Times New Roman" w:eastAsia="宋体" w:cs="Times New Roman"/>
                <w:color w:val="auto"/>
                <w:kern w:val="0"/>
                <w:sz w:val="24"/>
                <w:szCs w:val="24"/>
                <w:highlight w:val="none"/>
                <w:lang w:val="en-US" w:eastAsia="zh-CN"/>
              </w:rPr>
              <w:t>1.563</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lang w:val="en-US" w:eastAsia="zh-CN"/>
              </w:rPr>
              <w:t>46</w:t>
            </w:r>
            <w:r>
              <w:rPr>
                <w:rFonts w:hint="eastAsia" w:cs="Times New Roman"/>
                <w:color w:val="auto"/>
                <w:kern w:val="0"/>
                <w:sz w:val="24"/>
                <w:szCs w:val="24"/>
                <w:highlight w:val="none"/>
                <w:lang w:val="en-US" w:eastAsia="zh-CN"/>
              </w:rPr>
              <w:t>8.9</w:t>
            </w:r>
            <w:r>
              <w:rPr>
                <w:rFonts w:hint="default" w:ascii="Times New Roman" w:hAnsi="Times New Roman" w:eastAsia="宋体" w:cs="Times New Roman"/>
                <w:color w:val="auto"/>
                <w:kern w:val="0"/>
                <w:sz w:val="24"/>
                <w:szCs w:val="24"/>
                <w:highlight w:val="none"/>
                <w:lang w:val="en-US" w:eastAsia="zh-CN"/>
              </w:rPr>
              <w:t>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/a；</w:t>
            </w:r>
            <w:r>
              <w:rPr>
                <w:rFonts w:hint="default" w:ascii="Times New Roman" w:hAnsi="Times New Roman" w:eastAsia="宋体" w:cs="Times New Roman"/>
                <w:color w:val="auto"/>
                <w:sz w:val="24"/>
                <w:szCs w:val="24"/>
                <w:highlight w:val="none"/>
                <w:lang w:eastAsia="zh-CN"/>
              </w:rPr>
              <w:t>降尘用水</w:t>
            </w:r>
            <w:r>
              <w:rPr>
                <w:rFonts w:hint="default" w:ascii="Times New Roman" w:hAnsi="Times New Roman" w:eastAsia="宋体" w:cs="Times New Roman"/>
                <w:color w:val="auto"/>
                <w:kern w:val="0"/>
                <w:sz w:val="24"/>
                <w:szCs w:val="24"/>
                <w:highlight w:val="none"/>
              </w:rPr>
              <w:t>量为</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lang w:val="en-US" w:eastAsia="zh-CN"/>
              </w:rPr>
              <w:t>900m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/a</w:t>
            </w:r>
            <w:r>
              <w:rPr>
                <w:rFonts w:hint="default" w:ascii="Times New Roman" w:hAnsi="Times New Roman" w:eastAsia="宋体" w:cs="Times New Roman"/>
                <w:color w:val="auto"/>
                <w:kern w:val="0"/>
                <w:sz w:val="24"/>
                <w:szCs w:val="24"/>
                <w:highlight w:val="none"/>
              </w:rPr>
              <w:t>。</w:t>
            </w:r>
          </w:p>
          <w:p w14:paraId="2A52D131">
            <w:pPr>
              <w:pStyle w:val="112"/>
              <w:keepNext w:val="0"/>
              <w:keepLines w:val="0"/>
              <w:pageBreakBefore w:val="0"/>
              <w:kinsoku/>
              <w:wordWrap/>
              <w:overflowPunct/>
              <w:topLinePunct w:val="0"/>
              <w:autoSpaceDE/>
              <w:autoSpaceDN/>
              <w:bidi w:val="0"/>
              <w:adjustRightInd/>
              <w:snapToGrid/>
              <w:spacing w:before="0" w:beforeLines="0" w:after="0" w:afterLines="0" w:line="480" w:lineRule="exac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kern w:val="0"/>
                <w:sz w:val="24"/>
                <w:szCs w:val="24"/>
                <w:highlight w:val="none"/>
                <w:lang w:val="en-US" w:eastAsia="zh-CN"/>
              </w:rPr>
              <w:t>排水</w:t>
            </w:r>
            <w:r>
              <w:rPr>
                <w:rFonts w:hint="default" w:ascii="Times New Roman" w:hAnsi="Times New Roman" w:eastAsia="宋体" w:cs="Times New Roman"/>
                <w:b/>
                <w:bCs/>
                <w:color w:val="auto"/>
                <w:kern w:val="0"/>
                <w:sz w:val="24"/>
                <w:szCs w:val="24"/>
                <w:highlight w:val="none"/>
              </w:rPr>
              <w:t>：</w:t>
            </w:r>
            <w:r>
              <w:rPr>
                <w:rFonts w:hint="default" w:ascii="Times New Roman" w:hAnsi="Times New Roman" w:eastAsia="宋体" w:cs="Times New Roman"/>
                <w:color w:val="auto"/>
                <w:sz w:val="24"/>
                <w:szCs w:val="24"/>
                <w:highlight w:val="none"/>
                <w:lang w:eastAsia="zh-CN"/>
              </w:rPr>
              <w:t>中频感应电炉冷却水全部循环使用，混砂用水、绿化用水</w:t>
            </w:r>
            <w:r>
              <w:rPr>
                <w:rFonts w:hint="default" w:ascii="Times New Roman" w:hAnsi="Times New Roman" w:eastAsia="宋体" w:cs="Times New Roman"/>
                <w:color w:val="auto"/>
                <w:sz w:val="24"/>
                <w:szCs w:val="24"/>
                <w:highlight w:val="none"/>
                <w:lang w:val="en-US" w:eastAsia="zh-CN"/>
              </w:rPr>
              <w:t>及</w:t>
            </w:r>
            <w:r>
              <w:rPr>
                <w:rFonts w:hint="default" w:ascii="Times New Roman" w:hAnsi="Times New Roman" w:eastAsia="宋体" w:cs="Times New Roman"/>
                <w:color w:val="auto"/>
                <w:sz w:val="24"/>
                <w:szCs w:val="24"/>
                <w:highlight w:val="none"/>
                <w:lang w:eastAsia="zh-CN"/>
              </w:rPr>
              <w:t>降尘用水全部蒸发，生产过程中无废水外排，</w:t>
            </w:r>
            <w:r>
              <w:rPr>
                <w:rFonts w:hint="default" w:ascii="Times New Roman" w:hAnsi="Times New Roman" w:eastAsia="宋体" w:cs="Times New Roman"/>
                <w:color w:val="auto"/>
                <w:kern w:val="0"/>
                <w:sz w:val="24"/>
                <w:szCs w:val="24"/>
                <w:highlight w:val="none"/>
                <w:lang w:eastAsia="zh-CN"/>
              </w:rPr>
              <w:t>本</w:t>
            </w:r>
            <w:r>
              <w:rPr>
                <w:rFonts w:hint="default" w:ascii="Times New Roman" w:hAnsi="Times New Roman" w:eastAsia="宋体" w:cs="Times New Roman"/>
                <w:color w:val="auto"/>
                <w:kern w:val="0"/>
                <w:sz w:val="24"/>
                <w:szCs w:val="24"/>
                <w:highlight w:val="none"/>
              </w:rPr>
              <w:t>项目废水为职工生活污水</w:t>
            </w:r>
            <w:r>
              <w:rPr>
                <w:rFonts w:hint="default" w:ascii="Times New Roman" w:hAnsi="Times New Roman" w:eastAsia="宋体" w:cs="Times New Roman"/>
                <w:color w:val="auto"/>
                <w:kern w:val="0"/>
                <w:sz w:val="24"/>
                <w:szCs w:val="24"/>
                <w:highlight w:val="none"/>
                <w:lang w:eastAsia="zh-CN"/>
              </w:rPr>
              <w:t>和食堂废水</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lang w:eastAsia="zh-CN"/>
              </w:rPr>
              <w:t>废水产生总量为</w:t>
            </w:r>
            <w:r>
              <w:rPr>
                <w:rFonts w:hint="default" w:ascii="Times New Roman" w:hAnsi="Times New Roman" w:eastAsia="宋体" w:cs="Times New Roman"/>
                <w:color w:val="auto"/>
                <w:sz w:val="24"/>
                <w:szCs w:val="24"/>
                <w:highlight w:val="none"/>
                <w:lang w:val="en-US" w:eastAsia="zh-CN"/>
              </w:rPr>
              <w:t>3.789</w:t>
            </w:r>
            <w:r>
              <w:rPr>
                <w:rFonts w:hint="default" w:ascii="Times New Roman" w:hAnsi="Times New Roman" w:eastAsia="宋体" w:cs="Times New Roman"/>
                <w:color w:val="auto"/>
                <w:kern w:val="0"/>
                <w:sz w:val="24"/>
                <w:szCs w:val="24"/>
                <w:highlight w:val="none"/>
              </w:rPr>
              <w:t>m</w:t>
            </w:r>
            <w:r>
              <w:rPr>
                <w:rFonts w:hint="default" w:ascii="Times New Roman" w:hAnsi="Times New Roman" w:eastAsia="宋体" w:cs="Times New Roman"/>
                <w:color w:val="auto"/>
                <w:kern w:val="0"/>
                <w:sz w:val="24"/>
                <w:szCs w:val="24"/>
                <w:highlight w:val="none"/>
                <w:vertAlign w:val="superscript"/>
              </w:rPr>
              <w:t>3</w:t>
            </w:r>
            <w:r>
              <w:rPr>
                <w:rFonts w:hint="default" w:ascii="Times New Roman" w:hAnsi="Times New Roman" w:eastAsia="宋体" w:cs="Times New Roman"/>
                <w:color w:val="auto"/>
                <w:kern w:val="0"/>
                <w:sz w:val="24"/>
                <w:szCs w:val="24"/>
                <w:highlight w:val="none"/>
              </w:rPr>
              <w:t>/d，</w:t>
            </w:r>
            <w:r>
              <w:rPr>
                <w:rFonts w:hint="default" w:ascii="Times New Roman" w:hAnsi="Times New Roman" w:eastAsia="宋体" w:cs="Times New Roman"/>
                <w:color w:val="auto"/>
                <w:kern w:val="0"/>
                <w:sz w:val="24"/>
                <w:szCs w:val="24"/>
                <w:highlight w:val="none"/>
                <w:lang w:val="en-US" w:eastAsia="zh-CN"/>
              </w:rPr>
              <w:t>1136.7</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其中，</w:t>
            </w:r>
            <w:r>
              <w:rPr>
                <w:rFonts w:hint="default" w:ascii="Times New Roman" w:hAnsi="Times New Roman" w:eastAsia="宋体" w:cs="Times New Roman"/>
                <w:color w:val="auto"/>
                <w:kern w:val="0"/>
                <w:sz w:val="24"/>
                <w:szCs w:val="24"/>
                <w:highlight w:val="none"/>
              </w:rPr>
              <w:t>生活污水产生量为</w:t>
            </w:r>
            <w:r>
              <w:rPr>
                <w:rFonts w:hint="default" w:ascii="Times New Roman" w:hAnsi="Times New Roman" w:eastAsia="宋体" w:cs="Times New Roman"/>
                <w:color w:val="auto"/>
                <w:sz w:val="24"/>
                <w:szCs w:val="24"/>
                <w:highlight w:val="none"/>
                <w:lang w:val="en-US" w:eastAsia="zh-CN"/>
              </w:rPr>
              <w:t>3.056</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916.</w:t>
            </w:r>
            <w:r>
              <w:rPr>
                <w:rFonts w:hint="eastAsia"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食堂废水产生量为0.733</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/d，</w:t>
            </w:r>
            <w:r>
              <w:rPr>
                <w:rFonts w:hint="default" w:ascii="Times New Roman" w:hAnsi="Times New Roman" w:eastAsia="宋体" w:cs="Times New Roman"/>
                <w:color w:val="auto"/>
                <w:sz w:val="24"/>
                <w:szCs w:val="24"/>
                <w:highlight w:val="none"/>
                <w:lang w:val="en-US" w:eastAsia="zh-CN"/>
              </w:rPr>
              <w:t>220</w:t>
            </w:r>
            <w:r>
              <w:rPr>
                <w:rFonts w:hint="default" w:ascii="Times New Roman" w:hAnsi="Times New Roman" w:eastAsia="宋体" w:cs="Times New Roman"/>
                <w:color w:val="auto"/>
                <w:sz w:val="24"/>
                <w:szCs w:val="24"/>
                <w:highlight w:val="none"/>
              </w:rPr>
              <w:t>m</w:t>
            </w:r>
            <w:r>
              <w:rPr>
                <w:rFonts w:hint="default" w:ascii="Times New Roman" w:hAnsi="Times New Roman" w:eastAsia="宋体" w:cs="Times New Roman"/>
                <w:color w:val="auto"/>
                <w:sz w:val="24"/>
                <w:szCs w:val="24"/>
                <w:highlight w:val="none"/>
                <w:vertAlign w:val="superscript"/>
              </w:rPr>
              <w:t>3</w:t>
            </w:r>
            <w:r>
              <w:rPr>
                <w:rFonts w:hint="default" w:ascii="Times New Roman" w:hAnsi="Times New Roman" w:eastAsia="宋体" w:cs="Times New Roman"/>
                <w:color w:val="auto"/>
                <w:sz w:val="24"/>
                <w:szCs w:val="24"/>
                <w:highlight w:val="none"/>
              </w:rPr>
              <w:t>/a</w:t>
            </w:r>
            <w:r>
              <w:rPr>
                <w:rFonts w:hint="default" w:ascii="Times New Roman" w:hAnsi="Times New Roman" w:eastAsia="宋体" w:cs="Times New Roman"/>
                <w:color w:val="auto"/>
                <w:kern w:val="0"/>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食堂废水经隔油池隔油后，与生活污水一同进入</w:t>
            </w:r>
            <w:r>
              <w:rPr>
                <w:rFonts w:hint="default" w:ascii="Times New Roman" w:hAnsi="Times New Roman" w:eastAsia="宋体" w:cs="Times New Roman"/>
                <w:color w:val="auto"/>
                <w:sz w:val="24"/>
                <w:szCs w:val="24"/>
                <w:highlight w:val="none"/>
              </w:rPr>
              <w:t>厂区化粪池进行预处理</w:t>
            </w:r>
            <w:r>
              <w:rPr>
                <w:rFonts w:hint="default" w:ascii="Times New Roman" w:hAnsi="Times New Roman" w:eastAsia="宋体" w:cs="Times New Roman"/>
                <w:color w:val="auto"/>
                <w:sz w:val="24"/>
                <w:szCs w:val="24"/>
                <w:highlight w:val="none"/>
                <w:lang w:val="en-US" w:eastAsia="zh-CN"/>
              </w:rPr>
              <w:t>后</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排入园区污水管网，最终进入行唐县第二污水处理厂进行深度处理</w:t>
            </w:r>
            <w:r>
              <w:rPr>
                <w:rFonts w:hint="default" w:ascii="Times New Roman" w:hAnsi="Times New Roman" w:eastAsia="宋体" w:cs="Times New Roman"/>
                <w:color w:val="auto"/>
                <w:sz w:val="24"/>
                <w:szCs w:val="24"/>
                <w:highlight w:val="none"/>
              </w:rPr>
              <w:t>。</w:t>
            </w:r>
          </w:p>
          <w:p w14:paraId="7D9E928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eastAsia" w:cs="Times New Roman"/>
                <w:b w:val="0"/>
                <w:bCs/>
                <w:color w:val="auto"/>
                <w:spacing w:val="0"/>
                <w:w w:val="100"/>
                <w:kern w:val="2"/>
                <w:sz w:val="24"/>
                <w:szCs w:val="24"/>
                <w:highlight w:val="none"/>
                <w:lang w:val="en-US" w:eastAsia="zh-CN" w:bidi="ar-SA"/>
              </w:rPr>
              <w:t>现有</w:t>
            </w:r>
            <w:r>
              <w:rPr>
                <w:rFonts w:hint="default" w:ascii="Times New Roman" w:hAnsi="Times New Roman" w:eastAsia="宋体" w:cs="Times New Roman"/>
                <w:color w:val="auto"/>
                <w:sz w:val="24"/>
                <w:szCs w:val="24"/>
                <w:highlight w:val="none"/>
                <w:lang w:val="en-US" w:eastAsia="zh-CN"/>
              </w:rPr>
              <w:t>项目水平衡图见图3-1。</w:t>
            </w:r>
          </w:p>
          <w:p w14:paraId="053120B2">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b/>
                <w:bCs/>
                <w:color w:val="auto"/>
                <w:sz w:val="24"/>
                <w:highlight w:val="none"/>
                <w:lang w:eastAsia="zh-CN"/>
              </w:rPr>
              <w:drawing>
                <wp:anchor distT="0" distB="0" distL="114300" distR="114300" simplePos="0" relativeHeight="251661312" behindDoc="1" locked="0" layoutInCell="1" allowOverlap="1">
                  <wp:simplePos x="0" y="0"/>
                  <wp:positionH relativeFrom="column">
                    <wp:posOffset>593725</wp:posOffset>
                  </wp:positionH>
                  <wp:positionV relativeFrom="paragraph">
                    <wp:posOffset>17145</wp:posOffset>
                  </wp:positionV>
                  <wp:extent cx="3856990" cy="3161030"/>
                  <wp:effectExtent l="0" t="0" r="0" b="0"/>
                  <wp:wrapNone/>
                  <wp:docPr id="1" name="ECB019B1-382A-4266-B25C-5B523AA43C14-1" descr="F:/wps.IOxKAn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CB019B1-382A-4266-B25C-5B523AA43C14-1" descr="F:/wps.IOxKAnwps"/>
                          <pic:cNvPicPr>
                            <a:picLocks noChangeAspect="1"/>
                          </pic:cNvPicPr>
                        </pic:nvPicPr>
                        <pic:blipFill>
                          <a:blip r:embed="rId8">
                            <a:clrChange>
                              <a:clrFrom>
                                <a:srgbClr val="FFFFFF"/>
                              </a:clrFrom>
                              <a:clrTo>
                                <a:srgbClr val="FFFFFF">
                                  <a:alpha val="0"/>
                                </a:srgbClr>
                              </a:clrTo>
                            </a:clrChange>
                          </a:blip>
                          <a:srcRect l="7953" t="7550" r="2930" b="3207"/>
                          <a:stretch>
                            <a:fillRect/>
                          </a:stretch>
                        </pic:blipFill>
                        <pic:spPr>
                          <a:xfrm>
                            <a:off x="0" y="0"/>
                            <a:ext cx="3856990" cy="3161030"/>
                          </a:xfrm>
                          <a:prstGeom prst="rect">
                            <a:avLst/>
                          </a:prstGeom>
                          <a:noFill/>
                          <a:ln>
                            <a:noFill/>
                          </a:ln>
                        </pic:spPr>
                      </pic:pic>
                    </a:graphicData>
                  </a:graphic>
                </wp:anchor>
              </w:drawing>
            </w:r>
          </w:p>
          <w:p w14:paraId="2BC269F9">
            <w:pPr>
              <w:outlineLvl w:val="9"/>
              <w:rPr>
                <w:rFonts w:hint="default"/>
                <w:color w:val="auto"/>
                <w:highlight w:val="none"/>
                <w:lang w:val="en-US" w:eastAsia="zh-CN"/>
              </w:rPr>
            </w:pPr>
          </w:p>
          <w:p w14:paraId="21C76C2B">
            <w:pPr>
              <w:pStyle w:val="110"/>
              <w:keepNext w:val="0"/>
              <w:keepLines w:val="0"/>
              <w:pageBreakBefore w:val="0"/>
              <w:widowControl w:val="0"/>
              <w:kinsoku/>
              <w:wordWrap/>
              <w:overflowPunct/>
              <w:topLinePunct w:val="0"/>
              <w:bidi w:val="0"/>
              <w:adjustRightInd/>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p>
          <w:p w14:paraId="0E0EEEB6">
            <w:pPr>
              <w:pStyle w:val="110"/>
              <w:keepNext w:val="0"/>
              <w:keepLines w:val="0"/>
              <w:pageBreakBefore w:val="0"/>
              <w:widowControl w:val="0"/>
              <w:kinsoku/>
              <w:wordWrap/>
              <w:overflowPunct/>
              <w:topLinePunct w:val="0"/>
              <w:bidi w:val="0"/>
              <w:adjustRightInd/>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p>
          <w:p w14:paraId="2DEA0508">
            <w:pPr>
              <w:pStyle w:val="110"/>
              <w:keepNext w:val="0"/>
              <w:keepLines w:val="0"/>
              <w:pageBreakBefore w:val="0"/>
              <w:widowControl w:val="0"/>
              <w:kinsoku/>
              <w:wordWrap/>
              <w:overflowPunct/>
              <w:topLinePunct w:val="0"/>
              <w:bidi w:val="0"/>
              <w:adjustRightInd/>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p>
          <w:p w14:paraId="1450DC08">
            <w:pPr>
              <w:jc w:val="center"/>
              <w:rPr>
                <w:rFonts w:hint="default" w:ascii="Times New Roman" w:hAnsi="Times New Roman" w:eastAsia="宋体" w:cs="Times New Roman"/>
                <w:b/>
                <w:bCs/>
                <w:color w:val="auto"/>
                <w:sz w:val="24"/>
                <w:szCs w:val="24"/>
                <w:highlight w:val="none"/>
                <w:lang w:val="en-US" w:eastAsia="zh-CN"/>
              </w:rPr>
            </w:pPr>
          </w:p>
          <w:p w14:paraId="4702A9DC">
            <w:pPr>
              <w:jc w:val="center"/>
              <w:rPr>
                <w:rFonts w:hint="default" w:ascii="Times New Roman" w:hAnsi="Times New Roman" w:eastAsia="宋体" w:cs="Times New Roman"/>
                <w:b/>
                <w:bCs/>
                <w:color w:val="auto"/>
                <w:sz w:val="24"/>
                <w:szCs w:val="24"/>
                <w:highlight w:val="none"/>
                <w:lang w:val="en-US" w:eastAsia="zh-CN"/>
              </w:rPr>
            </w:pPr>
          </w:p>
          <w:p w14:paraId="480B11A0">
            <w:pPr>
              <w:pStyle w:val="34"/>
              <w:rPr>
                <w:rFonts w:hint="default" w:ascii="Times New Roman" w:hAnsi="Times New Roman" w:eastAsia="宋体" w:cs="Times New Roman"/>
                <w:b/>
                <w:bCs/>
                <w:color w:val="auto"/>
                <w:sz w:val="24"/>
                <w:szCs w:val="24"/>
                <w:highlight w:val="none"/>
                <w:lang w:val="en-US" w:eastAsia="zh-CN"/>
              </w:rPr>
            </w:pPr>
          </w:p>
          <w:p w14:paraId="14C87833">
            <w:pPr>
              <w:rPr>
                <w:rFonts w:hint="default" w:ascii="Times New Roman" w:hAnsi="Times New Roman" w:eastAsia="宋体" w:cs="Times New Roman"/>
                <w:b/>
                <w:bCs/>
                <w:color w:val="auto"/>
                <w:sz w:val="24"/>
                <w:szCs w:val="24"/>
                <w:highlight w:val="none"/>
                <w:lang w:val="en-US" w:eastAsia="zh-CN"/>
              </w:rPr>
            </w:pPr>
          </w:p>
          <w:p w14:paraId="1714FFE9">
            <w:pPr>
              <w:pStyle w:val="34"/>
              <w:rPr>
                <w:rFonts w:hint="default"/>
                <w:color w:val="auto"/>
                <w:highlight w:val="none"/>
                <w:lang w:val="en-US" w:eastAsia="zh-CN"/>
              </w:rPr>
            </w:pPr>
          </w:p>
          <w:p w14:paraId="2F7140AA">
            <w:pPr>
              <w:pStyle w:val="34"/>
              <w:rPr>
                <w:rFonts w:hint="default" w:ascii="Times New Roman" w:hAnsi="Times New Roman" w:eastAsia="宋体" w:cs="Times New Roman"/>
                <w:b/>
                <w:bCs/>
                <w:color w:val="auto"/>
                <w:sz w:val="24"/>
                <w:szCs w:val="24"/>
                <w:highlight w:val="none"/>
                <w:lang w:val="en-US" w:eastAsia="zh-CN"/>
              </w:rPr>
            </w:pPr>
          </w:p>
          <w:p w14:paraId="5440A111">
            <w:pPr>
              <w:rPr>
                <w:rFonts w:hint="default"/>
                <w:color w:val="auto"/>
                <w:highlight w:val="none"/>
                <w:lang w:val="en-US" w:eastAsia="zh-CN"/>
              </w:rPr>
            </w:pPr>
          </w:p>
          <w:p w14:paraId="08A94F60">
            <w:pPr>
              <w:jc w:val="center"/>
              <w:rPr>
                <w:rFonts w:hint="default" w:ascii="Times New Roman" w:hAnsi="Times New Roman" w:eastAsia="宋体" w:cs="Times New Roman"/>
                <w:b/>
                <w:bCs/>
                <w:color w:val="auto"/>
                <w:sz w:val="24"/>
                <w:szCs w:val="24"/>
                <w:highlight w:val="none"/>
                <w:lang w:val="en-US" w:eastAsia="zh-CN"/>
              </w:rPr>
            </w:pPr>
          </w:p>
          <w:p w14:paraId="0E61CAEC">
            <w:pPr>
              <w:jc w:val="center"/>
              <w:rPr>
                <w:rFonts w:hint="default" w:ascii="Times New Roman" w:hAnsi="Times New Roman" w:eastAsia="宋体" w:cs="Times New Roman"/>
                <w:b/>
                <w:bCs/>
                <w:color w:val="auto"/>
                <w:sz w:val="24"/>
                <w:szCs w:val="24"/>
                <w:highlight w:val="none"/>
                <w:lang w:val="en-US" w:eastAsia="zh-CN"/>
              </w:rPr>
            </w:pPr>
          </w:p>
          <w:p w14:paraId="2D8A8DCB">
            <w:pPr>
              <w:jc w:val="center"/>
              <w:rPr>
                <w:rFonts w:hint="default" w:ascii="Times New Roman" w:hAnsi="Times New Roman"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图</w:t>
            </w:r>
            <w:r>
              <w:rPr>
                <w:rFonts w:hint="eastAsia" w:ascii="Times New Roman" w:hAnsi="Times New Roman" w:eastAsia="宋体"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 xml:space="preserve">-1  </w:t>
            </w:r>
            <w:r>
              <w:rPr>
                <w:rFonts w:hint="eastAsia" w:ascii="Times New Roman" w:hAnsi="Times New Roman" w:eastAsia="宋体" w:cs="Times New Roman"/>
                <w:b/>
                <w:bCs/>
                <w:color w:val="auto"/>
                <w:sz w:val="24"/>
                <w:szCs w:val="24"/>
                <w:highlight w:val="none"/>
                <w:lang w:val="en-US" w:eastAsia="zh-CN"/>
              </w:rPr>
              <w:t>现有</w:t>
            </w:r>
            <w:r>
              <w:rPr>
                <w:rFonts w:hint="default" w:ascii="Times New Roman" w:hAnsi="Times New Roman" w:eastAsia="宋体" w:cs="Times New Roman"/>
                <w:b/>
                <w:bCs/>
                <w:color w:val="auto"/>
                <w:sz w:val="24"/>
                <w:szCs w:val="24"/>
                <w:highlight w:val="none"/>
                <w:lang w:val="en-US" w:eastAsia="zh-CN"/>
              </w:rPr>
              <w:t>项目水平衡图</w:t>
            </w:r>
            <w:r>
              <w:rPr>
                <w:rFonts w:hint="default" w:ascii="Times New Roman" w:hAnsi="Times New Roman" w:cs="Times New Roman"/>
                <w:b/>
                <w:bCs/>
                <w:color w:val="auto"/>
                <w:sz w:val="24"/>
                <w:szCs w:val="24"/>
                <w:highlight w:val="none"/>
              </w:rPr>
              <w:t>（单位</w:t>
            </w:r>
            <w:r>
              <w:rPr>
                <w:rFonts w:hint="default" w:ascii="Times New Roman" w:hAnsi="Times New Roman" w:cs="Times New Roman"/>
                <w:b/>
                <w:bCs/>
                <w:color w:val="auto"/>
                <w:sz w:val="24"/>
                <w:szCs w:val="24"/>
                <w:highlight w:val="none"/>
                <w:lang w:eastAsia="zh-CN"/>
              </w:rPr>
              <w:t>：</w:t>
            </w:r>
            <w:r>
              <w:rPr>
                <w:rFonts w:hint="default" w:ascii="Times New Roman" w:hAnsi="Times New Roman" w:cs="Times New Roman"/>
                <w:b/>
                <w:bCs/>
                <w:color w:val="auto"/>
                <w:sz w:val="24"/>
                <w:szCs w:val="24"/>
                <w:highlight w:val="none"/>
              </w:rPr>
              <w:t>m</w:t>
            </w:r>
            <w:r>
              <w:rPr>
                <w:rFonts w:hint="default" w:ascii="Times New Roman" w:hAnsi="Times New Roman" w:cs="Times New Roman"/>
                <w:b/>
                <w:bCs/>
                <w:color w:val="auto"/>
                <w:sz w:val="24"/>
                <w:szCs w:val="24"/>
                <w:highlight w:val="none"/>
                <w:vertAlign w:val="superscript"/>
              </w:rPr>
              <w:t>3</w:t>
            </w:r>
            <w:r>
              <w:rPr>
                <w:rFonts w:hint="default" w:ascii="Times New Roman" w:hAnsi="Times New Roman" w:cs="Times New Roman"/>
                <w:b/>
                <w:bCs/>
                <w:color w:val="auto"/>
                <w:sz w:val="24"/>
                <w:szCs w:val="24"/>
                <w:highlight w:val="none"/>
              </w:rPr>
              <w:t>/d）</w:t>
            </w:r>
          </w:p>
          <w:p w14:paraId="52C7EFEA">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5、生产工艺</w:t>
            </w:r>
            <w:bookmarkEnd w:id="7"/>
            <w:r>
              <w:rPr>
                <w:rFonts w:hint="eastAsia" w:ascii="Times New Roman" w:hAnsi="Times New Roman" w:eastAsia="宋体" w:cs="Times New Roman"/>
                <w:b w:val="0"/>
                <w:bCs w:val="0"/>
                <w:color w:val="auto"/>
                <w:kern w:val="2"/>
                <w:sz w:val="24"/>
                <w:szCs w:val="24"/>
                <w:highlight w:val="none"/>
                <w:lang w:val="en-US" w:eastAsia="zh-CN" w:bidi="ar-SA"/>
              </w:rPr>
              <w:t>及排污节点</w:t>
            </w:r>
          </w:p>
          <w:bookmarkEnd w:id="8"/>
          <w:p w14:paraId="5EBCEFC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bCs/>
                <w:color w:val="auto"/>
                <w:sz w:val="24"/>
                <w:szCs w:val="24"/>
                <w:highlight w:val="none"/>
                <w:lang w:val="en-US" w:eastAsia="zh-CN"/>
              </w:rPr>
            </w:pPr>
            <w:r>
              <w:rPr>
                <w:rFonts w:hint="default" w:ascii="Times New Roman" w:hAnsi="Times New Roman" w:cs="Times New Roman"/>
                <w:bCs/>
                <w:color w:val="auto"/>
                <w:sz w:val="24"/>
                <w:szCs w:val="24"/>
                <w:highlight w:val="none"/>
                <w:lang w:val="en-US" w:eastAsia="zh-CN"/>
              </w:rPr>
              <w:t>企业</w:t>
            </w:r>
            <w:r>
              <w:rPr>
                <w:rFonts w:hint="eastAsia" w:cs="Times New Roman"/>
                <w:bCs/>
                <w:color w:val="auto"/>
                <w:sz w:val="24"/>
                <w:szCs w:val="24"/>
                <w:highlight w:val="none"/>
                <w:lang w:val="en-US" w:eastAsia="zh-CN"/>
              </w:rPr>
              <w:t>现有</w:t>
            </w:r>
            <w:r>
              <w:rPr>
                <w:rFonts w:hint="default" w:ascii="Times New Roman" w:hAnsi="Times New Roman" w:cs="Times New Roman"/>
                <w:bCs/>
                <w:color w:val="auto"/>
                <w:sz w:val="24"/>
                <w:szCs w:val="24"/>
                <w:highlight w:val="none"/>
                <w:lang w:val="en-US" w:eastAsia="zh-CN"/>
              </w:rPr>
              <w:t>主要生产</w:t>
            </w:r>
            <w:r>
              <w:rPr>
                <w:rFonts w:hint="default" w:ascii="Times New Roman" w:hAnsi="Times New Roman" w:cs="Times New Roman"/>
                <w:color w:val="auto"/>
                <w:sz w:val="24"/>
                <w:szCs w:val="24"/>
                <w:highlight w:val="none"/>
                <w:lang w:val="en-US" w:eastAsia="zh-CN"/>
              </w:rPr>
              <w:t>制动盘、制动鼓，具体工艺流程如下</w:t>
            </w:r>
            <w:r>
              <w:rPr>
                <w:rFonts w:hint="default" w:ascii="Times New Roman" w:hAnsi="Times New Roman" w:cs="Times New Roman"/>
                <w:bCs/>
                <w:color w:val="auto"/>
                <w:sz w:val="24"/>
                <w:szCs w:val="24"/>
                <w:highlight w:val="none"/>
                <w:lang w:val="en-US" w:eastAsia="zh-CN"/>
              </w:rPr>
              <w:t>。</w:t>
            </w:r>
          </w:p>
          <w:p w14:paraId="5D6E4883">
            <w:pPr>
              <w:spacing w:line="480" w:lineRule="exact"/>
              <w:jc w:val="right"/>
              <w:rPr>
                <w:rFonts w:hint="default" w:ascii="Times New Roman" w:hAnsi="Times New Roman" w:cs="Times New Roman"/>
                <w:bCs/>
                <w:color w:val="auto"/>
                <w:sz w:val="24"/>
                <w:szCs w:val="24"/>
                <w:highlight w:val="none"/>
              </w:rPr>
            </w:pPr>
            <w:r>
              <w:rPr>
                <w:sz w:val="21"/>
              </w:rPr>
              <mc:AlternateContent>
                <mc:Choice Requires="wps">
                  <w:drawing>
                    <wp:anchor distT="0" distB="0" distL="114300" distR="114300" simplePos="0" relativeHeight="251664384" behindDoc="0" locked="0" layoutInCell="1" allowOverlap="1">
                      <wp:simplePos x="0" y="0"/>
                      <wp:positionH relativeFrom="column">
                        <wp:posOffset>1274445</wp:posOffset>
                      </wp:positionH>
                      <wp:positionV relativeFrom="paragraph">
                        <wp:posOffset>1425575</wp:posOffset>
                      </wp:positionV>
                      <wp:extent cx="855980" cy="340360"/>
                      <wp:effectExtent l="12700" t="12700" r="22225" b="26670"/>
                      <wp:wrapNone/>
                      <wp:docPr id="7" name="矩形 7"/>
                      <wp:cNvGraphicFramePr/>
                      <a:graphic xmlns:a="http://schemas.openxmlformats.org/drawingml/2006/main">
                        <a:graphicData uri="http://schemas.microsoft.com/office/word/2010/wordprocessingShape">
                          <wps:wsp>
                            <wps:cNvSpPr/>
                            <wps:spPr>
                              <a:xfrm>
                                <a:off x="2459355" y="7197090"/>
                                <a:ext cx="855980" cy="340360"/>
                              </a:xfrm>
                              <a:prstGeom prst="rect">
                                <a:avLst/>
                              </a:prstGeom>
                              <a:solidFill>
                                <a:schemeClr val="bg1"/>
                              </a:solidFill>
                            </wps:spPr>
                            <wps:style>
                              <a:lnRef idx="2">
                                <a:schemeClr val="accent1">
                                  <a:lumMod val="75000"/>
                                </a:schemeClr>
                              </a:lnRef>
                              <a:fillRef idx="1">
                                <a:schemeClr val="accent1"/>
                              </a:fillRef>
                              <a:effectRef idx="0">
                                <a:srgbClr val="FFFFFF"/>
                              </a:effectRef>
                              <a:fontRef idx="minor">
                                <a:schemeClr val="lt1"/>
                              </a:fontRef>
                            </wps:style>
                            <wps:txbx>
                              <w:txbxContent>
                                <w:p w14:paraId="2057C38A">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不再烤包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00.35pt;margin-top:112.25pt;height:26.8pt;width:67.4pt;z-index:251664384;v-text-anchor:middle;mso-width-relative:page;mso-height-relative:page;" fillcolor="#FFFFFF [3212]" filled="t" stroked="t" coordsize="21600,21600" o:gfxdata="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">
                      <v:fill on="t" focussize="0,0"/>
                      <v:stroke weight="2pt" color="#376092 [2404]" joinstyle="round"/>
                      <v:imagedata o:title=""/>
                      <o:lock v:ext="edit" aspectratio="f"/>
                      <v:textbox>
                        <w:txbxContent>
                          <w:p w14:paraId="2057C38A">
                            <w:pPr>
                              <w:jc w:val="center"/>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不再烤包</w:t>
                            </w:r>
                          </w:p>
                        </w:txbxContent>
                      </v:textbox>
                    </v:rect>
                  </w:pict>
                </mc:Fallback>
              </mc:AlternateContent>
            </w:r>
            <w:r>
              <w:rPr>
                <w:rFonts w:hint="eastAsia" w:ascii="Times New Roman" w:hAnsi="Times New Roman" w:eastAsia="宋体" w:cs="Times New Roman"/>
                <w:color w:val="auto"/>
                <w:sz w:val="21"/>
                <w:szCs w:val="21"/>
                <w:highlight w:val="none"/>
                <w:lang w:eastAsia="zh-CN"/>
              </w:rPr>
              <w:drawing>
                <wp:anchor distT="0" distB="0" distL="114300" distR="114300" simplePos="0" relativeHeight="251662336" behindDoc="0" locked="0" layoutInCell="1" allowOverlap="1">
                  <wp:simplePos x="0" y="0"/>
                  <wp:positionH relativeFrom="column">
                    <wp:posOffset>16510</wp:posOffset>
                  </wp:positionH>
                  <wp:positionV relativeFrom="paragraph">
                    <wp:posOffset>203835</wp:posOffset>
                  </wp:positionV>
                  <wp:extent cx="4928235" cy="2972435"/>
                  <wp:effectExtent l="0" t="0" r="0" b="0"/>
                  <wp:wrapTopAndBottom/>
                  <wp:docPr id="2" name="ECB019B1-382A-4266-B25C-5B523AA43C14-2" descr="F:/wps.jNWMbt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CB019B1-382A-4266-B25C-5B523AA43C14-2" descr="F:/wps.jNWMbtwps"/>
                          <pic:cNvPicPr>
                            <a:picLocks noChangeAspect="1"/>
                          </pic:cNvPicPr>
                        </pic:nvPicPr>
                        <pic:blipFill>
                          <a:blip r:embed="rId9"/>
                          <a:srcRect l="5286" t="9598" r="4153" b="6033"/>
                          <a:stretch>
                            <a:fillRect/>
                          </a:stretch>
                        </pic:blipFill>
                        <pic:spPr>
                          <a:xfrm>
                            <a:off x="0" y="0"/>
                            <a:ext cx="4928235" cy="2972435"/>
                          </a:xfrm>
                          <a:prstGeom prst="rect">
                            <a:avLst/>
                          </a:prstGeom>
                          <a:noFill/>
                          <a:ln>
                            <a:noFill/>
                          </a:ln>
                        </pic:spPr>
                      </pic:pic>
                    </a:graphicData>
                  </a:graphic>
                </wp:anchor>
              </w:drawing>
            </w:r>
            <w:r>
              <w:rPr>
                <w:rFonts w:hint="default" w:ascii="Times New Roman" w:hAnsi="Times New Roman" w:cs="Times New Roman"/>
                <w:color w:val="auto"/>
                <w:sz w:val="24"/>
                <w:szCs w:val="24"/>
                <w:highlight w:val="none"/>
              </w:rPr>
              <w:t>图例：G-废气；N-噪声；S-固废</w:t>
            </w:r>
          </w:p>
          <w:p w14:paraId="045BBAC6">
            <w:pPr>
              <w:pStyle w:val="111"/>
              <w:keepNext w:val="0"/>
              <w:keepLines w:val="0"/>
              <w:pageBreakBefore w:val="0"/>
              <w:kinsoku/>
              <w:wordWrap/>
              <w:overflowPunct/>
              <w:topLinePunct w:val="0"/>
              <w:autoSpaceDE/>
              <w:autoSpaceDN/>
              <w:bidi w:val="0"/>
              <w:adjustRightInd/>
              <w:snapToGrid/>
              <w:spacing w:line="480" w:lineRule="exact"/>
              <w:ind w:left="0" w:leftChars="0" w:firstLine="482" w:firstLineChars="200"/>
              <w:jc w:val="center"/>
              <w:textAlignment w:val="auto"/>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图</w:t>
            </w: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b/>
                <w:bCs/>
                <w:color w:val="000000" w:themeColor="text1"/>
                <w:sz w:val="24"/>
                <w:szCs w:val="24"/>
                <w:highlight w:val="none"/>
                <w14:textFill>
                  <w14:solidFill>
                    <w14:schemeClr w14:val="tx1"/>
                  </w14:solidFill>
                </w14:textFill>
              </w:rPr>
              <w:t>生产工艺流程图</w:t>
            </w:r>
          </w:p>
          <w:p w14:paraId="5E17738C">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熔炼铁水</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采用</w:t>
            </w:r>
            <w:r>
              <w:rPr>
                <w:rFonts w:hint="default" w:ascii="Times New Roman" w:hAnsi="Times New Roman" w:eastAsia="宋体" w:cs="Times New Roman"/>
                <w:color w:val="auto"/>
                <w:sz w:val="24"/>
                <w:szCs w:val="24"/>
                <w:highlight w:val="none"/>
                <w:lang w:eastAsia="zh-CN"/>
              </w:rPr>
              <w:t>中频感应电炉先</w:t>
            </w:r>
            <w:r>
              <w:rPr>
                <w:rFonts w:hint="eastAsia" w:cs="Times New Roman"/>
                <w:color w:val="auto"/>
                <w:sz w:val="24"/>
                <w:szCs w:val="24"/>
                <w:highlight w:val="none"/>
                <w:lang w:val="en-US" w:eastAsia="zh-CN"/>
              </w:rPr>
              <w:t>将生铁</w:t>
            </w:r>
            <w:r>
              <w:rPr>
                <w:rFonts w:hint="default" w:ascii="Times New Roman" w:hAnsi="Times New Roman" w:eastAsia="宋体" w:cs="Times New Roman"/>
                <w:color w:val="auto"/>
                <w:sz w:val="24"/>
                <w:szCs w:val="24"/>
                <w:highlight w:val="none"/>
                <w:lang w:eastAsia="zh-CN"/>
              </w:rPr>
              <w:t>熔成铁水</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eastAsia="zh-CN"/>
              </w:rPr>
              <w:t>后加入硅铁、锰铁、半成品钢、铁豆</w:t>
            </w:r>
            <w:r>
              <w:rPr>
                <w:rFonts w:hint="default" w:ascii="Times New Roman" w:hAnsi="Times New Roman" w:eastAsia="宋体" w:cs="Times New Roman"/>
                <w:color w:val="auto"/>
                <w:sz w:val="24"/>
                <w:szCs w:val="24"/>
                <w:highlight w:val="none"/>
                <w:lang w:val="en-US" w:eastAsia="zh-CN"/>
              </w:rPr>
              <w:t>等</w:t>
            </w:r>
            <w:r>
              <w:rPr>
                <w:rFonts w:hint="eastAsia" w:cs="Times New Roman"/>
                <w:color w:val="auto"/>
                <w:sz w:val="24"/>
                <w:szCs w:val="24"/>
                <w:highlight w:val="none"/>
                <w:lang w:val="en-US" w:eastAsia="zh-CN"/>
              </w:rPr>
              <w:t>进行成份控制</w:t>
            </w:r>
            <w:r>
              <w:rPr>
                <w:rFonts w:hint="default" w:ascii="Times New Roman" w:hAnsi="Times New Roman" w:eastAsia="宋体" w:cs="Times New Roman"/>
                <w:color w:val="auto"/>
                <w:sz w:val="24"/>
                <w:szCs w:val="24"/>
                <w:highlight w:val="none"/>
              </w:rPr>
              <w:t>，铁水完全熔化后倒入铁水包。</w:t>
            </w:r>
          </w:p>
          <w:p w14:paraId="4157334B">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left="0" w:lef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该工序中污染物主要为</w:t>
            </w:r>
            <w:r>
              <w:rPr>
                <w:rFonts w:hint="default" w:ascii="Times New Roman" w:hAnsi="Times New Roman" w:eastAsia="宋体" w:cs="Times New Roman"/>
                <w:color w:val="auto"/>
                <w:sz w:val="24"/>
                <w:szCs w:val="24"/>
                <w:highlight w:val="none"/>
                <w:lang w:eastAsia="zh-CN"/>
              </w:rPr>
              <w:t>金属颗粒物</w:t>
            </w:r>
            <w:r>
              <w:rPr>
                <w:rFonts w:hint="default" w:ascii="Times New Roman" w:hAnsi="Times New Roman" w:eastAsia="宋体" w:cs="Times New Roman"/>
                <w:color w:val="auto"/>
                <w:sz w:val="24"/>
                <w:szCs w:val="24"/>
                <w:highlight w:val="none"/>
              </w:rPr>
              <w:t>（G</w:t>
            </w:r>
            <w:r>
              <w:rPr>
                <w:rFonts w:hint="default" w:ascii="Times New Roman" w:hAnsi="Times New Roman" w:eastAsia="宋体"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、炉渣（</w:t>
            </w:r>
            <w:r>
              <w:rPr>
                <w:rFonts w:hint="default" w:ascii="Times New Roman" w:hAnsi="Times New Roman" w:eastAsia="宋体" w:cs="Times New Roman"/>
                <w:color w:val="auto"/>
                <w:sz w:val="24"/>
                <w:szCs w:val="24"/>
                <w:highlight w:val="none"/>
                <w:lang w:val="en-US" w:eastAsia="zh-CN"/>
              </w:rPr>
              <w:t>S1</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和噪声</w:t>
            </w:r>
            <w:r>
              <w:rPr>
                <w:rFonts w:hint="default" w:ascii="Times New Roman" w:hAnsi="Times New Roman" w:eastAsia="宋体" w:cs="Times New Roman"/>
                <w:color w:val="auto"/>
                <w:sz w:val="24"/>
                <w:szCs w:val="24"/>
                <w:highlight w:val="none"/>
                <w:lang w:val="en-US" w:eastAsia="zh-CN"/>
              </w:rPr>
              <w:t>（N）</w:t>
            </w:r>
            <w:r>
              <w:rPr>
                <w:rFonts w:hint="default" w:ascii="Times New Roman" w:hAnsi="Times New Roman" w:eastAsia="宋体" w:cs="Times New Roman"/>
                <w:color w:val="auto"/>
                <w:sz w:val="24"/>
                <w:szCs w:val="24"/>
                <w:highlight w:val="none"/>
              </w:rPr>
              <w:t>。</w:t>
            </w:r>
          </w:p>
          <w:p w14:paraId="7B9400B9">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）混砂造型</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eastAsia="zh-CN"/>
              </w:rPr>
              <w:t>分别打开造型砂、膨润土料仓底部放料口，各原料经计量装置计量后落入密闭输送带上，放料口与输送带采用密闭管道连接，物料经输送带送入混砂机内，水经计量后由泵打入混砂机内，将各物料混合均匀。本项目使用湿砂造型，湿砂进入造型机沙箱内，根据特定尺寸和规格制成所需型具，预留好浇口后进行合箱。</w:t>
            </w:r>
            <w:r>
              <w:rPr>
                <w:rFonts w:hint="default" w:ascii="Times New Roman" w:hAnsi="Times New Roman" w:eastAsia="宋体" w:cs="Times New Roman"/>
                <w:color w:val="auto"/>
                <w:sz w:val="24"/>
                <w:szCs w:val="24"/>
                <w:highlight w:val="none"/>
              </w:rPr>
              <w:t>该工序中污染物主要为</w:t>
            </w:r>
            <w:r>
              <w:rPr>
                <w:rFonts w:hint="default" w:ascii="Times New Roman" w:hAnsi="Times New Roman" w:eastAsia="宋体" w:cs="Times New Roman"/>
                <w:color w:val="auto"/>
                <w:sz w:val="24"/>
                <w:szCs w:val="24"/>
                <w:highlight w:val="none"/>
                <w:lang w:val="en-US" w:eastAsia="zh-CN"/>
              </w:rPr>
              <w:t>粉尘（G9）、设备噪声（N）。</w:t>
            </w:r>
          </w:p>
          <w:p w14:paraId="7D4A3091">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浇注</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将盛有铁水的铁水包由行车转移到</w:t>
            </w:r>
            <w:r>
              <w:rPr>
                <w:rFonts w:hint="default" w:ascii="Times New Roman" w:hAnsi="Times New Roman" w:eastAsia="宋体" w:cs="Times New Roman"/>
                <w:color w:val="auto"/>
                <w:sz w:val="24"/>
                <w:szCs w:val="24"/>
                <w:highlight w:val="none"/>
                <w:lang w:eastAsia="zh-CN"/>
              </w:rPr>
              <w:t>浇注</w:t>
            </w:r>
            <w:r>
              <w:rPr>
                <w:rFonts w:hint="default" w:ascii="Times New Roman" w:hAnsi="Times New Roman" w:eastAsia="宋体" w:cs="Times New Roman"/>
                <w:color w:val="auto"/>
                <w:sz w:val="24"/>
                <w:szCs w:val="24"/>
                <w:highlight w:val="none"/>
              </w:rPr>
              <w:t>工段上方，</w:t>
            </w:r>
            <w:r>
              <w:rPr>
                <w:rFonts w:hint="default" w:ascii="Times New Roman" w:hAnsi="Times New Roman" w:eastAsia="宋体" w:cs="Times New Roman"/>
                <w:color w:val="auto"/>
                <w:sz w:val="24"/>
                <w:szCs w:val="24"/>
                <w:highlight w:val="none"/>
                <w:lang w:eastAsia="zh-CN"/>
              </w:rPr>
              <w:t>进行浇注</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让砂型内充满铁水，浇注好的铸件进行自然冷却</w:t>
            </w:r>
            <w:r>
              <w:rPr>
                <w:rFonts w:hint="default" w:ascii="Times New Roman" w:hAnsi="Times New Roman" w:eastAsia="宋体" w:cs="Times New Roman"/>
                <w:color w:val="auto"/>
                <w:sz w:val="24"/>
                <w:szCs w:val="24"/>
                <w:highlight w:val="none"/>
              </w:rPr>
              <w:t>。该工序中污染物主要为</w:t>
            </w:r>
            <w:r>
              <w:rPr>
                <w:rFonts w:hint="default" w:ascii="Times New Roman" w:hAnsi="Times New Roman" w:eastAsia="宋体" w:cs="Times New Roman"/>
                <w:color w:val="auto"/>
                <w:sz w:val="24"/>
                <w:szCs w:val="24"/>
                <w:highlight w:val="none"/>
                <w:lang w:eastAsia="zh-CN"/>
              </w:rPr>
              <w:t>浇注</w:t>
            </w:r>
            <w:r>
              <w:rPr>
                <w:rFonts w:hint="default" w:ascii="Times New Roman" w:hAnsi="Times New Roman" w:eastAsia="宋体" w:cs="Times New Roman"/>
                <w:color w:val="auto"/>
                <w:sz w:val="24"/>
                <w:szCs w:val="24"/>
                <w:highlight w:val="none"/>
              </w:rPr>
              <w:t>废气（G</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w:t>
            </w:r>
          </w:p>
          <w:p w14:paraId="6AA972A3">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）翻箱落砂</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eastAsia="zh-CN"/>
              </w:rPr>
              <w:t>行车将砂箱运至落砂坑处，</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进行开箱并清理</w:t>
            </w:r>
            <w:r>
              <w:rPr>
                <w:rFonts w:hint="default" w:ascii="Times New Roman" w:hAnsi="Times New Roman" w:eastAsia="宋体" w:cs="Times New Roman"/>
                <w:color w:val="auto"/>
                <w:sz w:val="24"/>
                <w:szCs w:val="24"/>
                <w:highlight w:val="none"/>
                <w:lang w:eastAsia="zh-CN"/>
              </w:rPr>
              <w:t>铸件外表面的砂，</w:t>
            </w:r>
            <w:r>
              <w:rPr>
                <w:rFonts w:hint="default" w:ascii="Times New Roman" w:hAnsi="Times New Roman" w:eastAsia="宋体" w:cs="Times New Roman"/>
                <w:color w:val="auto"/>
                <w:sz w:val="24"/>
                <w:szCs w:val="24"/>
                <w:highlight w:val="none"/>
                <w:lang w:val="en-US" w:eastAsia="zh-CN"/>
              </w:rPr>
              <w:t>去除浇冒口</w:t>
            </w:r>
            <w:r>
              <w:rPr>
                <w:rFonts w:hint="default" w:ascii="Times New Roman" w:hAnsi="Times New Roman" w:eastAsia="宋体" w:cs="Times New Roman"/>
                <w:color w:val="auto"/>
                <w:sz w:val="24"/>
                <w:szCs w:val="24"/>
                <w:highlight w:val="none"/>
                <w:lang w:eastAsia="zh-CN"/>
              </w:rPr>
              <w:t>，清理下来的旧砂由密闭输送带送入砂处理系统。</w:t>
            </w:r>
          </w:p>
          <w:p w14:paraId="42CF7E99">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left="0" w:leftChars="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该工序中污染物主要为粉尘（G</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）、设备噪声（N）</w:t>
            </w:r>
            <w:r>
              <w:rPr>
                <w:rFonts w:hint="default" w:ascii="Times New Roman" w:hAnsi="Times New Roman" w:eastAsia="宋体" w:cs="Times New Roman"/>
                <w:color w:val="auto"/>
                <w:sz w:val="24"/>
                <w:szCs w:val="24"/>
                <w:highlight w:val="none"/>
                <w:lang w:val="en-US" w:eastAsia="zh-CN"/>
              </w:rPr>
              <w:t>和</w:t>
            </w:r>
            <w:r>
              <w:rPr>
                <w:rFonts w:hint="default" w:ascii="Times New Roman" w:hAnsi="Times New Roman" w:eastAsia="宋体" w:cs="Times New Roman"/>
                <w:color w:val="auto"/>
                <w:sz w:val="24"/>
                <w:szCs w:val="24"/>
                <w:highlight w:val="none"/>
              </w:rPr>
              <w:t>废</w:t>
            </w:r>
            <w:r>
              <w:rPr>
                <w:rFonts w:hint="default" w:ascii="Times New Roman" w:hAnsi="Times New Roman" w:eastAsia="宋体" w:cs="Times New Roman"/>
                <w:color w:val="auto"/>
                <w:sz w:val="24"/>
                <w:szCs w:val="24"/>
                <w:highlight w:val="none"/>
                <w:lang w:val="en-US" w:eastAsia="zh-CN"/>
              </w:rPr>
              <w:t>浇冒口</w:t>
            </w:r>
            <w:r>
              <w:rPr>
                <w:rFonts w:hint="default" w:ascii="Times New Roman" w:hAnsi="Times New Roman" w:eastAsia="宋体" w:cs="Times New Roman"/>
                <w:color w:val="auto"/>
                <w:sz w:val="24"/>
                <w:szCs w:val="24"/>
                <w:highlight w:val="none"/>
              </w:rPr>
              <w:t>（S</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w:t>
            </w:r>
          </w:p>
          <w:p w14:paraId="2D7F61DA">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砂处理</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砂处理系统包括新砂的补充、旧砂进行筛分、冷却</w:t>
            </w:r>
            <w:r>
              <w:rPr>
                <w:rFonts w:hint="default" w:ascii="Times New Roman" w:hAnsi="Times New Roman" w:eastAsia="宋体" w:cs="Times New Roman"/>
                <w:color w:val="auto"/>
                <w:sz w:val="24"/>
                <w:szCs w:val="24"/>
                <w:highlight w:val="none"/>
                <w:lang w:eastAsia="zh-CN"/>
              </w:rPr>
              <w:t>，然后经</w:t>
            </w:r>
            <w:r>
              <w:rPr>
                <w:rFonts w:hint="default" w:ascii="Times New Roman" w:hAnsi="Times New Roman" w:eastAsia="宋体" w:cs="Times New Roman"/>
                <w:color w:val="auto"/>
                <w:sz w:val="24"/>
                <w:szCs w:val="24"/>
                <w:highlight w:val="none"/>
                <w:lang w:val="en-US" w:eastAsia="zh-CN"/>
              </w:rPr>
              <w:t>密闭</w:t>
            </w:r>
            <w:r>
              <w:rPr>
                <w:rFonts w:hint="default" w:ascii="Times New Roman" w:hAnsi="Times New Roman" w:eastAsia="宋体" w:cs="Times New Roman"/>
                <w:color w:val="auto"/>
                <w:sz w:val="24"/>
                <w:szCs w:val="24"/>
                <w:highlight w:val="none"/>
                <w:lang w:eastAsia="zh-CN"/>
              </w:rPr>
              <w:t>输送带输送至混砂造型处</w:t>
            </w:r>
            <w:r>
              <w:rPr>
                <w:rFonts w:hint="default" w:ascii="Times New Roman" w:hAnsi="Times New Roman" w:eastAsia="宋体" w:cs="Times New Roman"/>
                <w:color w:val="auto"/>
                <w:sz w:val="24"/>
                <w:szCs w:val="24"/>
                <w:highlight w:val="none"/>
              </w:rPr>
              <w:t>回用。该工序中污染物主要为粉尘（G</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废</w:t>
            </w:r>
            <w:r>
              <w:rPr>
                <w:rFonts w:hint="default" w:ascii="Times New Roman" w:hAnsi="Times New Roman" w:eastAsia="宋体" w:cs="Times New Roman"/>
                <w:color w:val="auto"/>
                <w:sz w:val="24"/>
                <w:szCs w:val="24"/>
                <w:highlight w:val="none"/>
              </w:rPr>
              <w:t>砂（S</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）和噪声（N）。</w:t>
            </w:r>
          </w:p>
          <w:p w14:paraId="0567F211">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 xml:space="preserve"> </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6</w:t>
            </w:r>
            <w:r>
              <w:rPr>
                <w:rFonts w:hint="default" w:ascii="Times New Roman" w:hAnsi="Times New Roman" w:eastAsia="宋体" w:cs="Times New Roman"/>
                <w:color w:val="auto"/>
                <w:sz w:val="24"/>
                <w:szCs w:val="24"/>
                <w:highlight w:val="none"/>
                <w:lang w:eastAsia="zh-CN"/>
              </w:rPr>
              <w:t>）抛丸清理</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eastAsia="zh-CN"/>
              </w:rPr>
              <w:t>冷却后的铸件送入抛丸机进行表面清理，去除毛刺，</w:t>
            </w:r>
            <w:r>
              <w:rPr>
                <w:rFonts w:hint="default" w:ascii="Times New Roman" w:hAnsi="Times New Roman" w:eastAsia="宋体" w:cs="Times New Roman"/>
                <w:color w:val="auto"/>
                <w:sz w:val="24"/>
                <w:szCs w:val="24"/>
                <w:highlight w:val="none"/>
                <w:lang w:val="en-US" w:eastAsia="zh-CN"/>
              </w:rPr>
              <w:t>金属</w:t>
            </w:r>
            <w:r>
              <w:rPr>
                <w:rFonts w:hint="default" w:ascii="Times New Roman" w:hAnsi="Times New Roman" w:eastAsia="宋体" w:cs="Times New Roman"/>
                <w:color w:val="auto"/>
                <w:sz w:val="24"/>
                <w:szCs w:val="24"/>
                <w:highlight w:val="none"/>
                <w:lang w:eastAsia="zh-CN"/>
              </w:rPr>
              <w:t>边角料等。</w:t>
            </w:r>
            <w:r>
              <w:rPr>
                <w:rFonts w:hint="default" w:ascii="Times New Roman" w:hAnsi="Times New Roman" w:eastAsia="宋体" w:cs="Times New Roman"/>
                <w:color w:val="auto"/>
                <w:sz w:val="24"/>
                <w:szCs w:val="24"/>
                <w:highlight w:val="none"/>
              </w:rPr>
              <w:t>该工序中污染物主要为</w:t>
            </w:r>
            <w:r>
              <w:rPr>
                <w:rFonts w:hint="default" w:ascii="Times New Roman" w:hAnsi="Times New Roman" w:eastAsia="宋体" w:cs="Times New Roman"/>
                <w:color w:val="auto"/>
                <w:sz w:val="24"/>
                <w:szCs w:val="24"/>
                <w:highlight w:val="none"/>
                <w:lang w:eastAsia="zh-CN"/>
              </w:rPr>
              <w:t>抛丸粉尘</w:t>
            </w:r>
            <w:r>
              <w:rPr>
                <w:rFonts w:hint="default" w:ascii="Times New Roman" w:hAnsi="Times New Roman" w:eastAsia="宋体" w:cs="Times New Roman"/>
                <w:color w:val="auto"/>
                <w:sz w:val="24"/>
                <w:szCs w:val="24"/>
                <w:highlight w:val="none"/>
              </w:rPr>
              <w:t>（G</w:t>
            </w:r>
            <w:r>
              <w:rPr>
                <w:rFonts w:hint="default" w:ascii="Times New Roman" w:hAnsi="Times New Roman"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）、设备噪声（N）和金属</w:t>
            </w:r>
            <w:r>
              <w:rPr>
                <w:rFonts w:hint="default" w:ascii="Times New Roman" w:hAnsi="Times New Roman" w:eastAsia="宋体" w:cs="Times New Roman"/>
                <w:color w:val="auto"/>
                <w:sz w:val="24"/>
                <w:szCs w:val="24"/>
                <w:highlight w:val="none"/>
                <w:lang w:eastAsia="zh-CN"/>
              </w:rPr>
              <w:t>边角料</w:t>
            </w:r>
            <w:r>
              <w:rPr>
                <w:rFonts w:hint="default" w:ascii="Times New Roman" w:hAnsi="Times New Roman" w:eastAsia="宋体" w:cs="Times New Roman"/>
                <w:color w:val="auto"/>
                <w:sz w:val="24"/>
                <w:szCs w:val="24"/>
                <w:highlight w:val="none"/>
              </w:rPr>
              <w:t>、金属屑</w:t>
            </w:r>
            <w:r>
              <w:rPr>
                <w:rFonts w:hint="default" w:ascii="Times New Roman" w:hAnsi="Times New Roman" w:eastAsia="宋体" w:cs="Times New Roman"/>
                <w:color w:val="auto"/>
                <w:sz w:val="24"/>
                <w:szCs w:val="24"/>
                <w:highlight w:val="none"/>
                <w:lang w:eastAsia="zh-CN"/>
              </w:rPr>
              <w:t>、废钢丸</w:t>
            </w:r>
            <w:r>
              <w:rPr>
                <w:rFonts w:hint="default" w:ascii="Times New Roman" w:hAnsi="Times New Roman" w:eastAsia="宋体" w:cs="Times New Roman"/>
                <w:color w:val="auto"/>
                <w:sz w:val="24"/>
                <w:szCs w:val="24"/>
                <w:highlight w:val="none"/>
              </w:rPr>
              <w:t>（S</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w:t>
            </w:r>
          </w:p>
          <w:p w14:paraId="16CD3185">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7</w:t>
            </w:r>
            <w:r>
              <w:rPr>
                <w:rFonts w:hint="default" w:ascii="Times New Roman" w:hAnsi="Times New Roman" w:eastAsia="宋体" w:cs="Times New Roman"/>
                <w:color w:val="auto"/>
                <w:sz w:val="24"/>
                <w:szCs w:val="24"/>
                <w:highlight w:val="none"/>
                <w:lang w:eastAsia="zh-CN"/>
              </w:rPr>
              <w:t>）机加工</w:t>
            </w:r>
            <w:r>
              <w:rPr>
                <w:rFonts w:hint="eastAsia"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根据设计要求，对</w:t>
            </w:r>
            <w:r>
              <w:rPr>
                <w:rFonts w:hint="default" w:ascii="Times New Roman" w:hAnsi="Times New Roman" w:eastAsia="宋体" w:cs="Times New Roman"/>
                <w:color w:val="auto"/>
                <w:sz w:val="24"/>
                <w:szCs w:val="24"/>
                <w:highlight w:val="none"/>
                <w:lang w:eastAsia="zh-CN"/>
              </w:rPr>
              <w:t>抛丸清理后</w:t>
            </w:r>
            <w:r>
              <w:rPr>
                <w:rFonts w:hint="default" w:ascii="Times New Roman" w:hAnsi="Times New Roman" w:eastAsia="宋体" w:cs="Times New Roman"/>
                <w:color w:val="auto"/>
                <w:sz w:val="24"/>
                <w:szCs w:val="24"/>
                <w:highlight w:val="none"/>
              </w:rPr>
              <w:t>的铸件进行机械加工，使用</w:t>
            </w:r>
            <w:r>
              <w:rPr>
                <w:rFonts w:hint="default" w:ascii="Times New Roman" w:hAnsi="Times New Roman" w:eastAsia="宋体" w:cs="Times New Roman"/>
                <w:color w:val="auto"/>
                <w:sz w:val="24"/>
                <w:szCs w:val="24"/>
                <w:highlight w:val="none"/>
                <w:lang w:eastAsia="zh-CN"/>
              </w:rPr>
              <w:t>数控机床</w:t>
            </w:r>
            <w:r>
              <w:rPr>
                <w:rFonts w:hint="default" w:ascii="Times New Roman" w:hAnsi="Times New Roman" w:eastAsia="宋体" w:cs="Times New Roman"/>
                <w:color w:val="auto"/>
                <w:sz w:val="24"/>
                <w:szCs w:val="24"/>
                <w:highlight w:val="none"/>
              </w:rPr>
              <w:t>将铸件进行精度较高的车削加工，采用钻床对工件进行钻孔，使之成为精密度较高的工件。该工序中污染物主要为</w:t>
            </w:r>
            <w:r>
              <w:rPr>
                <w:rFonts w:hint="default" w:ascii="Times New Roman" w:hAnsi="Times New Roman" w:eastAsia="宋体" w:cs="Times New Roman"/>
                <w:color w:val="auto"/>
                <w:sz w:val="24"/>
                <w:szCs w:val="24"/>
                <w:highlight w:val="none"/>
                <w:lang w:eastAsia="zh-CN"/>
              </w:rPr>
              <w:t>金属粉尘（</w:t>
            </w:r>
            <w:r>
              <w:rPr>
                <w:rFonts w:hint="default" w:ascii="Times New Roman" w:hAnsi="Times New Roman" w:eastAsia="宋体" w:cs="Times New Roman"/>
                <w:color w:val="auto"/>
                <w:sz w:val="24"/>
                <w:szCs w:val="24"/>
                <w:highlight w:val="none"/>
                <w:lang w:val="en-US" w:eastAsia="zh-CN"/>
              </w:rPr>
              <w:t>G6</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金属屑</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S</w:t>
            </w:r>
            <w:r>
              <w:rPr>
                <w:rFonts w:hint="default" w:ascii="Times New Roman" w:hAnsi="Times New Roman" w:eastAsia="宋体"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和噪声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N</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w:t>
            </w:r>
          </w:p>
          <w:p w14:paraId="1A69E2A6">
            <w:pPr>
              <w:pStyle w:val="112"/>
              <w:keepNext w:val="0"/>
              <w:keepLines w:val="0"/>
              <w:pageBreakBefore w:val="0"/>
              <w:widowControl/>
              <w:kinsoku/>
              <w:wordWrap/>
              <w:overflowPunct/>
              <w:topLinePunct w:val="0"/>
              <w:autoSpaceDE/>
              <w:autoSpaceDN/>
              <w:bidi w:val="0"/>
              <w:adjustRightInd/>
              <w:snapToGrid/>
              <w:spacing w:before="0" w:beforeLines="0" w:after="0" w:afterLines="0"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8</w:t>
            </w:r>
            <w:r>
              <w:rPr>
                <w:rFonts w:hint="default" w:ascii="Times New Roman" w:hAnsi="Times New Roman" w:eastAsia="宋体" w:cs="Times New Roman"/>
                <w:color w:val="auto"/>
                <w:sz w:val="24"/>
                <w:szCs w:val="24"/>
                <w:highlight w:val="none"/>
                <w:lang w:eastAsia="zh-CN"/>
              </w:rPr>
              <w:t>）喷</w:t>
            </w:r>
            <w:r>
              <w:rPr>
                <w:rFonts w:hint="default" w:ascii="Times New Roman" w:hAnsi="Times New Roman" w:eastAsia="宋体" w:cs="Times New Roman"/>
                <w:color w:val="auto"/>
                <w:sz w:val="24"/>
                <w:szCs w:val="24"/>
                <w:highlight w:val="none"/>
              </w:rPr>
              <w:t>漆</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烘干</w:t>
            </w:r>
          </w:p>
          <w:p w14:paraId="635617F0">
            <w:pPr>
              <w:pStyle w:val="112"/>
              <w:keepNext w:val="0"/>
              <w:keepLines w:val="0"/>
              <w:pageBreakBefore w:val="0"/>
              <w:widowControl/>
              <w:kinsoku/>
              <w:wordWrap/>
              <w:overflowPunct/>
              <w:topLinePunct w:val="0"/>
              <w:autoSpaceDE/>
              <w:autoSpaceDN/>
              <w:bidi w:val="0"/>
              <w:adjustRightInd/>
              <w:snapToGrid/>
              <w:spacing w:before="0" w:beforeLines="0" w:after="0" w:afterLines="0"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喷涂水性环氧底漆，该漆为底面合一漆，使用时可根据产品需求，加水进行调漆，调漆在密闭调漆间内进行。喷漆采用人工上件并将工件预热（约40度左右）后，人工转件到转台上（一次性放四件刹车盘），再由自动加盖移载机自动加盖板，此时转台正转180度进入自动喷漆生产线由机器人自动喷漆，喷漆完毕后反转180度转出刹车盘，由盖板移载机抓取盖板后，由另外一组移载机把四个刹车盘移到烘干线上件端完成烘干冷却工艺。生产线整体尺寸：长度方向≤39m，宽度方向≤8m。自动喷漆部分采用国产埃夫特ER10-1600机器人*1台，工作半径1600mm，工作负载10kg，配合4把自动喷枪对工件进行自动喷漆。</w:t>
            </w:r>
          </w:p>
          <w:p w14:paraId="0B3B47BF">
            <w:pPr>
              <w:keepNext w:val="0"/>
              <w:keepLines w:val="0"/>
              <w:pageBreakBefore w:val="0"/>
              <w:widowControl/>
              <w:numPr>
                <w:ilvl w:val="0"/>
                <w:numId w:val="0"/>
              </w:numPr>
              <w:kinsoku/>
              <w:wordWrap/>
              <w:overflowPunct/>
              <w:topLinePunct w:val="0"/>
              <w:autoSpaceDE/>
              <w:autoSpaceDN/>
              <w:bidi w:val="0"/>
              <w:adjustRightInd w:val="0"/>
              <w:snapToGrid w:val="0"/>
              <w:spacing w:line="460" w:lineRule="exact"/>
              <w:ind w:firstLine="480" w:firstLineChars="200"/>
              <w:jc w:val="both"/>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烘干</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采用</w:t>
            </w:r>
            <w:r>
              <w:rPr>
                <w:rFonts w:hint="eastAsia" w:cs="Times New Roman"/>
                <w:color w:val="000000" w:themeColor="text1"/>
                <w:sz w:val="24"/>
                <w:szCs w:val="24"/>
                <w:highlight w:val="none"/>
                <w:lang w:val="en-US" w:eastAsia="zh-CN"/>
                <w14:textFill>
                  <w14:solidFill>
                    <w14:schemeClr w14:val="tx1"/>
                  </w14:solidFill>
                </w14:textFill>
              </w:rPr>
              <w:t>天然气</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进</w:t>
            </w:r>
            <w:r>
              <w:rPr>
                <w:rFonts w:hint="default" w:ascii="Times New Roman" w:hAnsi="Times New Roman" w:eastAsia="宋体" w:cs="Times New Roman"/>
                <w:color w:val="auto"/>
                <w:sz w:val="24"/>
                <w:szCs w:val="24"/>
                <w:highlight w:val="none"/>
                <w:lang w:eastAsia="zh-CN"/>
              </w:rPr>
              <w:t>行</w:t>
            </w:r>
            <w:r>
              <w:rPr>
                <w:rFonts w:hint="eastAsia" w:cs="Times New Roman"/>
                <w:color w:val="auto"/>
                <w:sz w:val="24"/>
                <w:szCs w:val="24"/>
                <w:highlight w:val="none"/>
                <w:lang w:val="en-US" w:eastAsia="zh-CN"/>
              </w:rPr>
              <w:t>间接</w:t>
            </w:r>
            <w:r>
              <w:rPr>
                <w:rFonts w:hint="default" w:ascii="Times New Roman" w:hAnsi="Times New Roman" w:eastAsia="宋体" w:cs="Times New Roman"/>
                <w:color w:val="auto"/>
                <w:sz w:val="24"/>
                <w:szCs w:val="24"/>
                <w:highlight w:val="none"/>
                <w:lang w:eastAsia="zh-CN"/>
              </w:rPr>
              <w:t>加热，</w:t>
            </w:r>
            <w:r>
              <w:rPr>
                <w:rFonts w:hint="eastAsia"/>
                <w:color w:val="auto"/>
                <w:sz w:val="24"/>
                <w:szCs w:val="24"/>
                <w:highlight w:val="none"/>
                <w:lang w:val="en-US" w:eastAsia="zh-CN"/>
              </w:rPr>
              <w:t>管道天然气通过管路进入燃烧炉喷嘴处，通过电子点火器点火，天然气燃烧产生废气G，主要成分为颗粒物、二氧化硫、氮氧化物、烟气黑度。为使热量尽快进入喷漆烘干间，需要燃烧室鼓风，为热量的传递提供动力。燃烧风车运转产生噪声N。热量在空气的带动下，进入喷漆烘干间的内盘管内。内盘管被热空气加热后高温升高，与喷漆烘干间内、盘管外的空气进行热交换而使喷漆烘干间内空气温度升高，进而对工件进行加热。热空气携带天然气燃烧废气在喷漆烘干间内完成热交换后经过排气筒DA006排放</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eastAsia="zh-CN"/>
              </w:rPr>
              <w:t>烘干完成的产品入库保存。</w:t>
            </w:r>
          </w:p>
          <w:p w14:paraId="698387A4">
            <w:pPr>
              <w:keepNext w:val="0"/>
              <w:keepLines w:val="0"/>
              <w:pageBreakBefore w:val="0"/>
              <w:widowControl/>
              <w:numPr>
                <w:ilvl w:val="0"/>
                <w:numId w:val="0"/>
              </w:numPr>
              <w:kinsoku/>
              <w:wordWrap/>
              <w:overflowPunct/>
              <w:topLinePunct w:val="0"/>
              <w:autoSpaceDE/>
              <w:autoSpaceDN/>
              <w:bidi w:val="0"/>
              <w:adjustRightInd w:val="0"/>
              <w:snapToGrid w:val="0"/>
              <w:spacing w:line="460" w:lineRule="exact"/>
              <w:ind w:firstLine="480" w:firstLineChars="200"/>
              <w:jc w:val="both"/>
              <w:textAlignment w:val="auto"/>
              <w:rPr>
                <w:rFonts w:hint="default" w:ascii="Times New Roman" w:hAnsi="Times New Roman" w:eastAsia="宋体" w:cs="Times New Roman"/>
                <w:bCs/>
                <w:color w:val="auto"/>
                <w:sz w:val="24"/>
                <w:szCs w:val="24"/>
                <w:highlight w:val="none"/>
                <w:lang w:eastAsia="zh-CN"/>
              </w:rPr>
            </w:pPr>
            <w:r>
              <w:rPr>
                <w:rFonts w:hint="default" w:ascii="Times New Roman" w:hAnsi="Times New Roman" w:eastAsia="宋体" w:cs="Times New Roman"/>
                <w:color w:val="auto"/>
                <w:sz w:val="24"/>
                <w:szCs w:val="24"/>
                <w:highlight w:val="none"/>
              </w:rPr>
              <w:t>该工序中污染物主要为</w:t>
            </w:r>
            <w:r>
              <w:rPr>
                <w:rFonts w:hint="default" w:ascii="Times New Roman" w:hAnsi="Times New Roman" w:eastAsia="宋体" w:cs="Times New Roman"/>
                <w:color w:val="auto"/>
                <w:sz w:val="24"/>
                <w:szCs w:val="24"/>
                <w:highlight w:val="none"/>
                <w:lang w:val="en-US" w:eastAsia="zh-CN"/>
              </w:rPr>
              <w:t>喷漆</w:t>
            </w:r>
            <w:r>
              <w:rPr>
                <w:rFonts w:hint="default" w:ascii="Times New Roman" w:hAnsi="Times New Roman" w:eastAsia="宋体" w:cs="Times New Roman"/>
                <w:color w:val="auto"/>
                <w:sz w:val="24"/>
                <w:szCs w:val="24"/>
                <w:highlight w:val="none"/>
              </w:rPr>
              <w:t>废气</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G7</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烘干（</w:t>
            </w:r>
            <w:r>
              <w:rPr>
                <w:rFonts w:hint="default" w:ascii="Times New Roman" w:hAnsi="Times New Roman" w:eastAsia="宋体" w:cs="Times New Roman"/>
                <w:color w:val="auto"/>
                <w:sz w:val="24"/>
                <w:szCs w:val="24"/>
                <w:highlight w:val="none"/>
                <w:lang w:val="en-US" w:eastAsia="zh-CN"/>
              </w:rPr>
              <w:t>G8</w:t>
            </w:r>
            <w:r>
              <w:rPr>
                <w:rFonts w:hint="default" w:ascii="Times New Roman" w:hAnsi="Times New Roman" w:eastAsia="宋体" w:cs="Times New Roman"/>
                <w:color w:val="auto"/>
                <w:sz w:val="24"/>
                <w:szCs w:val="24"/>
                <w:highlight w:val="none"/>
                <w:lang w:eastAsia="zh-CN"/>
              </w:rPr>
              <w:t>）</w:t>
            </w:r>
            <w:r>
              <w:rPr>
                <w:rFonts w:hint="eastAsia" w:cs="Times New Roman"/>
                <w:color w:val="auto"/>
                <w:sz w:val="24"/>
                <w:szCs w:val="24"/>
                <w:highlight w:val="none"/>
                <w:lang w:val="en-US" w:eastAsia="zh-CN"/>
              </w:rPr>
              <w:t>及天然气燃烧</w:t>
            </w:r>
            <w:r>
              <w:rPr>
                <w:rFonts w:hint="default" w:ascii="Times New Roman" w:hAnsi="Times New Roman" w:eastAsia="宋体" w:cs="Times New Roman"/>
                <w:color w:val="auto"/>
                <w:sz w:val="24"/>
                <w:szCs w:val="24"/>
                <w:highlight w:val="none"/>
                <w:lang w:eastAsia="zh-CN"/>
              </w:rPr>
              <w:t>废气、</w:t>
            </w:r>
            <w:r>
              <w:rPr>
                <w:rFonts w:hint="default" w:ascii="Times New Roman" w:hAnsi="Times New Roman" w:eastAsia="宋体" w:cs="Times New Roman"/>
                <w:color w:val="auto"/>
                <w:sz w:val="24"/>
                <w:szCs w:val="24"/>
                <w:highlight w:val="none"/>
              </w:rPr>
              <w:t>漆渣和废漆桶</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S5</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、噪声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N</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w:t>
            </w:r>
          </w:p>
          <w:p w14:paraId="342AC3B8">
            <w:pPr>
              <w:pStyle w:val="112"/>
              <w:keepNext w:val="0"/>
              <w:keepLines w:val="0"/>
              <w:pageBreakBefore w:val="0"/>
              <w:widowControl/>
              <w:kinsoku/>
              <w:wordWrap/>
              <w:overflowPunct/>
              <w:topLinePunct w:val="0"/>
              <w:autoSpaceDE/>
              <w:autoSpaceDN/>
              <w:bidi w:val="0"/>
              <w:adjustRightInd/>
              <w:snapToGrid/>
              <w:spacing w:before="0" w:beforeLines="0" w:after="0" w:afterLines="0" w:line="46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t>项目</w:t>
            </w:r>
            <w:r>
              <w:rPr>
                <w:rFonts w:hint="default" w:ascii="Times New Roman" w:hAnsi="Times New Roman" w:eastAsia="宋体" w:cs="Times New Roman"/>
                <w:color w:val="auto"/>
                <w:sz w:val="24"/>
                <w:szCs w:val="24"/>
                <w:highlight w:val="none"/>
              </w:rPr>
              <w:t>运营过程中产污情况及治理措施见下表。</w:t>
            </w:r>
          </w:p>
          <w:p w14:paraId="16520B0F">
            <w:pPr>
              <w:pStyle w:val="91"/>
              <w:keepLines w:val="0"/>
              <w:pageBreakBefore w:val="0"/>
              <w:numPr>
                <w:ilvl w:val="0"/>
                <w:numId w:val="0"/>
              </w:numPr>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表</w:t>
            </w:r>
            <w:r>
              <w:rPr>
                <w:rFonts w:hint="eastAsia" w:ascii="Times New Roman" w:hAnsi="Times New Roman" w:eastAsia="宋体" w:cs="Times New Roman"/>
                <w:color w:val="auto"/>
                <w:sz w:val="24"/>
                <w:szCs w:val="24"/>
                <w:highlight w:val="none"/>
                <w:lang w:val="en-US" w:eastAsia="zh-CN"/>
              </w:rPr>
              <w:t>2-4</w:t>
            </w:r>
            <w:r>
              <w:rPr>
                <w:rFonts w:hint="default" w:ascii="Times New Roman" w:hAnsi="Times New Roman" w:eastAsia="宋体" w:cs="Times New Roman"/>
                <w:color w:val="auto"/>
                <w:sz w:val="24"/>
                <w:szCs w:val="24"/>
                <w:highlight w:val="none"/>
              </w:rPr>
              <w:t xml:space="preserve">  </w:t>
            </w:r>
            <w:r>
              <w:rPr>
                <w:rFonts w:hint="eastAsia" w:ascii="Times New Roman" w:hAnsi="Times New Roman" w:eastAsia="宋体" w:cs="Times New Roman"/>
                <w:color w:val="auto"/>
                <w:sz w:val="24"/>
                <w:szCs w:val="24"/>
                <w:highlight w:val="none"/>
                <w:lang w:val="en-US" w:eastAsia="zh-CN"/>
              </w:rPr>
              <w:t>现有</w:t>
            </w:r>
            <w:r>
              <w:rPr>
                <w:rFonts w:hint="default" w:ascii="Times New Roman" w:hAnsi="Times New Roman" w:eastAsia="宋体" w:cs="Times New Roman"/>
                <w:color w:val="auto"/>
                <w:sz w:val="24"/>
                <w:szCs w:val="24"/>
                <w:highlight w:val="none"/>
              </w:rPr>
              <w:t>项目运营中产污环节和治理措施一览表</w:t>
            </w:r>
          </w:p>
          <w:tbl>
            <w:tblPr>
              <w:tblStyle w:val="36"/>
              <w:tblW w:w="82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2"/>
              <w:gridCol w:w="542"/>
              <w:gridCol w:w="1578"/>
              <w:gridCol w:w="1267"/>
              <w:gridCol w:w="1853"/>
              <w:gridCol w:w="813"/>
              <w:gridCol w:w="662"/>
              <w:gridCol w:w="861"/>
            </w:tblGrid>
            <w:tr w14:paraId="1F25F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662" w:type="dxa"/>
                  <w:noWrap w:val="0"/>
                  <w:vAlign w:val="center"/>
                </w:tcPr>
                <w:p w14:paraId="4CE524EB">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类型</w:t>
                  </w:r>
                </w:p>
              </w:tc>
              <w:tc>
                <w:tcPr>
                  <w:tcW w:w="542" w:type="dxa"/>
                  <w:noWrap w:val="0"/>
                  <w:vAlign w:val="center"/>
                </w:tcPr>
                <w:p w14:paraId="01C56EC7">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578" w:type="dxa"/>
                  <w:noWrap w:val="0"/>
                  <w:vAlign w:val="center"/>
                </w:tcPr>
                <w:p w14:paraId="568E7CBE">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p w14:paraId="551071EE">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产生工序</w:t>
                  </w:r>
                </w:p>
              </w:tc>
              <w:tc>
                <w:tcPr>
                  <w:tcW w:w="1267" w:type="dxa"/>
                  <w:noWrap w:val="0"/>
                  <w:vAlign w:val="center"/>
                </w:tcPr>
                <w:p w14:paraId="795FF2E2">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污染物种类</w:t>
                  </w:r>
                </w:p>
              </w:tc>
              <w:tc>
                <w:tcPr>
                  <w:tcW w:w="4189" w:type="dxa"/>
                  <w:gridSpan w:val="4"/>
                  <w:noWrap w:val="0"/>
                  <w:vAlign w:val="center"/>
                </w:tcPr>
                <w:p w14:paraId="0851DF67">
                  <w:pPr>
                    <w:pStyle w:val="102"/>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治理措施</w:t>
                  </w:r>
                </w:p>
              </w:tc>
            </w:tr>
            <w:tr w14:paraId="66FE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vMerge w:val="restart"/>
                  <w:noWrap w:val="0"/>
                  <w:vAlign w:val="center"/>
                </w:tcPr>
                <w:p w14:paraId="6E98BD8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废气</w:t>
                  </w:r>
                </w:p>
              </w:tc>
              <w:tc>
                <w:tcPr>
                  <w:tcW w:w="542" w:type="dxa"/>
                  <w:noWrap w:val="0"/>
                  <w:vAlign w:val="center"/>
                </w:tcPr>
                <w:p w14:paraId="68B76B9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G</w:t>
                  </w:r>
                  <w:r>
                    <w:rPr>
                      <w:rFonts w:hint="default" w:ascii="Times New Roman" w:hAnsi="Times New Roman" w:eastAsia="宋体" w:cs="Times New Roman"/>
                      <w:color w:val="auto"/>
                      <w:sz w:val="21"/>
                      <w:szCs w:val="21"/>
                      <w:highlight w:val="none"/>
                      <w:lang w:val="en-US" w:eastAsia="zh-CN"/>
                    </w:rPr>
                    <w:t>1</w:t>
                  </w:r>
                </w:p>
              </w:tc>
              <w:tc>
                <w:tcPr>
                  <w:tcW w:w="1578" w:type="dxa"/>
                  <w:noWrap w:val="0"/>
                  <w:vAlign w:val="center"/>
                </w:tcPr>
                <w:p w14:paraId="7F885C2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中频感应电炉</w:t>
                  </w:r>
                </w:p>
              </w:tc>
              <w:tc>
                <w:tcPr>
                  <w:tcW w:w="1267" w:type="dxa"/>
                  <w:noWrap w:val="0"/>
                  <w:vAlign w:val="center"/>
                </w:tcPr>
                <w:p w14:paraId="0F6CACD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颗粒物</w:t>
                  </w:r>
                </w:p>
              </w:tc>
              <w:tc>
                <w:tcPr>
                  <w:tcW w:w="4189" w:type="dxa"/>
                  <w:gridSpan w:val="4"/>
                  <w:noWrap w:val="0"/>
                  <w:vAlign w:val="center"/>
                </w:tcPr>
                <w:p w14:paraId="63E43DC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二次密闭+旋风除尘器TA001+布袋除尘器TA002+</w:t>
                  </w:r>
                  <w:r>
                    <w:rPr>
                      <w:rFonts w:hint="default" w:ascii="Times New Roman" w:hAnsi="Times New Roman" w:eastAsia="宋体" w:cs="Times New Roman"/>
                      <w:color w:val="auto"/>
                      <w:sz w:val="21"/>
                      <w:szCs w:val="21"/>
                      <w:highlight w:val="none"/>
                    </w:rPr>
                    <w:t>1</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rPr>
                    <w:t>m</w:t>
                  </w:r>
                  <w:r>
                    <w:rPr>
                      <w:rFonts w:hint="eastAsia" w:ascii="Times New Roman" w:hAnsi="Times New Roman" w:eastAsia="宋体" w:cs="Times New Roman"/>
                      <w:color w:val="auto"/>
                      <w:sz w:val="21"/>
                      <w:szCs w:val="21"/>
                      <w:highlight w:val="none"/>
                      <w:lang w:val="en-US" w:eastAsia="zh-CN"/>
                    </w:rPr>
                    <w:t>高</w:t>
                  </w:r>
                  <w:r>
                    <w:rPr>
                      <w:rFonts w:hint="default" w:ascii="Times New Roman" w:hAnsi="Times New Roman" w:eastAsia="宋体" w:cs="Times New Roman"/>
                      <w:color w:val="auto"/>
                      <w:sz w:val="21"/>
                      <w:szCs w:val="21"/>
                      <w:highlight w:val="none"/>
                    </w:rPr>
                    <w:t>排气筒</w:t>
                  </w:r>
                  <w:r>
                    <w:rPr>
                      <w:rFonts w:hint="default" w:ascii="Times New Roman" w:hAnsi="Times New Roman" w:eastAsia="宋体" w:cs="Times New Roman"/>
                      <w:color w:val="auto"/>
                      <w:sz w:val="21"/>
                      <w:szCs w:val="21"/>
                      <w:highlight w:val="none"/>
                      <w:lang w:eastAsia="zh-CN"/>
                    </w:rPr>
                    <w:t>DA001</w:t>
                  </w:r>
                </w:p>
              </w:tc>
            </w:tr>
            <w:tr w14:paraId="4B3FF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662" w:type="dxa"/>
                  <w:vMerge w:val="continue"/>
                  <w:noWrap w:val="0"/>
                  <w:vAlign w:val="center"/>
                </w:tcPr>
                <w:p w14:paraId="4317089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7718AF9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G</w:t>
                  </w:r>
                  <w:r>
                    <w:rPr>
                      <w:rFonts w:hint="default" w:ascii="Times New Roman" w:hAnsi="Times New Roman" w:eastAsia="宋体" w:cs="Times New Roman"/>
                      <w:color w:val="auto"/>
                      <w:sz w:val="21"/>
                      <w:szCs w:val="21"/>
                      <w:highlight w:val="none"/>
                      <w:lang w:val="en-US" w:eastAsia="zh-CN"/>
                    </w:rPr>
                    <w:t>3</w:t>
                  </w:r>
                </w:p>
              </w:tc>
              <w:tc>
                <w:tcPr>
                  <w:tcW w:w="1578" w:type="dxa"/>
                  <w:noWrap w:val="0"/>
                  <w:vAlign w:val="center"/>
                </w:tcPr>
                <w:p w14:paraId="20C564D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翻箱落砂</w:t>
                  </w:r>
                </w:p>
              </w:tc>
              <w:tc>
                <w:tcPr>
                  <w:tcW w:w="1267" w:type="dxa"/>
                  <w:noWrap w:val="0"/>
                  <w:vAlign w:val="center"/>
                </w:tcPr>
                <w:p w14:paraId="5BD18A3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颗粒物</w:t>
                  </w:r>
                </w:p>
              </w:tc>
              <w:tc>
                <w:tcPr>
                  <w:tcW w:w="3328" w:type="dxa"/>
                  <w:gridSpan w:val="3"/>
                  <w:noWrap w:val="0"/>
                  <w:vAlign w:val="center"/>
                </w:tcPr>
                <w:p w14:paraId="76743F6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生产线全密闭+</w:t>
                  </w:r>
                  <w:r>
                    <w:rPr>
                      <w:rFonts w:hint="default" w:ascii="Times New Roman" w:hAnsi="Times New Roman" w:eastAsia="宋体" w:cs="Times New Roman"/>
                      <w:color w:val="auto"/>
                      <w:sz w:val="21"/>
                      <w:szCs w:val="21"/>
                      <w:highlight w:val="none"/>
                      <w:lang w:eastAsia="zh-CN"/>
                    </w:rPr>
                    <w:t>布袋除尘器</w:t>
                  </w:r>
                  <w:r>
                    <w:rPr>
                      <w:rFonts w:hint="default" w:ascii="Times New Roman" w:hAnsi="Times New Roman" w:eastAsia="宋体" w:cs="Times New Roman"/>
                      <w:color w:val="auto"/>
                      <w:sz w:val="21"/>
                      <w:szCs w:val="21"/>
                      <w:highlight w:val="none"/>
                      <w:lang w:val="en-US" w:eastAsia="zh-CN"/>
                    </w:rPr>
                    <w:t>TA003</w:t>
                  </w:r>
                </w:p>
              </w:tc>
              <w:tc>
                <w:tcPr>
                  <w:tcW w:w="861" w:type="dxa"/>
                  <w:vMerge w:val="restart"/>
                  <w:noWrap w:val="0"/>
                  <w:vAlign w:val="center"/>
                </w:tcPr>
                <w:p w14:paraId="09492ED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r>
                    <w:rPr>
                      <w:rFonts w:hint="eastAsia"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rPr>
                    <w:t>m</w:t>
                  </w:r>
                  <w:r>
                    <w:rPr>
                      <w:rFonts w:hint="eastAsia" w:ascii="Times New Roman" w:hAnsi="Times New Roman" w:eastAsia="宋体" w:cs="Times New Roman"/>
                      <w:color w:val="auto"/>
                      <w:sz w:val="21"/>
                      <w:szCs w:val="21"/>
                      <w:highlight w:val="none"/>
                      <w:lang w:val="en-US" w:eastAsia="zh-CN"/>
                    </w:rPr>
                    <w:t>高</w:t>
                  </w:r>
                </w:p>
                <w:p w14:paraId="3439F93B">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排气筒</w:t>
                  </w:r>
                  <w:r>
                    <w:rPr>
                      <w:rFonts w:hint="default" w:ascii="Times New Roman" w:hAnsi="Times New Roman" w:eastAsia="宋体" w:cs="Times New Roman"/>
                      <w:color w:val="auto"/>
                      <w:sz w:val="21"/>
                      <w:szCs w:val="21"/>
                      <w:highlight w:val="none"/>
                      <w:lang w:eastAsia="zh-CN"/>
                    </w:rPr>
                    <w:t>DA002</w:t>
                  </w:r>
                </w:p>
              </w:tc>
            </w:tr>
            <w:tr w14:paraId="609CD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662" w:type="dxa"/>
                  <w:vMerge w:val="continue"/>
                  <w:noWrap w:val="0"/>
                  <w:vAlign w:val="center"/>
                </w:tcPr>
                <w:p w14:paraId="6449129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6E43FA1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G</w:t>
                  </w:r>
                  <w:r>
                    <w:rPr>
                      <w:rFonts w:hint="default" w:ascii="Times New Roman" w:hAnsi="Times New Roman" w:eastAsia="宋体" w:cs="Times New Roman"/>
                      <w:color w:val="auto"/>
                      <w:sz w:val="21"/>
                      <w:szCs w:val="21"/>
                      <w:highlight w:val="none"/>
                      <w:lang w:val="en-US" w:eastAsia="zh-CN"/>
                    </w:rPr>
                    <w:t>5</w:t>
                  </w:r>
                </w:p>
              </w:tc>
              <w:tc>
                <w:tcPr>
                  <w:tcW w:w="1578" w:type="dxa"/>
                  <w:noWrap w:val="0"/>
                  <w:vAlign w:val="center"/>
                </w:tcPr>
                <w:p w14:paraId="01CC690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抛丸</w:t>
                  </w:r>
                </w:p>
              </w:tc>
              <w:tc>
                <w:tcPr>
                  <w:tcW w:w="1267" w:type="dxa"/>
                  <w:noWrap w:val="0"/>
                  <w:vAlign w:val="center"/>
                </w:tcPr>
                <w:p w14:paraId="27E50E7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颗粒物</w:t>
                  </w:r>
                </w:p>
              </w:tc>
              <w:tc>
                <w:tcPr>
                  <w:tcW w:w="3328" w:type="dxa"/>
                  <w:gridSpan w:val="3"/>
                  <w:noWrap w:val="0"/>
                  <w:vAlign w:val="center"/>
                </w:tcPr>
                <w:p w14:paraId="12FA642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设备密闭+</w:t>
                  </w:r>
                  <w:r>
                    <w:rPr>
                      <w:rFonts w:hint="default" w:ascii="Times New Roman" w:hAnsi="Times New Roman" w:eastAsia="宋体" w:cs="Times New Roman"/>
                      <w:color w:val="auto"/>
                      <w:sz w:val="21"/>
                      <w:szCs w:val="21"/>
                      <w:highlight w:val="none"/>
                      <w:lang w:eastAsia="zh-CN"/>
                    </w:rPr>
                    <w:t>布袋除尘器</w:t>
                  </w:r>
                  <w:r>
                    <w:rPr>
                      <w:rFonts w:hint="default" w:ascii="Times New Roman" w:hAnsi="Times New Roman" w:eastAsia="宋体" w:cs="Times New Roman"/>
                      <w:color w:val="auto"/>
                      <w:sz w:val="21"/>
                      <w:szCs w:val="21"/>
                      <w:highlight w:val="none"/>
                      <w:lang w:val="en-US" w:eastAsia="zh-CN"/>
                    </w:rPr>
                    <w:t>TA004</w:t>
                  </w:r>
                </w:p>
              </w:tc>
              <w:tc>
                <w:tcPr>
                  <w:tcW w:w="861" w:type="dxa"/>
                  <w:vMerge w:val="continue"/>
                  <w:noWrap w:val="0"/>
                  <w:vAlign w:val="center"/>
                </w:tcPr>
                <w:p w14:paraId="1BE791A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p>
              </w:tc>
            </w:tr>
            <w:tr w14:paraId="546F7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7C3B806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1E54A90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G</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1578" w:type="dxa"/>
                  <w:noWrap w:val="0"/>
                  <w:vAlign w:val="center"/>
                </w:tcPr>
                <w:p w14:paraId="5386F61B">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浇注</w:t>
                  </w:r>
                </w:p>
              </w:tc>
              <w:tc>
                <w:tcPr>
                  <w:tcW w:w="1267" w:type="dxa"/>
                  <w:noWrap w:val="0"/>
                  <w:vAlign w:val="center"/>
                </w:tcPr>
                <w:p w14:paraId="382F412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颗粒物</w:t>
                  </w:r>
                </w:p>
              </w:tc>
              <w:tc>
                <w:tcPr>
                  <w:tcW w:w="3328" w:type="dxa"/>
                  <w:gridSpan w:val="3"/>
                  <w:noWrap w:val="0"/>
                  <w:vAlign w:val="center"/>
                </w:tcPr>
                <w:p w14:paraId="35FD3AA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集气罩</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布袋除尘器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TA005</w:t>
                  </w:r>
                </w:p>
              </w:tc>
              <w:tc>
                <w:tcPr>
                  <w:tcW w:w="861" w:type="dxa"/>
                  <w:vMerge w:val="restart"/>
                  <w:noWrap w:val="0"/>
                  <w:vAlign w:val="center"/>
                </w:tcPr>
                <w:p w14:paraId="6991870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r>
                    <w:rPr>
                      <w:rFonts w:hint="eastAsia" w:cs="Times New Roman"/>
                      <w:color w:val="000000" w:themeColor="text1"/>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p>
                <w:p w14:paraId="6074926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排气筒</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DA003</w:t>
                  </w:r>
                </w:p>
              </w:tc>
            </w:tr>
            <w:tr w14:paraId="07730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62" w:type="dxa"/>
                  <w:vMerge w:val="continue"/>
                  <w:noWrap w:val="0"/>
                  <w:vAlign w:val="center"/>
                </w:tcPr>
                <w:p w14:paraId="3475EB1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5416B24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G</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w:t>
                  </w:r>
                </w:p>
              </w:tc>
              <w:tc>
                <w:tcPr>
                  <w:tcW w:w="1578" w:type="dxa"/>
                  <w:noWrap w:val="0"/>
                  <w:vAlign w:val="center"/>
                </w:tcPr>
                <w:p w14:paraId="10BC8D5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砂处理</w:t>
                  </w:r>
                </w:p>
              </w:tc>
              <w:tc>
                <w:tcPr>
                  <w:tcW w:w="1267" w:type="dxa"/>
                  <w:noWrap w:val="0"/>
                  <w:vAlign w:val="center"/>
                </w:tcPr>
                <w:p w14:paraId="5F53D3F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颗粒物</w:t>
                  </w:r>
                </w:p>
              </w:tc>
              <w:tc>
                <w:tcPr>
                  <w:tcW w:w="3328" w:type="dxa"/>
                  <w:gridSpan w:val="3"/>
                  <w:noWrap w:val="0"/>
                  <w:vAlign w:val="center"/>
                </w:tcPr>
                <w:p w14:paraId="3390099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密闭输送带+</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布袋除尘器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TA006</w:t>
                  </w:r>
                </w:p>
              </w:tc>
              <w:tc>
                <w:tcPr>
                  <w:tcW w:w="861" w:type="dxa"/>
                  <w:vMerge w:val="continue"/>
                  <w:noWrap w:val="0"/>
                  <w:vAlign w:val="center"/>
                </w:tcPr>
                <w:p w14:paraId="16B57D2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2A5E8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62" w:type="dxa"/>
                  <w:vMerge w:val="continue"/>
                  <w:noWrap w:val="0"/>
                  <w:vAlign w:val="center"/>
                </w:tcPr>
                <w:p w14:paraId="1BBD88B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1D0976A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G9</w:t>
                  </w:r>
                </w:p>
              </w:tc>
              <w:tc>
                <w:tcPr>
                  <w:tcW w:w="1578" w:type="dxa"/>
                  <w:noWrap w:val="0"/>
                  <w:vAlign w:val="center"/>
                </w:tcPr>
                <w:p w14:paraId="38E9F73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混砂</w:t>
                  </w:r>
                </w:p>
              </w:tc>
              <w:tc>
                <w:tcPr>
                  <w:tcW w:w="1267" w:type="dxa"/>
                  <w:noWrap w:val="0"/>
                  <w:vAlign w:val="center"/>
                </w:tcPr>
                <w:p w14:paraId="5CA541E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颗粒物</w:t>
                  </w:r>
                </w:p>
              </w:tc>
              <w:tc>
                <w:tcPr>
                  <w:tcW w:w="3328" w:type="dxa"/>
                  <w:gridSpan w:val="3"/>
                  <w:noWrap w:val="0"/>
                  <w:vAlign w:val="center"/>
                </w:tcPr>
                <w:p w14:paraId="2467F5E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t>密闭料仓/密闭混料机+管道</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布袋除尘器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TA00</w:t>
                  </w:r>
                  <w:r>
                    <w:rPr>
                      <w:rFonts w:hint="eastAsia" w:eastAsia="宋体" w:cs="Times New Roman"/>
                      <w:color w:val="000000" w:themeColor="text1"/>
                      <w:sz w:val="21"/>
                      <w:szCs w:val="21"/>
                      <w:highlight w:val="none"/>
                      <w:lang w:val="en-US" w:eastAsia="zh-CN"/>
                      <w14:textFill>
                        <w14:solidFill>
                          <w14:schemeClr w14:val="tx1"/>
                        </w14:solidFill>
                      </w14:textFill>
                    </w:rPr>
                    <w:t>6</w:t>
                  </w:r>
                </w:p>
              </w:tc>
              <w:tc>
                <w:tcPr>
                  <w:tcW w:w="861" w:type="dxa"/>
                  <w:vMerge w:val="continue"/>
                  <w:noWrap w:val="0"/>
                  <w:vAlign w:val="center"/>
                </w:tcPr>
                <w:p w14:paraId="1049A6A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3C5AC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1ED648C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vMerge w:val="restart"/>
                  <w:noWrap w:val="0"/>
                  <w:vAlign w:val="center"/>
                </w:tcPr>
                <w:p w14:paraId="78B03620">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G</w:t>
                  </w:r>
                  <w:r>
                    <w:rPr>
                      <w:rFonts w:hint="default" w:ascii="Times New Roman" w:hAnsi="Times New Roman" w:eastAsia="宋体" w:cs="Times New Roman"/>
                      <w:color w:val="auto"/>
                      <w:sz w:val="21"/>
                      <w:szCs w:val="21"/>
                      <w:highlight w:val="none"/>
                      <w:lang w:val="en-US" w:eastAsia="zh-CN"/>
                    </w:rPr>
                    <w:t>6</w:t>
                  </w:r>
                </w:p>
              </w:tc>
              <w:tc>
                <w:tcPr>
                  <w:tcW w:w="1578" w:type="dxa"/>
                  <w:vMerge w:val="restart"/>
                  <w:noWrap w:val="0"/>
                  <w:vAlign w:val="center"/>
                </w:tcPr>
                <w:p w14:paraId="4E3E96A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机加工</w:t>
                  </w:r>
                </w:p>
              </w:tc>
              <w:tc>
                <w:tcPr>
                  <w:tcW w:w="1267" w:type="dxa"/>
                  <w:vMerge w:val="restart"/>
                  <w:noWrap w:val="0"/>
                  <w:vAlign w:val="center"/>
                </w:tcPr>
                <w:p w14:paraId="3231896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w:t>
                  </w:r>
                </w:p>
              </w:tc>
              <w:tc>
                <w:tcPr>
                  <w:tcW w:w="4189" w:type="dxa"/>
                  <w:gridSpan w:val="4"/>
                  <w:noWrap w:val="0"/>
                  <w:vAlign w:val="center"/>
                </w:tcPr>
                <w:p w14:paraId="2EE4232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厂房密闭，自然沉降</w:t>
                  </w:r>
                </w:p>
              </w:tc>
            </w:tr>
            <w:tr w14:paraId="6B6C1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vMerge w:val="continue"/>
                  <w:noWrap w:val="0"/>
                  <w:vAlign w:val="center"/>
                </w:tcPr>
                <w:p w14:paraId="58F2C28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vMerge w:val="continue"/>
                  <w:noWrap w:val="0"/>
                  <w:vAlign w:val="center"/>
                </w:tcPr>
                <w:p w14:paraId="5FB3670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1578" w:type="dxa"/>
                  <w:vMerge w:val="continue"/>
                  <w:noWrap w:val="0"/>
                  <w:vAlign w:val="center"/>
                </w:tcPr>
                <w:p w14:paraId="42C7F36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p>
              </w:tc>
              <w:tc>
                <w:tcPr>
                  <w:tcW w:w="1267" w:type="dxa"/>
                  <w:vMerge w:val="continue"/>
                  <w:noWrap w:val="0"/>
                  <w:vAlign w:val="center"/>
                </w:tcPr>
                <w:p w14:paraId="13641E0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p>
              </w:tc>
              <w:tc>
                <w:tcPr>
                  <w:tcW w:w="4189" w:type="dxa"/>
                  <w:gridSpan w:val="4"/>
                  <w:noWrap w:val="0"/>
                  <w:vAlign w:val="center"/>
                </w:tcPr>
                <w:p w14:paraId="7C98282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粗车</w:t>
                  </w:r>
                  <w:r>
                    <w:rPr>
                      <w:rFonts w:hint="eastAsia" w:cs="Times New Roman"/>
                      <w:color w:val="auto"/>
                      <w:sz w:val="21"/>
                      <w:szCs w:val="21"/>
                      <w:highlight w:val="none"/>
                      <w:lang w:val="en-US" w:eastAsia="zh-CN"/>
                    </w:rPr>
                    <w:t>车床</w:t>
                  </w:r>
                  <w:r>
                    <w:rPr>
                      <w:rFonts w:hint="eastAsia" w:ascii="Times New Roman" w:hAnsi="Times New Roman" w:eastAsia="宋体" w:cs="Times New Roman"/>
                      <w:color w:val="auto"/>
                      <w:sz w:val="21"/>
                      <w:szCs w:val="21"/>
                      <w:highlight w:val="none"/>
                      <w:lang w:val="en-US" w:eastAsia="zh-CN"/>
                    </w:rPr>
                    <w:t>集气罩+</w:t>
                  </w:r>
                  <w:r>
                    <w:rPr>
                      <w:rFonts w:hint="default" w:ascii="Times New Roman" w:hAnsi="Times New Roman" w:eastAsia="宋体" w:cs="Times New Roman"/>
                      <w:color w:val="auto"/>
                      <w:sz w:val="21"/>
                      <w:szCs w:val="21"/>
                      <w:highlight w:val="none"/>
                      <w:lang w:eastAsia="zh-CN"/>
                    </w:rPr>
                    <w:t>布袋除尘器</w:t>
                  </w:r>
                  <w:r>
                    <w:rPr>
                      <w:rFonts w:hint="default" w:ascii="Times New Roman" w:hAnsi="Times New Roman" w:eastAsia="宋体" w:cs="Times New Roman"/>
                      <w:color w:val="auto"/>
                      <w:sz w:val="21"/>
                      <w:szCs w:val="21"/>
                      <w:highlight w:val="none"/>
                      <w:lang w:val="en-US" w:eastAsia="zh-CN"/>
                    </w:rPr>
                    <w:t>TA00</w:t>
                  </w:r>
                  <w:r>
                    <w:rPr>
                      <w:rFonts w:hint="eastAsia" w:ascii="Times New Roman" w:hAnsi="Times New Roman" w:eastAsia="宋体"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rPr>
                    <w:t>1</w:t>
                  </w:r>
                  <w:r>
                    <w:rPr>
                      <w:rFonts w:hint="eastAsia" w:ascii="Times New Roman" w:hAnsi="Times New Roman" w:eastAsia="宋体"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rPr>
                    <w:t>m</w:t>
                  </w:r>
                  <w:r>
                    <w:rPr>
                      <w:rFonts w:hint="eastAsia" w:ascii="Times New Roman" w:hAnsi="Times New Roman" w:eastAsia="宋体" w:cs="Times New Roman"/>
                      <w:color w:val="auto"/>
                      <w:sz w:val="21"/>
                      <w:szCs w:val="21"/>
                      <w:highlight w:val="none"/>
                      <w:lang w:val="en-US" w:eastAsia="zh-CN"/>
                    </w:rPr>
                    <w:t>高</w:t>
                  </w:r>
                  <w:r>
                    <w:rPr>
                      <w:rFonts w:hint="default" w:ascii="Times New Roman" w:hAnsi="Times New Roman" w:eastAsia="宋体" w:cs="Times New Roman"/>
                      <w:color w:val="000000" w:themeColor="text1"/>
                      <w:sz w:val="21"/>
                      <w:szCs w:val="21"/>
                      <w:highlight w:val="none"/>
                      <w14:textFill>
                        <w14:solidFill>
                          <w14:schemeClr w14:val="tx1"/>
                        </w14:solidFill>
                      </w14:textFill>
                    </w:rPr>
                    <w:t>排气筒</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DA00</w:t>
                  </w:r>
                  <w:r>
                    <w:rPr>
                      <w:rFonts w:hint="eastAsia" w:cs="Times New Roman"/>
                      <w:color w:val="000000" w:themeColor="text1"/>
                      <w:sz w:val="21"/>
                      <w:szCs w:val="21"/>
                      <w:highlight w:val="none"/>
                      <w:lang w:val="en-US" w:eastAsia="zh-CN"/>
                      <w14:textFill>
                        <w14:solidFill>
                          <w14:schemeClr w14:val="tx1"/>
                        </w14:solidFill>
                      </w14:textFill>
                    </w:rPr>
                    <w:t>6</w:t>
                  </w:r>
                </w:p>
              </w:tc>
            </w:tr>
            <w:tr w14:paraId="5D026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vMerge w:val="continue"/>
                  <w:noWrap w:val="0"/>
                  <w:vAlign w:val="center"/>
                </w:tcPr>
                <w:p w14:paraId="5CA3BC4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9DACBB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G</w:t>
                  </w:r>
                  <w:r>
                    <w:rPr>
                      <w:rFonts w:hint="default" w:ascii="Times New Roman" w:hAnsi="Times New Roman" w:eastAsia="宋体" w:cs="Times New Roman"/>
                      <w:color w:val="auto"/>
                      <w:sz w:val="21"/>
                      <w:szCs w:val="21"/>
                      <w:highlight w:val="none"/>
                      <w:lang w:val="en-US" w:eastAsia="zh-CN"/>
                    </w:rPr>
                    <w:t>7</w:t>
                  </w:r>
                </w:p>
              </w:tc>
              <w:tc>
                <w:tcPr>
                  <w:tcW w:w="1578" w:type="dxa"/>
                  <w:noWrap w:val="0"/>
                  <w:vAlign w:val="center"/>
                </w:tcPr>
                <w:p w14:paraId="57F987D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喷漆</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调漆</w:t>
                  </w:r>
                  <w:r>
                    <w:rPr>
                      <w:rFonts w:hint="eastAsia" w:ascii="Times New Roman" w:hAnsi="Times New Roman" w:eastAsia="宋体" w:cs="Times New Roman"/>
                      <w:color w:val="auto"/>
                      <w:sz w:val="21"/>
                      <w:szCs w:val="21"/>
                      <w:highlight w:val="none"/>
                      <w:lang w:eastAsia="zh-CN"/>
                    </w:rPr>
                    <w:t>）</w:t>
                  </w:r>
                </w:p>
              </w:tc>
              <w:tc>
                <w:tcPr>
                  <w:tcW w:w="1267" w:type="dxa"/>
                  <w:noWrap w:val="0"/>
                  <w:vAlign w:val="center"/>
                </w:tcPr>
                <w:p w14:paraId="2E915FA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非甲烷总烃、</w:t>
                  </w:r>
                </w:p>
                <w:p w14:paraId="1E20CE8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颗粒物</w:t>
                  </w:r>
                </w:p>
              </w:tc>
              <w:tc>
                <w:tcPr>
                  <w:tcW w:w="1853" w:type="dxa"/>
                  <w:vMerge w:val="restart"/>
                  <w:noWrap w:val="0"/>
                  <w:vAlign w:val="center"/>
                </w:tcPr>
                <w:p w14:paraId="089D676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密闭喷漆、烘干生产线</w:t>
                  </w:r>
                </w:p>
              </w:tc>
              <w:tc>
                <w:tcPr>
                  <w:tcW w:w="2336" w:type="dxa"/>
                  <w:gridSpan w:val="3"/>
                  <w:vMerge w:val="restart"/>
                  <w:noWrap w:val="0"/>
                  <w:vAlign w:val="center"/>
                </w:tcPr>
                <w:p w14:paraId="73CB358B">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二级过滤棉+活性炭吸附脱附催化燃烧装置TA007+1</w:t>
                  </w:r>
                  <w:r>
                    <w:rPr>
                      <w:rFonts w:hint="eastAsia" w:ascii="Times New Roman" w:hAnsi="Times New Roman" w:eastAsia="宋体"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lang w:val="en-US" w:eastAsia="zh-CN"/>
                    </w:rPr>
                    <w:t>高</w:t>
                  </w:r>
                  <w:r>
                    <w:rPr>
                      <w:rFonts w:hint="default" w:ascii="Times New Roman" w:hAnsi="Times New Roman" w:eastAsia="宋体" w:cs="Times New Roman"/>
                      <w:color w:val="auto"/>
                      <w:sz w:val="21"/>
                      <w:szCs w:val="21"/>
                      <w:highlight w:val="none"/>
                      <w:lang w:val="en-US" w:eastAsia="zh-CN"/>
                    </w:rPr>
                    <w:t>排气筒</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w:t>
                  </w:r>
                  <w:r>
                    <w:rPr>
                      <w:rFonts w:hint="eastAsia" w:cs="Times New Roman"/>
                      <w:color w:val="000000" w:themeColor="text1"/>
                      <w:sz w:val="21"/>
                      <w:szCs w:val="21"/>
                      <w:highlight w:val="none"/>
                      <w:lang w:val="en-US" w:eastAsia="zh-CN"/>
                      <w14:textFill>
                        <w14:solidFill>
                          <w14:schemeClr w14:val="tx1"/>
                        </w14:solidFill>
                      </w14:textFill>
                    </w:rPr>
                    <w:t>7</w:t>
                  </w:r>
                </w:p>
              </w:tc>
            </w:tr>
            <w:tr w14:paraId="3E27C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3BE5AAE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59A2705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G8</w:t>
                  </w:r>
                </w:p>
              </w:tc>
              <w:tc>
                <w:tcPr>
                  <w:tcW w:w="1578" w:type="dxa"/>
                  <w:noWrap w:val="0"/>
                  <w:vAlign w:val="center"/>
                </w:tcPr>
                <w:p w14:paraId="7F53E47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烘干</w:t>
                  </w:r>
                </w:p>
              </w:tc>
              <w:tc>
                <w:tcPr>
                  <w:tcW w:w="1267" w:type="dxa"/>
                  <w:noWrap w:val="0"/>
                  <w:vAlign w:val="center"/>
                </w:tcPr>
                <w:p w14:paraId="0579A87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非甲烷总烃</w:t>
                  </w:r>
                </w:p>
              </w:tc>
              <w:tc>
                <w:tcPr>
                  <w:tcW w:w="1853" w:type="dxa"/>
                  <w:vMerge w:val="continue"/>
                  <w:noWrap w:val="0"/>
                  <w:vAlign w:val="center"/>
                </w:tcPr>
                <w:p w14:paraId="1F589A6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2336" w:type="dxa"/>
                  <w:gridSpan w:val="3"/>
                  <w:vMerge w:val="continue"/>
                  <w:noWrap w:val="0"/>
                  <w:vAlign w:val="center"/>
                </w:tcPr>
                <w:p w14:paraId="39B02BE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r>
            <w:tr w14:paraId="5C608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5FBD9CC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70503AC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55A330A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tc>
              <w:tc>
                <w:tcPr>
                  <w:tcW w:w="1267" w:type="dxa"/>
                  <w:noWrap w:val="0"/>
                  <w:vAlign w:val="center"/>
                </w:tcPr>
                <w:p w14:paraId="4475EC0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非甲烷总烃</w:t>
                  </w:r>
                </w:p>
              </w:tc>
              <w:tc>
                <w:tcPr>
                  <w:tcW w:w="1853" w:type="dxa"/>
                  <w:noWrap w:val="0"/>
                  <w:vAlign w:val="center"/>
                </w:tcPr>
                <w:p w14:paraId="71D3B62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密闭间</w:t>
                  </w:r>
                </w:p>
              </w:tc>
              <w:tc>
                <w:tcPr>
                  <w:tcW w:w="2336" w:type="dxa"/>
                  <w:gridSpan w:val="3"/>
                  <w:vMerge w:val="continue"/>
                  <w:noWrap w:val="0"/>
                  <w:vAlign w:val="center"/>
                </w:tcPr>
                <w:p w14:paraId="1175108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r>
            <w:tr w14:paraId="524E1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226874F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25F100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578" w:type="dxa"/>
                  <w:noWrap w:val="0"/>
                  <w:vAlign w:val="center"/>
                </w:tcPr>
                <w:p w14:paraId="382CC20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天然气燃烧烟气</w:t>
                  </w:r>
                </w:p>
              </w:tc>
              <w:tc>
                <w:tcPr>
                  <w:tcW w:w="1267" w:type="dxa"/>
                  <w:noWrap w:val="0"/>
                  <w:vAlign w:val="center"/>
                </w:tcPr>
                <w:p w14:paraId="7FE094B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颗粒物、SO</w:t>
                  </w:r>
                  <w:r>
                    <w:rPr>
                      <w:rFonts w:hint="eastAsia" w:cs="Times New Roman"/>
                      <w:color w:val="auto"/>
                      <w:sz w:val="21"/>
                      <w:szCs w:val="21"/>
                      <w:highlight w:val="none"/>
                      <w:vertAlign w:val="subscript"/>
                      <w:lang w:val="en-US" w:eastAsia="zh-CN"/>
                    </w:rPr>
                    <w:t>2</w:t>
                  </w:r>
                  <w:r>
                    <w:rPr>
                      <w:rFonts w:hint="eastAsia" w:cs="Times New Roman"/>
                      <w:color w:val="auto"/>
                      <w:sz w:val="21"/>
                      <w:szCs w:val="21"/>
                      <w:highlight w:val="none"/>
                      <w:lang w:val="en-US" w:eastAsia="zh-CN"/>
                    </w:rPr>
                    <w:t>、NOx、烟气黑度</w:t>
                  </w:r>
                </w:p>
              </w:tc>
              <w:tc>
                <w:tcPr>
                  <w:tcW w:w="1853" w:type="dxa"/>
                  <w:noWrap w:val="0"/>
                  <w:vAlign w:val="center"/>
                </w:tcPr>
                <w:p w14:paraId="76B24B3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kern w:val="2"/>
                      <w:sz w:val="21"/>
                      <w:szCs w:val="21"/>
                      <w:highlight w:val="none"/>
                      <w:lang w:val="en-US" w:eastAsia="zh-CN" w:bidi="ar-SA"/>
                    </w:rPr>
                    <w:t>清洁天然气</w:t>
                  </w:r>
                </w:p>
              </w:tc>
              <w:tc>
                <w:tcPr>
                  <w:tcW w:w="2336" w:type="dxa"/>
                  <w:gridSpan w:val="3"/>
                  <w:noWrap w:val="0"/>
                  <w:vAlign w:val="center"/>
                </w:tcPr>
                <w:p w14:paraId="21003C3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18m高排气筒直接排放</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DA00</w:t>
                  </w:r>
                  <w:r>
                    <w:rPr>
                      <w:rFonts w:hint="eastAsia" w:cs="Times New Roman"/>
                      <w:color w:val="000000" w:themeColor="text1"/>
                      <w:sz w:val="21"/>
                      <w:szCs w:val="21"/>
                      <w:highlight w:val="none"/>
                      <w:lang w:val="en-US" w:eastAsia="zh-CN"/>
                      <w14:textFill>
                        <w14:solidFill>
                          <w14:schemeClr w14:val="tx1"/>
                        </w14:solidFill>
                      </w14:textFill>
                    </w:rPr>
                    <w:t>8</w:t>
                  </w:r>
                </w:p>
              </w:tc>
            </w:tr>
            <w:tr w14:paraId="5FBDA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54E243C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40155FF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3E2F06A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食堂</w:t>
                  </w:r>
                </w:p>
              </w:tc>
              <w:tc>
                <w:tcPr>
                  <w:tcW w:w="1267" w:type="dxa"/>
                  <w:noWrap w:val="0"/>
                  <w:vAlign w:val="center"/>
                </w:tcPr>
                <w:p w14:paraId="69CCB71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饮食油烟</w:t>
                  </w:r>
                </w:p>
              </w:tc>
              <w:tc>
                <w:tcPr>
                  <w:tcW w:w="4189" w:type="dxa"/>
                  <w:gridSpan w:val="4"/>
                  <w:noWrap w:val="0"/>
                  <w:vAlign w:val="center"/>
                </w:tcPr>
                <w:p w14:paraId="2FAA258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高效油烟净化器</w:t>
                  </w:r>
                </w:p>
              </w:tc>
            </w:tr>
            <w:tr w14:paraId="6F431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restart"/>
                  <w:noWrap w:val="0"/>
                  <w:vAlign w:val="center"/>
                </w:tcPr>
                <w:p w14:paraId="1A0CC20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w:t>
                  </w:r>
                </w:p>
              </w:tc>
              <w:tc>
                <w:tcPr>
                  <w:tcW w:w="542" w:type="dxa"/>
                  <w:noWrap w:val="0"/>
                  <w:vAlign w:val="center"/>
                </w:tcPr>
                <w:p w14:paraId="4F47CB1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4CAAD0D0">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职工生活办公</w:t>
                  </w:r>
                </w:p>
              </w:tc>
              <w:tc>
                <w:tcPr>
                  <w:tcW w:w="1267" w:type="dxa"/>
                  <w:noWrap w:val="0"/>
                  <w:vAlign w:val="center"/>
                </w:tcPr>
                <w:p w14:paraId="0EA4C8D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生活污水</w:t>
                  </w:r>
                </w:p>
              </w:tc>
              <w:tc>
                <w:tcPr>
                  <w:tcW w:w="2666" w:type="dxa"/>
                  <w:gridSpan w:val="2"/>
                  <w:noWrap w:val="0"/>
                  <w:vAlign w:val="center"/>
                </w:tcPr>
                <w:p w14:paraId="4BE7341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化粪池</w:t>
                  </w:r>
                </w:p>
              </w:tc>
              <w:tc>
                <w:tcPr>
                  <w:tcW w:w="1523" w:type="dxa"/>
                  <w:gridSpan w:val="2"/>
                  <w:vMerge w:val="restart"/>
                  <w:noWrap w:val="0"/>
                  <w:vAlign w:val="center"/>
                </w:tcPr>
                <w:p w14:paraId="1921EB2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排入园区污水管网</w:t>
                  </w:r>
                </w:p>
              </w:tc>
            </w:tr>
            <w:tr w14:paraId="62743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3417560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965E48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0EDD319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职工食堂</w:t>
                  </w:r>
                </w:p>
              </w:tc>
              <w:tc>
                <w:tcPr>
                  <w:tcW w:w="1267" w:type="dxa"/>
                  <w:noWrap w:val="0"/>
                  <w:vAlign w:val="center"/>
                </w:tcPr>
                <w:p w14:paraId="5010D5B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食堂废水</w:t>
                  </w:r>
                </w:p>
              </w:tc>
              <w:tc>
                <w:tcPr>
                  <w:tcW w:w="2666" w:type="dxa"/>
                  <w:gridSpan w:val="2"/>
                  <w:noWrap w:val="0"/>
                  <w:vAlign w:val="center"/>
                </w:tcPr>
                <w:p w14:paraId="6056921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lang w:eastAsia="zh-CN"/>
                    </w:rPr>
                    <w:t>隔油池</w:t>
                  </w:r>
                  <w:r>
                    <w:rPr>
                      <w:rFonts w:hint="default" w:ascii="Times New Roman" w:hAnsi="Times New Roman" w:eastAsia="宋体" w:cs="Times New Roman"/>
                      <w:color w:val="auto"/>
                      <w:sz w:val="21"/>
                      <w:szCs w:val="21"/>
                      <w:highlight w:val="none"/>
                      <w:lang w:val="en-US" w:eastAsia="zh-CN"/>
                    </w:rPr>
                    <w:t>+化粪池</w:t>
                  </w:r>
                </w:p>
              </w:tc>
              <w:tc>
                <w:tcPr>
                  <w:tcW w:w="1523" w:type="dxa"/>
                  <w:gridSpan w:val="2"/>
                  <w:vMerge w:val="continue"/>
                  <w:noWrap w:val="0"/>
                  <w:vAlign w:val="center"/>
                </w:tcPr>
                <w:p w14:paraId="0C72F450">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r>
            <w:tr w14:paraId="32C08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noWrap w:val="0"/>
                  <w:vAlign w:val="center"/>
                </w:tcPr>
                <w:p w14:paraId="3F11D95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542" w:type="dxa"/>
                  <w:noWrap w:val="0"/>
                  <w:vAlign w:val="center"/>
                </w:tcPr>
                <w:p w14:paraId="2111888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N</w:t>
                  </w:r>
                </w:p>
              </w:tc>
              <w:tc>
                <w:tcPr>
                  <w:tcW w:w="1578" w:type="dxa"/>
                  <w:noWrap w:val="0"/>
                  <w:vAlign w:val="center"/>
                </w:tcPr>
                <w:p w14:paraId="08D4B0B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生产设备</w:t>
                  </w:r>
                </w:p>
              </w:tc>
              <w:tc>
                <w:tcPr>
                  <w:tcW w:w="1267" w:type="dxa"/>
                  <w:noWrap w:val="0"/>
                  <w:vAlign w:val="center"/>
                </w:tcPr>
                <w:p w14:paraId="1B1D784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等效A声级</w:t>
                  </w:r>
                </w:p>
              </w:tc>
              <w:tc>
                <w:tcPr>
                  <w:tcW w:w="4189" w:type="dxa"/>
                  <w:gridSpan w:val="4"/>
                  <w:noWrap w:val="0"/>
                  <w:vAlign w:val="center"/>
                </w:tcPr>
                <w:p w14:paraId="58CD530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低噪声设备、基础减振</w:t>
                  </w:r>
                  <w:r>
                    <w:rPr>
                      <w:rFonts w:hint="default" w:ascii="Times New Roman" w:hAnsi="Times New Roman" w:eastAsia="宋体" w:cs="Times New Roman"/>
                      <w:color w:val="auto"/>
                      <w:sz w:val="21"/>
                      <w:szCs w:val="21"/>
                      <w:highlight w:val="none"/>
                    </w:rPr>
                    <w:t>、厂房隔声、</w:t>
                  </w:r>
                  <w:r>
                    <w:rPr>
                      <w:rFonts w:hint="default" w:ascii="Times New Roman" w:hAnsi="Times New Roman" w:eastAsia="宋体" w:cs="Times New Roman"/>
                      <w:color w:val="auto"/>
                      <w:sz w:val="21"/>
                      <w:szCs w:val="21"/>
                      <w:highlight w:val="none"/>
                      <w:lang w:val="en-US" w:eastAsia="zh-CN"/>
                    </w:rPr>
                    <w:t>风机安装消声器</w:t>
                  </w:r>
                </w:p>
              </w:tc>
            </w:tr>
            <w:tr w14:paraId="6AA72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restart"/>
                  <w:noWrap w:val="0"/>
                  <w:vAlign w:val="center"/>
                </w:tcPr>
                <w:p w14:paraId="69945F1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固废</w:t>
                  </w:r>
                </w:p>
              </w:tc>
              <w:tc>
                <w:tcPr>
                  <w:tcW w:w="542" w:type="dxa"/>
                  <w:noWrap w:val="0"/>
                  <w:vAlign w:val="center"/>
                </w:tcPr>
                <w:p w14:paraId="06D20C4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S1</w:t>
                  </w:r>
                </w:p>
              </w:tc>
              <w:tc>
                <w:tcPr>
                  <w:tcW w:w="1578" w:type="dxa"/>
                  <w:noWrap w:val="0"/>
                  <w:vAlign w:val="center"/>
                </w:tcPr>
                <w:p w14:paraId="0EF37DC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中频感应电炉</w:t>
                  </w:r>
                </w:p>
              </w:tc>
              <w:tc>
                <w:tcPr>
                  <w:tcW w:w="1267" w:type="dxa"/>
                  <w:noWrap w:val="0"/>
                  <w:vAlign w:val="center"/>
                </w:tcPr>
                <w:p w14:paraId="3BD2C93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炉渣</w:t>
                  </w:r>
                </w:p>
              </w:tc>
              <w:tc>
                <w:tcPr>
                  <w:tcW w:w="4189" w:type="dxa"/>
                  <w:gridSpan w:val="4"/>
                  <w:vMerge w:val="restart"/>
                  <w:noWrap w:val="0"/>
                  <w:vAlign w:val="center"/>
                </w:tcPr>
                <w:p w14:paraId="1284CE1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收集后外售</w:t>
                  </w:r>
                </w:p>
              </w:tc>
            </w:tr>
            <w:tr w14:paraId="5996F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2AC76B8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562DB7A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S3</w:t>
                  </w:r>
                </w:p>
              </w:tc>
              <w:tc>
                <w:tcPr>
                  <w:tcW w:w="1578" w:type="dxa"/>
                  <w:noWrap w:val="0"/>
                  <w:vAlign w:val="center"/>
                </w:tcPr>
                <w:p w14:paraId="2A5E6D9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砂处理</w:t>
                  </w:r>
                </w:p>
              </w:tc>
              <w:tc>
                <w:tcPr>
                  <w:tcW w:w="1267" w:type="dxa"/>
                  <w:noWrap w:val="0"/>
                  <w:vAlign w:val="center"/>
                </w:tcPr>
                <w:p w14:paraId="170B81D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eastAsia="zh-CN"/>
                    </w:rPr>
                    <w:t>废砂</w:t>
                  </w:r>
                </w:p>
              </w:tc>
              <w:tc>
                <w:tcPr>
                  <w:tcW w:w="4189" w:type="dxa"/>
                  <w:gridSpan w:val="4"/>
                  <w:vMerge w:val="continue"/>
                  <w:noWrap w:val="0"/>
                  <w:vAlign w:val="center"/>
                </w:tcPr>
                <w:p w14:paraId="328F1F8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r>
            <w:tr w14:paraId="394F1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674E6A8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20CA2CE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S2</w:t>
                  </w:r>
                </w:p>
              </w:tc>
              <w:tc>
                <w:tcPr>
                  <w:tcW w:w="1578" w:type="dxa"/>
                  <w:noWrap w:val="0"/>
                  <w:vAlign w:val="center"/>
                </w:tcPr>
                <w:p w14:paraId="0BAACAB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去浇冒口</w:t>
                  </w:r>
                </w:p>
              </w:tc>
              <w:tc>
                <w:tcPr>
                  <w:tcW w:w="1267" w:type="dxa"/>
                  <w:noWrap w:val="0"/>
                  <w:vAlign w:val="center"/>
                </w:tcPr>
                <w:p w14:paraId="0C68B63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废浇冒口</w:t>
                  </w:r>
                </w:p>
              </w:tc>
              <w:tc>
                <w:tcPr>
                  <w:tcW w:w="4189" w:type="dxa"/>
                  <w:gridSpan w:val="4"/>
                  <w:vMerge w:val="restart"/>
                  <w:noWrap w:val="0"/>
                  <w:vAlign w:val="center"/>
                </w:tcPr>
                <w:p w14:paraId="47D88A8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收集后</w:t>
                  </w:r>
                  <w:r>
                    <w:rPr>
                      <w:rFonts w:hint="default" w:ascii="Times New Roman" w:hAnsi="Times New Roman" w:eastAsia="宋体" w:cs="Times New Roman"/>
                      <w:color w:val="auto"/>
                      <w:sz w:val="21"/>
                      <w:szCs w:val="21"/>
                      <w:highlight w:val="none"/>
                      <w:lang w:val="en-US" w:eastAsia="zh-CN"/>
                    </w:rPr>
                    <w:t>回用</w:t>
                  </w:r>
                </w:p>
              </w:tc>
            </w:tr>
            <w:tr w14:paraId="3F2FC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vMerge w:val="continue"/>
                  <w:noWrap w:val="0"/>
                  <w:vAlign w:val="center"/>
                </w:tcPr>
                <w:p w14:paraId="76D429A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2C691D4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w:t>
                  </w:r>
                  <w:r>
                    <w:rPr>
                      <w:rFonts w:hint="default" w:ascii="Times New Roman" w:hAnsi="Times New Roman" w:eastAsia="宋体" w:cs="Times New Roman"/>
                      <w:color w:val="auto"/>
                      <w:sz w:val="21"/>
                      <w:szCs w:val="21"/>
                      <w:highlight w:val="none"/>
                      <w:lang w:val="en-US" w:eastAsia="zh-CN"/>
                    </w:rPr>
                    <w:t>4</w:t>
                  </w:r>
                </w:p>
              </w:tc>
              <w:tc>
                <w:tcPr>
                  <w:tcW w:w="1578" w:type="dxa"/>
                  <w:noWrap w:val="0"/>
                  <w:vAlign w:val="center"/>
                </w:tcPr>
                <w:p w14:paraId="38D6E3A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抛丸</w:t>
                  </w:r>
                  <w:r>
                    <w:rPr>
                      <w:rFonts w:hint="default" w:ascii="Times New Roman" w:hAnsi="Times New Roman" w:eastAsia="宋体" w:cs="Times New Roman"/>
                      <w:color w:val="auto"/>
                      <w:sz w:val="21"/>
                      <w:szCs w:val="21"/>
                      <w:highlight w:val="none"/>
                    </w:rPr>
                    <w:t>清理</w:t>
                  </w:r>
                  <w:r>
                    <w:rPr>
                      <w:rFonts w:hint="default" w:ascii="Times New Roman" w:hAnsi="Times New Roman" w:eastAsia="宋体" w:cs="Times New Roman"/>
                      <w:color w:val="auto"/>
                      <w:sz w:val="21"/>
                      <w:szCs w:val="21"/>
                      <w:highlight w:val="none"/>
                      <w:lang w:eastAsia="zh-CN"/>
                    </w:rPr>
                    <w:t>、机加工</w:t>
                  </w:r>
                </w:p>
              </w:tc>
              <w:tc>
                <w:tcPr>
                  <w:tcW w:w="1267" w:type="dxa"/>
                  <w:noWrap w:val="0"/>
                  <w:vAlign w:val="center"/>
                </w:tcPr>
                <w:p w14:paraId="0A0624F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金属</w:t>
                  </w:r>
                  <w:r>
                    <w:rPr>
                      <w:rFonts w:hint="default" w:ascii="Times New Roman" w:hAnsi="Times New Roman" w:eastAsia="宋体" w:cs="Times New Roman"/>
                      <w:color w:val="auto"/>
                      <w:sz w:val="21"/>
                      <w:szCs w:val="21"/>
                      <w:highlight w:val="none"/>
                      <w:lang w:eastAsia="zh-CN"/>
                    </w:rPr>
                    <w:t>边角料、</w:t>
                  </w:r>
                  <w:r>
                    <w:rPr>
                      <w:rFonts w:hint="default" w:ascii="Times New Roman" w:hAnsi="Times New Roman" w:eastAsia="宋体" w:cs="Times New Roman"/>
                      <w:color w:val="auto"/>
                      <w:sz w:val="21"/>
                      <w:szCs w:val="21"/>
                      <w:highlight w:val="none"/>
                    </w:rPr>
                    <w:t>金属屑</w:t>
                  </w:r>
                  <w:r>
                    <w:rPr>
                      <w:rFonts w:hint="default" w:ascii="Times New Roman" w:hAnsi="Times New Roman" w:eastAsia="宋体" w:cs="Times New Roman"/>
                      <w:color w:val="auto"/>
                      <w:sz w:val="21"/>
                      <w:szCs w:val="21"/>
                      <w:highlight w:val="none"/>
                      <w:lang w:eastAsia="zh-CN"/>
                    </w:rPr>
                    <w:t>、废钢丸</w:t>
                  </w:r>
                </w:p>
              </w:tc>
              <w:tc>
                <w:tcPr>
                  <w:tcW w:w="4189" w:type="dxa"/>
                  <w:gridSpan w:val="4"/>
                  <w:vMerge w:val="continue"/>
                  <w:noWrap w:val="0"/>
                  <w:vAlign w:val="center"/>
                </w:tcPr>
                <w:p w14:paraId="6F59059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r>
            <w:tr w14:paraId="20C2D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6824EA8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8F4298B">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S5</w:t>
                  </w:r>
                </w:p>
              </w:tc>
              <w:tc>
                <w:tcPr>
                  <w:tcW w:w="1578" w:type="dxa"/>
                  <w:noWrap w:val="0"/>
                  <w:vAlign w:val="center"/>
                </w:tcPr>
                <w:p w14:paraId="34DA47B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喷漆</w:t>
                  </w:r>
                </w:p>
              </w:tc>
              <w:tc>
                <w:tcPr>
                  <w:tcW w:w="1267" w:type="dxa"/>
                  <w:noWrap w:val="0"/>
                  <w:vAlign w:val="center"/>
                </w:tcPr>
                <w:p w14:paraId="4DA6E77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废漆桶、漆渣</w:t>
                  </w:r>
                </w:p>
              </w:tc>
              <w:tc>
                <w:tcPr>
                  <w:tcW w:w="4189" w:type="dxa"/>
                  <w:gridSpan w:val="4"/>
                  <w:vMerge w:val="restart"/>
                  <w:noWrap w:val="0"/>
                  <w:vAlign w:val="center"/>
                </w:tcPr>
                <w:p w14:paraId="40A7732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暂存危废间</w:t>
                  </w:r>
                </w:p>
              </w:tc>
            </w:tr>
            <w:tr w14:paraId="5FB74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662" w:type="dxa"/>
                  <w:vMerge w:val="continue"/>
                  <w:noWrap w:val="0"/>
                  <w:vAlign w:val="center"/>
                </w:tcPr>
                <w:p w14:paraId="0EE51F5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560854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6FA635ED">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活性炭吸附脱附催化燃烧装置</w:t>
                  </w:r>
                </w:p>
              </w:tc>
              <w:tc>
                <w:tcPr>
                  <w:tcW w:w="1267" w:type="dxa"/>
                  <w:noWrap w:val="0"/>
                  <w:vAlign w:val="center"/>
                </w:tcPr>
                <w:p w14:paraId="7BD9FD9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废活性炭、废过滤棉、废催化剂</w:t>
                  </w:r>
                </w:p>
              </w:tc>
              <w:tc>
                <w:tcPr>
                  <w:tcW w:w="4189" w:type="dxa"/>
                  <w:gridSpan w:val="4"/>
                  <w:vMerge w:val="continue"/>
                  <w:noWrap w:val="0"/>
                  <w:vAlign w:val="center"/>
                </w:tcPr>
                <w:p w14:paraId="71321A6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p>
              </w:tc>
            </w:tr>
            <w:tr w14:paraId="1E2E7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662" w:type="dxa"/>
                  <w:vMerge w:val="continue"/>
                  <w:noWrap w:val="0"/>
                  <w:vAlign w:val="center"/>
                </w:tcPr>
                <w:p w14:paraId="55B52B73">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71D01E79">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1C006B7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设备润滑</w:t>
                  </w:r>
                </w:p>
              </w:tc>
              <w:tc>
                <w:tcPr>
                  <w:tcW w:w="1267" w:type="dxa"/>
                  <w:noWrap w:val="0"/>
                  <w:vAlign w:val="center"/>
                </w:tcPr>
                <w:p w14:paraId="2A6806C1">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废润滑油、废润滑油桶</w:t>
                  </w:r>
                </w:p>
              </w:tc>
              <w:tc>
                <w:tcPr>
                  <w:tcW w:w="4189" w:type="dxa"/>
                  <w:gridSpan w:val="4"/>
                  <w:vMerge w:val="continue"/>
                  <w:noWrap w:val="0"/>
                  <w:vAlign w:val="center"/>
                </w:tcPr>
                <w:p w14:paraId="609AF33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p>
              </w:tc>
            </w:tr>
            <w:tr w14:paraId="32A4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294E4B54">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39D6645B">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54D0B1A5">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隔油池化粪池</w:t>
                  </w:r>
                </w:p>
              </w:tc>
              <w:tc>
                <w:tcPr>
                  <w:tcW w:w="1267" w:type="dxa"/>
                  <w:noWrap w:val="0"/>
                  <w:vAlign w:val="center"/>
                </w:tcPr>
                <w:p w14:paraId="2EC45F6C">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污泥</w:t>
                  </w:r>
                </w:p>
              </w:tc>
              <w:tc>
                <w:tcPr>
                  <w:tcW w:w="4189" w:type="dxa"/>
                  <w:gridSpan w:val="4"/>
                  <w:noWrap w:val="0"/>
                  <w:vAlign w:val="center"/>
                </w:tcPr>
                <w:p w14:paraId="109C812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环卫部门清掏</w:t>
                  </w:r>
                </w:p>
              </w:tc>
            </w:tr>
            <w:tr w14:paraId="3F37F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662" w:type="dxa"/>
                  <w:vMerge w:val="continue"/>
                  <w:noWrap w:val="0"/>
                  <w:vAlign w:val="center"/>
                </w:tcPr>
                <w:p w14:paraId="1AA1EE00">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2DDF5FA7">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7C72278A">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除尘器</w:t>
                  </w:r>
                </w:p>
              </w:tc>
              <w:tc>
                <w:tcPr>
                  <w:tcW w:w="1267" w:type="dxa"/>
                  <w:noWrap w:val="0"/>
                  <w:vAlign w:val="center"/>
                </w:tcPr>
                <w:p w14:paraId="65E01C80">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除尘灰</w:t>
                  </w:r>
                </w:p>
              </w:tc>
              <w:tc>
                <w:tcPr>
                  <w:tcW w:w="4189" w:type="dxa"/>
                  <w:gridSpan w:val="4"/>
                  <w:noWrap w:val="0"/>
                  <w:vAlign w:val="center"/>
                </w:tcPr>
                <w:p w14:paraId="69350AB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收集后外售</w:t>
                  </w:r>
                </w:p>
              </w:tc>
            </w:tr>
            <w:tr w14:paraId="288DC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662" w:type="dxa"/>
                  <w:vMerge w:val="continue"/>
                  <w:noWrap w:val="0"/>
                  <w:vAlign w:val="center"/>
                </w:tcPr>
                <w:p w14:paraId="7E267BCF">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p>
              </w:tc>
              <w:tc>
                <w:tcPr>
                  <w:tcW w:w="542" w:type="dxa"/>
                  <w:noWrap w:val="0"/>
                  <w:vAlign w:val="center"/>
                </w:tcPr>
                <w:p w14:paraId="0F55C638">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78" w:type="dxa"/>
                  <w:noWrap w:val="0"/>
                  <w:vAlign w:val="center"/>
                </w:tcPr>
                <w:p w14:paraId="2E50D8E2">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职工生活办公</w:t>
                  </w:r>
                </w:p>
              </w:tc>
              <w:tc>
                <w:tcPr>
                  <w:tcW w:w="1267" w:type="dxa"/>
                  <w:noWrap w:val="0"/>
                  <w:vAlign w:val="center"/>
                </w:tcPr>
                <w:p w14:paraId="1BA51B36">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生活垃圾</w:t>
                  </w:r>
                </w:p>
              </w:tc>
              <w:tc>
                <w:tcPr>
                  <w:tcW w:w="4189" w:type="dxa"/>
                  <w:gridSpan w:val="4"/>
                  <w:noWrap w:val="0"/>
                  <w:vAlign w:val="center"/>
                </w:tcPr>
                <w:p w14:paraId="5ABFD52E">
                  <w:pPr>
                    <w:pStyle w:val="103"/>
                    <w:keepLines w:val="0"/>
                    <w:pageBreakBefore w:val="0"/>
                    <w:widowControl w:val="0"/>
                    <w:kinsoku/>
                    <w:overflowPunct/>
                    <w:topLinePunct w:val="0"/>
                    <w:autoSpaceDE/>
                    <w:autoSpaceDN/>
                    <w:bidi w:val="0"/>
                    <w:spacing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统一由环卫部门清运处理</w:t>
                  </w:r>
                </w:p>
              </w:tc>
            </w:tr>
          </w:tbl>
          <w:p w14:paraId="1E42BD15">
            <w:pPr>
              <w:keepNext w:val="0"/>
              <w:keepLines w:val="0"/>
              <w:pageBreakBefore w:val="0"/>
              <w:widowControl w:val="0"/>
              <w:kinsoku/>
              <w:wordWrap/>
              <w:overflowPunct/>
              <w:topLinePunct w:val="0"/>
              <w:autoSpaceDE/>
              <w:autoSpaceDN/>
              <w:bidi w:val="0"/>
              <w:adjustRightInd/>
              <w:snapToGrid/>
              <w:spacing w:before="95" w:beforeLines="30" w:after="95" w:afterLines="30" w:line="480" w:lineRule="exact"/>
              <w:jc w:val="left"/>
              <w:textAlignment w:val="auto"/>
              <w:rPr>
                <w:rFonts w:hint="default"/>
                <w:b/>
                <w:bCs/>
                <w:color w:val="000000" w:themeColor="text1"/>
                <w:sz w:val="24"/>
                <w:szCs w:val="24"/>
                <w:highlight w:val="none"/>
                <w:lang w:val="en-US" w:eastAsia="zh-CN"/>
                <w14:textFill>
                  <w14:solidFill>
                    <w14:schemeClr w14:val="tx1"/>
                  </w14:solidFill>
                </w14:textFill>
              </w:rPr>
            </w:pPr>
            <w:r>
              <w:rPr>
                <w:rFonts w:hint="eastAsia"/>
                <w:b/>
                <w:bCs/>
                <w:color w:val="000000" w:themeColor="text1"/>
                <w:sz w:val="24"/>
                <w:szCs w:val="24"/>
                <w:highlight w:val="none"/>
                <w:lang w:val="en-US" w:eastAsia="zh-CN"/>
                <w14:textFill>
                  <w14:solidFill>
                    <w14:schemeClr w14:val="tx1"/>
                  </w14:solidFill>
                </w14:textFill>
              </w:rPr>
              <w:t>三、技改工程建设内容</w:t>
            </w:r>
          </w:p>
          <w:p w14:paraId="742D49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技改项目</w:t>
            </w:r>
            <w:r>
              <w:rPr>
                <w:rFonts w:hint="eastAsia"/>
                <w:color w:val="000000" w:themeColor="text1"/>
                <w:sz w:val="24"/>
                <w:highlight w:val="none"/>
                <w:lang w:val="en-US" w:eastAsia="zh-CN"/>
                <w14:textFill>
                  <w14:solidFill>
                    <w14:schemeClr w14:val="tx1"/>
                  </w14:solidFill>
                </w14:textFill>
              </w:rPr>
              <w:t>在</w:t>
            </w:r>
            <w:r>
              <w:rPr>
                <w:rFonts w:hint="eastAsia"/>
                <w:color w:val="000000" w:themeColor="text1"/>
                <w:sz w:val="24"/>
                <w:highlight w:val="none"/>
                <w14:textFill>
                  <w14:solidFill>
                    <w14:schemeClr w14:val="tx1"/>
                  </w14:solidFill>
                </w14:textFill>
              </w:rPr>
              <w:t>喷漆前增加清洗烘干线，提高喷漆质量</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。技改完成后</w:t>
            </w:r>
            <w:r>
              <w:rPr>
                <w:rFonts w:hint="eastAsia" w:cs="Times New Roman"/>
                <w:color w:val="000000" w:themeColor="text1"/>
                <w:sz w:val="24"/>
                <w:szCs w:val="24"/>
                <w:highlight w:val="none"/>
                <w:lang w:val="en-US" w:eastAsia="zh-CN"/>
                <w14:textFill>
                  <w14:solidFill>
                    <w14:schemeClr w14:val="tx1"/>
                  </w14:solidFill>
                </w14:textFill>
              </w:rPr>
              <w:t>企业</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产品规模、主要原辅材料、主要生产设备及工艺、劳动定员等均不发生变化。技改项目</w:t>
            </w:r>
            <w:r>
              <w:rPr>
                <w:rFonts w:hint="eastAsia"/>
                <w:bCs/>
                <w:color w:val="000000" w:themeColor="text1"/>
                <w:sz w:val="24"/>
                <w:highlight w:val="none"/>
                <w:lang w:val="en-US" w:eastAsia="zh-CN"/>
                <w14:textFill>
                  <w14:solidFill>
                    <w14:schemeClr w14:val="tx1"/>
                  </w14:solidFill>
                </w14:textFill>
              </w:rPr>
              <w:t>不新增占地，位于厂区喷漆烘干间内、喷漆烘干设备的东侧。</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技改后公司厂周边关系不发生变化。</w:t>
            </w:r>
            <w:r>
              <w:rPr>
                <w:rFonts w:hint="eastAsia"/>
                <w:color w:val="000000" w:themeColor="text1"/>
                <w:sz w:val="24"/>
                <w:highlight w:val="none"/>
                <w:lang w:val="en-US" w:eastAsia="zh-CN"/>
                <w14:textFill>
                  <w14:solidFill>
                    <w14:schemeClr w14:val="tx1"/>
                  </w14:solidFill>
                </w14:textFill>
              </w:rPr>
              <w:t>技改</w:t>
            </w:r>
            <w:r>
              <w:rPr>
                <w:rFonts w:hint="eastAsia"/>
                <w:color w:val="000000" w:themeColor="text1"/>
                <w:sz w:val="24"/>
                <w:highlight w:val="none"/>
                <w:lang w:eastAsia="zh-CN"/>
                <w14:textFill>
                  <w14:solidFill>
                    <w14:schemeClr w14:val="tx1"/>
                  </w14:solidFill>
                </w14:textFill>
              </w:rPr>
              <w:t>项目</w:t>
            </w:r>
            <w:r>
              <w:rPr>
                <w:color w:val="000000" w:themeColor="text1"/>
                <w:sz w:val="24"/>
                <w:highlight w:val="none"/>
                <w14:textFill>
                  <w14:solidFill>
                    <w14:schemeClr w14:val="tx1"/>
                  </w14:solidFill>
                </w14:textFill>
              </w:rPr>
              <w:t>总投资为</w:t>
            </w:r>
            <w:r>
              <w:rPr>
                <w:rFonts w:hint="eastAsia"/>
                <w:color w:val="000000" w:themeColor="text1"/>
                <w:sz w:val="24"/>
                <w:highlight w:val="none"/>
                <w:lang w:val="en-US" w:eastAsia="zh-CN"/>
                <w14:textFill>
                  <w14:solidFill>
                    <w14:schemeClr w14:val="tx1"/>
                  </w14:solidFill>
                </w14:textFill>
              </w:rPr>
              <w:t>80万元</w:t>
            </w:r>
            <w:r>
              <w:rPr>
                <w:color w:val="000000" w:themeColor="text1"/>
                <w:sz w:val="24"/>
                <w:highlight w:val="none"/>
                <w14:textFill>
                  <w14:solidFill>
                    <w14:schemeClr w14:val="tx1"/>
                  </w14:solidFill>
                </w14:textFill>
              </w:rPr>
              <w:t>，其中环保投资</w:t>
            </w:r>
            <w:r>
              <w:rPr>
                <w:rFonts w:hint="eastAsia"/>
                <w:color w:val="000000" w:themeColor="text1"/>
                <w:sz w:val="24"/>
                <w:highlight w:val="none"/>
                <w:lang w:val="en-US" w:eastAsia="zh-CN"/>
                <w14:textFill>
                  <w14:solidFill>
                    <w14:schemeClr w14:val="tx1"/>
                  </w14:solidFill>
                </w14:textFill>
              </w:rPr>
              <w:t>10万元</w:t>
            </w:r>
            <w:r>
              <w:rPr>
                <w:color w:val="000000" w:themeColor="text1"/>
                <w:sz w:val="24"/>
                <w:highlight w:val="none"/>
                <w14:textFill>
                  <w14:solidFill>
                    <w14:schemeClr w14:val="tx1"/>
                  </w14:solidFill>
                </w14:textFill>
              </w:rPr>
              <w:t>，占总投资的</w:t>
            </w:r>
            <w:r>
              <w:rPr>
                <w:rFonts w:hint="eastAsia"/>
                <w:color w:val="000000" w:themeColor="text1"/>
                <w:sz w:val="24"/>
                <w:highlight w:val="none"/>
                <w:lang w:val="en-US" w:eastAsia="zh-CN"/>
                <w14:textFill>
                  <w14:solidFill>
                    <w14:schemeClr w14:val="tx1"/>
                  </w14:solidFill>
                </w14:textFill>
              </w:rPr>
              <w:t>12.5</w:t>
            </w:r>
            <w:r>
              <w:rPr>
                <w:color w:val="000000" w:themeColor="text1"/>
                <w:sz w:val="24"/>
                <w:highlight w:val="none"/>
                <w14:textFill>
                  <w14:solidFill>
                    <w14:schemeClr w14:val="tx1"/>
                  </w14:solidFill>
                </w14:textFill>
              </w:rPr>
              <w:t>%。</w:t>
            </w:r>
          </w:p>
          <w:p w14:paraId="30CDC6E5">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pPr>
            <w:r>
              <w:rPr>
                <w:rFonts w:ascii="Times New Roman" w:hAnsi="Times New Roman" w:eastAsia="宋体" w:cs="Times New Roman"/>
                <w:b/>
                <w:bCs w:val="0"/>
                <w:color w:val="000000" w:themeColor="text1"/>
                <w:sz w:val="24"/>
                <w:highlight w:val="none"/>
                <w14:textFill>
                  <w14:solidFill>
                    <w14:schemeClr w14:val="tx1"/>
                  </w14:solidFill>
                </w14:textFill>
              </w:rPr>
              <w:t>建设内容</w:t>
            </w:r>
            <w:r>
              <w:rPr>
                <w:rFonts w:hint="eastAsia" w:cs="Times New Roman"/>
                <w:b/>
                <w:bCs w:val="0"/>
                <w:color w:val="000000" w:themeColor="text1"/>
                <w:sz w:val="24"/>
                <w:highlight w:val="none"/>
                <w:lang w:val="en-US" w:eastAsia="zh-CN"/>
                <w14:textFill>
                  <w14:solidFill>
                    <w14:schemeClr w14:val="tx1"/>
                  </w14:solidFill>
                </w14:textFill>
              </w:rPr>
              <w:t>及建设规模</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利用已有生产车间，对现有喷漆线进行技术改造，增加喷漆前处理清洗烘干线1条，包括上下件缓存动力滚筒2套、自动清洗输送系统1套、脱脂清洗喷淋系统及水槽1套、主脱脂清洗喷淋系统及水槽1套、水洗一、二喷淋系统及水槽2套</w:t>
            </w:r>
            <w:r>
              <w:rPr>
                <w:rFonts w:hint="eastAsia" w:cs="Times New Roman"/>
                <w:bCs/>
                <w:color w:val="000000" w:themeColor="text1"/>
                <w:sz w:val="24"/>
                <w:highlight w:val="none"/>
                <w:lang w:val="en-US" w:eastAsia="zh-CN"/>
                <w14:textFill>
                  <w14:solidFill>
                    <w14:schemeClr w14:val="tx1"/>
                  </w14:solidFill>
                </w14:textFill>
              </w:rPr>
              <w:t>（设备厂家功能优化设计为1套）</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、水洗防锈喷淋系统及水槽1套、自动切水系统1套、自动烘干系统1套、喷淋加热段排雾系统1套、纯水机1套</w:t>
            </w:r>
            <w:r>
              <w:rPr>
                <w:rFonts w:hint="eastAsia" w:cs="Times New Roman"/>
                <w:bCs/>
                <w:color w:val="000000" w:themeColor="text1"/>
                <w:sz w:val="24"/>
                <w:highlight w:val="none"/>
                <w:lang w:val="en-US" w:eastAsia="zh-CN"/>
                <w14:textFill>
                  <w14:solidFill>
                    <w14:schemeClr w14:val="tx1"/>
                  </w14:solidFill>
                </w14:textFill>
              </w:rPr>
              <w:t>（企业外购纯水，不再安装纯水机）</w:t>
            </w:r>
            <w:r>
              <w:rPr>
                <w:rFonts w:hint="eastAsia" w:ascii="Times New Roman" w:hAnsi="Times New Roman" w:eastAsia="宋体" w:cs="Times New Roman"/>
                <w:bCs/>
                <w:color w:val="000000" w:themeColor="text1"/>
                <w:sz w:val="24"/>
                <w:highlight w:val="none"/>
                <w:lang w:val="en-US" w:eastAsia="zh-CN"/>
                <w14:textFill>
                  <w14:solidFill>
                    <w14:schemeClr w14:val="tx1"/>
                  </w14:solidFill>
                </w14:textFill>
              </w:rPr>
              <w:t>、集中电器控制系统1套。对喷漆前的工件进行表面清洗，项目建设完成后全厂建设规模不变。</w:t>
            </w:r>
          </w:p>
          <w:p w14:paraId="3350B953">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cs="Times New Roman"/>
                <w:bCs/>
                <w:color w:val="000000" w:themeColor="text1"/>
                <w:sz w:val="24"/>
                <w:highlight w:val="none"/>
                <w:lang w:val="en-US" w:eastAsia="zh-CN"/>
                <w14:textFill>
                  <w14:solidFill>
                    <w14:schemeClr w14:val="tx1"/>
                  </w14:solidFill>
                </w14:textFill>
              </w:rPr>
            </w:pPr>
            <w:r>
              <w:rPr>
                <w:rFonts w:hint="eastAsia" w:cs="Times New Roman"/>
                <w:b/>
                <w:bCs w:val="0"/>
                <w:color w:val="000000" w:themeColor="text1"/>
                <w:sz w:val="24"/>
                <w:highlight w:val="none"/>
                <w:lang w:val="en-US" w:eastAsia="zh-CN"/>
                <w14:textFill>
                  <w14:solidFill>
                    <w14:schemeClr w14:val="tx1"/>
                  </w14:solidFill>
                </w14:textFill>
              </w:rPr>
              <w:t>项目投资:</w:t>
            </w:r>
            <w:r>
              <w:rPr>
                <w:rFonts w:hint="eastAsia" w:cs="Times New Roman"/>
                <w:bCs/>
                <w:color w:val="000000" w:themeColor="text1"/>
                <w:sz w:val="24"/>
                <w:highlight w:val="none"/>
                <w:lang w:val="en-US" w:eastAsia="zh-CN"/>
                <w14:textFill>
                  <w14:solidFill>
                    <w14:schemeClr w14:val="tx1"/>
                  </w14:solidFill>
                </w14:textFill>
              </w:rPr>
              <w:t>项目总投资为80万元，其中环保投资10万元，占总投资的12.5%。</w:t>
            </w:r>
          </w:p>
          <w:p w14:paraId="206FCB24">
            <w:pPr>
              <w:pStyle w:val="8"/>
              <w:spacing w:line="360" w:lineRule="auto"/>
              <w:ind w:firstLine="482"/>
              <w:rPr>
                <w:rFonts w:hint="eastAsia" w:ascii="Times New Roman" w:hAnsi="Times New Roman" w:eastAsia="宋体" w:cs="Times New Roman"/>
                <w:b w:val="0"/>
                <w:bCs/>
                <w:color w:val="000000" w:themeColor="text1"/>
                <w:szCs w:val="24"/>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Cs w:val="24"/>
                <w:highlight w:val="none"/>
                <w:lang w:val="en-US" w:eastAsia="zh-CN"/>
                <w14:textFill>
                  <w14:solidFill>
                    <w14:schemeClr w14:val="tx1"/>
                  </w14:solidFill>
                </w14:textFill>
              </w:rPr>
              <w:t>技改</w:t>
            </w:r>
            <w:r>
              <w:rPr>
                <w:rFonts w:hint="eastAsia" w:cs="Times New Roman"/>
                <w:b w:val="0"/>
                <w:bCs/>
                <w:color w:val="000000" w:themeColor="text1"/>
                <w:szCs w:val="24"/>
                <w:highlight w:val="none"/>
                <w:lang w:val="en-US" w:eastAsia="zh-CN"/>
                <w14:textFill>
                  <w14:solidFill>
                    <w14:schemeClr w14:val="tx1"/>
                  </w14:solidFill>
                </w14:textFill>
              </w:rPr>
              <w:t>项目</w:t>
            </w:r>
            <w:r>
              <w:rPr>
                <w:rFonts w:hint="eastAsia" w:ascii="Times New Roman" w:hAnsi="Times New Roman" w:eastAsia="宋体" w:cs="Times New Roman"/>
                <w:b w:val="0"/>
                <w:bCs/>
                <w:color w:val="000000" w:themeColor="text1"/>
                <w:szCs w:val="24"/>
                <w:highlight w:val="none"/>
                <w:lang w:val="en-US" w:eastAsia="zh-CN"/>
                <w14:textFill>
                  <w14:solidFill>
                    <w14:schemeClr w14:val="tx1"/>
                  </w14:solidFill>
                </w14:textFill>
              </w:rPr>
              <w:t xml:space="preserve">建设内容见下表。 </w:t>
            </w:r>
          </w:p>
          <w:p w14:paraId="19ADED0F">
            <w:pPr>
              <w:pStyle w:val="13"/>
              <w:jc w:val="center"/>
              <w:rPr>
                <w:rFonts w:hint="eastAsia" w:ascii="Times New Roman" w:hAnsi="Times New Roman" w:eastAsia="宋体" w:cs="Times New Roman"/>
                <w:b/>
                <w:bCs/>
                <w:color w:val="000000" w:themeColor="text1"/>
                <w:sz w:val="24"/>
                <w:szCs w:val="32"/>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32"/>
                <w:highlight w:val="none"/>
                <w:lang w:val="en-US" w:eastAsia="zh-CN"/>
                <w14:textFill>
                  <w14:solidFill>
                    <w14:schemeClr w14:val="tx1"/>
                  </w14:solidFill>
                </w14:textFill>
              </w:rPr>
              <w:t>表2-5  技改工程主要建设内容</w:t>
            </w:r>
          </w:p>
          <w:tbl>
            <w:tblPr>
              <w:tblStyle w:val="36"/>
              <w:tblW w:w="4998" w:type="pct"/>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4"/>
              <w:gridCol w:w="566"/>
              <w:gridCol w:w="1055"/>
              <w:gridCol w:w="3214"/>
              <w:gridCol w:w="1321"/>
              <w:gridCol w:w="956"/>
            </w:tblGrid>
            <w:tr w14:paraId="314E576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703" w:type="pct"/>
                  <w:tcBorders>
                    <w:top w:val="single" w:color="auto" w:sz="4" w:space="0"/>
                    <w:left w:val="single" w:color="auto" w:sz="4" w:space="0"/>
                  </w:tcBorders>
                  <w:noWrap w:val="0"/>
                  <w:vAlign w:val="center"/>
                </w:tcPr>
                <w:p w14:paraId="125C4A8E">
                  <w:pPr>
                    <w:spacing w:line="240" w:lineRule="atLeast"/>
                    <w:jc w:val="center"/>
                    <w:rPr>
                      <w:b/>
                      <w:bCs/>
                      <w:color w:val="auto"/>
                      <w:kern w:val="0"/>
                      <w:szCs w:val="21"/>
                      <w:highlight w:val="none"/>
                    </w:rPr>
                  </w:pPr>
                  <w:r>
                    <w:rPr>
                      <w:b/>
                      <w:bCs/>
                      <w:color w:val="auto"/>
                      <w:kern w:val="0"/>
                      <w:szCs w:val="21"/>
                      <w:highlight w:val="none"/>
                    </w:rPr>
                    <w:t>工程类别</w:t>
                  </w:r>
                </w:p>
              </w:tc>
              <w:tc>
                <w:tcPr>
                  <w:tcW w:w="979" w:type="pct"/>
                  <w:gridSpan w:val="2"/>
                  <w:tcBorders>
                    <w:top w:val="single" w:color="auto" w:sz="4" w:space="0"/>
                  </w:tcBorders>
                  <w:noWrap w:val="0"/>
                  <w:vAlign w:val="center"/>
                </w:tcPr>
                <w:p w14:paraId="2805DC63">
                  <w:pPr>
                    <w:spacing w:line="240" w:lineRule="atLeast"/>
                    <w:jc w:val="center"/>
                    <w:rPr>
                      <w:b/>
                      <w:bCs/>
                      <w:color w:val="auto"/>
                      <w:kern w:val="0"/>
                      <w:szCs w:val="21"/>
                      <w:highlight w:val="none"/>
                    </w:rPr>
                  </w:pPr>
                  <w:r>
                    <w:rPr>
                      <w:b/>
                      <w:bCs/>
                      <w:color w:val="auto"/>
                      <w:kern w:val="0"/>
                      <w:szCs w:val="21"/>
                      <w:highlight w:val="none"/>
                    </w:rPr>
                    <w:t>建设名称</w:t>
                  </w:r>
                </w:p>
              </w:tc>
              <w:tc>
                <w:tcPr>
                  <w:tcW w:w="1941" w:type="pct"/>
                  <w:tcBorders>
                    <w:top w:val="single" w:color="auto" w:sz="4" w:space="0"/>
                  </w:tcBorders>
                  <w:noWrap w:val="0"/>
                  <w:vAlign w:val="center"/>
                </w:tcPr>
                <w:p w14:paraId="7986F114">
                  <w:pPr>
                    <w:spacing w:line="240" w:lineRule="atLeast"/>
                    <w:jc w:val="center"/>
                    <w:rPr>
                      <w:b/>
                      <w:bCs/>
                      <w:color w:val="FF0000"/>
                      <w:kern w:val="0"/>
                      <w:szCs w:val="21"/>
                      <w:highlight w:val="none"/>
                    </w:rPr>
                  </w:pPr>
                  <w:r>
                    <w:rPr>
                      <w:b/>
                      <w:bCs/>
                      <w:color w:val="000000" w:themeColor="text1"/>
                      <w:kern w:val="0"/>
                      <w:szCs w:val="21"/>
                      <w:highlight w:val="none"/>
                      <w14:textFill>
                        <w14:solidFill>
                          <w14:schemeClr w14:val="tx1"/>
                        </w14:solidFill>
                      </w14:textFill>
                    </w:rPr>
                    <w:t>工程内容</w:t>
                  </w:r>
                </w:p>
              </w:tc>
              <w:tc>
                <w:tcPr>
                  <w:tcW w:w="797" w:type="pct"/>
                  <w:tcBorders>
                    <w:top w:val="single" w:color="auto" w:sz="4" w:space="0"/>
                    <w:right w:val="single" w:color="auto" w:sz="4" w:space="0"/>
                  </w:tcBorders>
                  <w:noWrap w:val="0"/>
                  <w:vAlign w:val="center"/>
                </w:tcPr>
                <w:p w14:paraId="4AD819DD">
                  <w:pPr>
                    <w:spacing w:line="240" w:lineRule="atLeast"/>
                    <w:jc w:val="center"/>
                    <w:rPr>
                      <w:b/>
                      <w:bCs/>
                      <w:color w:val="auto"/>
                      <w:kern w:val="0"/>
                      <w:szCs w:val="21"/>
                      <w:highlight w:val="none"/>
                    </w:rPr>
                  </w:pPr>
                  <w:r>
                    <w:rPr>
                      <w:b/>
                      <w:bCs/>
                      <w:color w:val="auto"/>
                      <w:kern w:val="0"/>
                      <w:szCs w:val="21"/>
                      <w:highlight w:val="none"/>
                    </w:rPr>
                    <w:t>规模</w:t>
                  </w:r>
                </w:p>
              </w:tc>
              <w:tc>
                <w:tcPr>
                  <w:tcW w:w="577" w:type="pct"/>
                  <w:tcBorders>
                    <w:top w:val="single" w:color="auto" w:sz="4" w:space="0"/>
                    <w:right w:val="single" w:color="auto" w:sz="4" w:space="0"/>
                  </w:tcBorders>
                  <w:noWrap w:val="0"/>
                  <w:vAlign w:val="center"/>
                </w:tcPr>
                <w:p w14:paraId="3D8CED39">
                  <w:pPr>
                    <w:spacing w:line="240" w:lineRule="atLeast"/>
                    <w:jc w:val="center"/>
                    <w:rPr>
                      <w:rFonts w:hint="eastAsia"/>
                      <w:b/>
                      <w:bCs/>
                      <w:color w:val="auto"/>
                      <w:kern w:val="0"/>
                      <w:szCs w:val="21"/>
                      <w:highlight w:val="none"/>
                    </w:rPr>
                  </w:pPr>
                  <w:r>
                    <w:rPr>
                      <w:rFonts w:hint="eastAsia"/>
                      <w:b/>
                      <w:bCs/>
                      <w:color w:val="auto"/>
                      <w:kern w:val="0"/>
                      <w:szCs w:val="21"/>
                      <w:highlight w:val="none"/>
                    </w:rPr>
                    <w:t>备注</w:t>
                  </w:r>
                </w:p>
              </w:tc>
            </w:tr>
            <w:tr w14:paraId="79BB3E8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703" w:type="pct"/>
                  <w:tcBorders>
                    <w:left w:val="single" w:color="auto" w:sz="4" w:space="0"/>
                  </w:tcBorders>
                  <w:noWrap w:val="0"/>
                  <w:vAlign w:val="center"/>
                </w:tcPr>
                <w:p w14:paraId="0BF66C0C">
                  <w:pPr>
                    <w:spacing w:line="240" w:lineRule="atLeast"/>
                    <w:jc w:val="center"/>
                    <w:rPr>
                      <w:color w:val="auto"/>
                      <w:kern w:val="0"/>
                      <w:szCs w:val="21"/>
                      <w:highlight w:val="none"/>
                    </w:rPr>
                  </w:pPr>
                  <w:r>
                    <w:rPr>
                      <w:color w:val="auto"/>
                      <w:kern w:val="0"/>
                      <w:szCs w:val="21"/>
                      <w:highlight w:val="none"/>
                    </w:rPr>
                    <w:t>主体工程</w:t>
                  </w:r>
                </w:p>
              </w:tc>
              <w:tc>
                <w:tcPr>
                  <w:tcW w:w="979" w:type="pct"/>
                  <w:gridSpan w:val="2"/>
                  <w:noWrap w:val="0"/>
                  <w:vAlign w:val="center"/>
                </w:tcPr>
                <w:p w14:paraId="03BEBAA4">
                  <w:pPr>
                    <w:spacing w:line="240" w:lineRule="atLeast"/>
                    <w:jc w:val="center"/>
                    <w:rPr>
                      <w:color w:val="auto"/>
                      <w:kern w:val="0"/>
                      <w:szCs w:val="21"/>
                      <w:highlight w:val="none"/>
                    </w:rPr>
                  </w:pPr>
                  <w:r>
                    <w:rPr>
                      <w:rFonts w:hint="eastAsia"/>
                      <w:color w:val="auto"/>
                      <w:kern w:val="0"/>
                      <w:szCs w:val="21"/>
                      <w:highlight w:val="none"/>
                    </w:rPr>
                    <w:t>清洗烘干线</w:t>
                  </w:r>
                </w:p>
              </w:tc>
              <w:tc>
                <w:tcPr>
                  <w:tcW w:w="1941" w:type="pct"/>
                  <w:noWrap w:val="0"/>
                  <w:vAlign w:val="center"/>
                </w:tcPr>
                <w:p w14:paraId="13CA9D4E">
                  <w:pPr>
                    <w:pStyle w:val="2"/>
                    <w:spacing w:line="240" w:lineRule="auto"/>
                    <w:ind w:firstLine="0" w:firstLineChars="0"/>
                    <w:jc w:val="center"/>
                    <w:rPr>
                      <w:color w:val="FF0000"/>
                      <w:kern w:val="0"/>
                      <w:sz w:val="21"/>
                      <w:szCs w:val="21"/>
                      <w:highlight w:val="none"/>
                    </w:rPr>
                  </w:pPr>
                  <w:r>
                    <w:rPr>
                      <w:rFonts w:hint="eastAsia"/>
                      <w:color w:val="000000" w:themeColor="text1"/>
                      <w:kern w:val="0"/>
                      <w:sz w:val="21"/>
                      <w:szCs w:val="21"/>
                      <w:highlight w:val="none"/>
                      <w14:textFill>
                        <w14:solidFill>
                          <w14:schemeClr w14:val="tx1"/>
                        </w14:solidFill>
                      </w14:textFill>
                    </w:rPr>
                    <w:t>喷漆烘干间内增加1条清洗烘干设备，提高喷漆质量</w:t>
                  </w:r>
                </w:p>
              </w:tc>
              <w:tc>
                <w:tcPr>
                  <w:tcW w:w="797" w:type="pct"/>
                  <w:tcBorders>
                    <w:right w:val="single" w:color="auto" w:sz="4" w:space="0"/>
                  </w:tcBorders>
                  <w:noWrap w:val="0"/>
                  <w:vAlign w:val="center"/>
                </w:tcPr>
                <w:p w14:paraId="5AE3A0C6">
                  <w:pPr>
                    <w:pStyle w:val="2"/>
                    <w:spacing w:line="240" w:lineRule="auto"/>
                    <w:ind w:firstLine="0" w:firstLineChars="0"/>
                    <w:jc w:val="center"/>
                    <w:rPr>
                      <w:color w:val="auto"/>
                      <w:kern w:val="0"/>
                      <w:sz w:val="21"/>
                      <w:szCs w:val="21"/>
                      <w:highlight w:val="none"/>
                    </w:rPr>
                  </w:pPr>
                  <w:r>
                    <w:rPr>
                      <w:rFonts w:hint="eastAsia"/>
                      <w:color w:val="auto"/>
                      <w:kern w:val="0"/>
                      <w:sz w:val="21"/>
                      <w:szCs w:val="21"/>
                      <w:highlight w:val="none"/>
                    </w:rPr>
                    <w:t>--</w:t>
                  </w:r>
                </w:p>
              </w:tc>
              <w:tc>
                <w:tcPr>
                  <w:tcW w:w="577" w:type="pct"/>
                  <w:tcBorders>
                    <w:right w:val="single" w:color="auto" w:sz="4" w:space="0"/>
                  </w:tcBorders>
                  <w:noWrap w:val="0"/>
                  <w:vAlign w:val="center"/>
                </w:tcPr>
                <w:p w14:paraId="2DAAA190">
                  <w:pPr>
                    <w:pStyle w:val="2"/>
                    <w:spacing w:line="240" w:lineRule="auto"/>
                    <w:ind w:firstLine="0" w:firstLineChars="0"/>
                    <w:jc w:val="center"/>
                    <w:rPr>
                      <w:color w:val="auto"/>
                      <w:kern w:val="0"/>
                      <w:sz w:val="21"/>
                      <w:szCs w:val="21"/>
                      <w:highlight w:val="none"/>
                    </w:rPr>
                  </w:pPr>
                  <w:r>
                    <w:rPr>
                      <w:rFonts w:hint="eastAsia"/>
                      <w:color w:val="auto"/>
                      <w:kern w:val="0"/>
                      <w:sz w:val="21"/>
                      <w:szCs w:val="21"/>
                      <w:highlight w:val="none"/>
                    </w:rPr>
                    <w:t>--</w:t>
                  </w:r>
                </w:p>
              </w:tc>
            </w:tr>
            <w:tr w14:paraId="3EDDDC4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703" w:type="pct"/>
                  <w:tcBorders>
                    <w:left w:val="single" w:color="auto" w:sz="4" w:space="0"/>
                  </w:tcBorders>
                  <w:noWrap w:val="0"/>
                  <w:vAlign w:val="center"/>
                </w:tcPr>
                <w:p w14:paraId="71698D4B">
                  <w:pPr>
                    <w:spacing w:line="240" w:lineRule="atLeast"/>
                    <w:jc w:val="center"/>
                    <w:rPr>
                      <w:color w:val="auto"/>
                      <w:kern w:val="0"/>
                      <w:szCs w:val="21"/>
                      <w:highlight w:val="none"/>
                    </w:rPr>
                  </w:pPr>
                  <w:r>
                    <w:rPr>
                      <w:color w:val="auto"/>
                      <w:kern w:val="0"/>
                      <w:szCs w:val="21"/>
                      <w:highlight w:val="none"/>
                    </w:rPr>
                    <w:t>辅助工程</w:t>
                  </w:r>
                </w:p>
              </w:tc>
              <w:tc>
                <w:tcPr>
                  <w:tcW w:w="979" w:type="pct"/>
                  <w:gridSpan w:val="2"/>
                  <w:noWrap w:val="0"/>
                  <w:vAlign w:val="center"/>
                </w:tcPr>
                <w:p w14:paraId="006B548A">
                  <w:pPr>
                    <w:spacing w:line="240" w:lineRule="atLeast"/>
                    <w:jc w:val="center"/>
                    <w:rPr>
                      <w:color w:val="auto"/>
                      <w:kern w:val="0"/>
                      <w:szCs w:val="21"/>
                      <w:highlight w:val="none"/>
                    </w:rPr>
                  </w:pPr>
                  <w:r>
                    <w:rPr>
                      <w:rFonts w:hint="eastAsia"/>
                      <w:color w:val="auto"/>
                      <w:kern w:val="0"/>
                      <w:szCs w:val="21"/>
                      <w:highlight w:val="none"/>
                    </w:rPr>
                    <w:t>纯水制备系统</w:t>
                  </w:r>
                </w:p>
              </w:tc>
              <w:tc>
                <w:tcPr>
                  <w:tcW w:w="1941" w:type="pct"/>
                  <w:noWrap w:val="0"/>
                  <w:vAlign w:val="center"/>
                </w:tcPr>
                <w:p w14:paraId="6BD28F1A">
                  <w:pPr>
                    <w:pStyle w:val="2"/>
                    <w:spacing w:line="240" w:lineRule="auto"/>
                    <w:ind w:firstLine="0" w:firstLineChars="0"/>
                    <w:jc w:val="left"/>
                    <w:rPr>
                      <w:color w:val="auto"/>
                      <w:kern w:val="0"/>
                      <w:sz w:val="21"/>
                      <w:szCs w:val="21"/>
                      <w:highlight w:val="none"/>
                    </w:rPr>
                  </w:pPr>
                  <w:r>
                    <w:rPr>
                      <w:rFonts w:hint="eastAsia"/>
                      <w:color w:val="auto"/>
                      <w:kern w:val="0"/>
                      <w:sz w:val="21"/>
                      <w:szCs w:val="21"/>
                      <w:highlight w:val="none"/>
                    </w:rPr>
                    <w:t>新增纯水机一台</w:t>
                  </w:r>
                </w:p>
              </w:tc>
              <w:tc>
                <w:tcPr>
                  <w:tcW w:w="797" w:type="pct"/>
                  <w:tcBorders>
                    <w:right w:val="single" w:color="auto" w:sz="4" w:space="0"/>
                  </w:tcBorders>
                  <w:noWrap w:val="0"/>
                  <w:vAlign w:val="center"/>
                </w:tcPr>
                <w:p w14:paraId="71496032">
                  <w:pPr>
                    <w:pStyle w:val="2"/>
                    <w:spacing w:line="240" w:lineRule="auto"/>
                    <w:ind w:firstLine="0" w:firstLineChars="0"/>
                    <w:jc w:val="center"/>
                    <w:rPr>
                      <w:color w:val="auto"/>
                      <w:kern w:val="0"/>
                      <w:szCs w:val="21"/>
                      <w:highlight w:val="none"/>
                    </w:rPr>
                  </w:pPr>
                  <w:r>
                    <w:rPr>
                      <w:rFonts w:hint="eastAsia"/>
                      <w:color w:val="auto"/>
                      <w:kern w:val="0"/>
                      <w:sz w:val="21"/>
                      <w:szCs w:val="21"/>
                      <w:highlight w:val="none"/>
                    </w:rPr>
                    <w:t>2t/h</w:t>
                  </w:r>
                </w:p>
              </w:tc>
              <w:tc>
                <w:tcPr>
                  <w:tcW w:w="577" w:type="pct"/>
                  <w:tcBorders>
                    <w:right w:val="single" w:color="auto" w:sz="4" w:space="0"/>
                  </w:tcBorders>
                  <w:noWrap w:val="0"/>
                  <w:vAlign w:val="center"/>
                </w:tcPr>
                <w:p w14:paraId="7C73F6B4">
                  <w:pPr>
                    <w:pStyle w:val="2"/>
                    <w:spacing w:line="240" w:lineRule="auto"/>
                    <w:ind w:firstLine="0" w:firstLineChars="0"/>
                    <w:jc w:val="left"/>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外购纯水不再安装纯水机</w:t>
                  </w:r>
                </w:p>
              </w:tc>
            </w:tr>
            <w:tr w14:paraId="72AF0E5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703" w:type="pct"/>
                  <w:vMerge w:val="restart"/>
                  <w:tcBorders>
                    <w:left w:val="single" w:color="auto" w:sz="4" w:space="0"/>
                  </w:tcBorders>
                  <w:noWrap w:val="0"/>
                  <w:vAlign w:val="center"/>
                </w:tcPr>
                <w:p w14:paraId="52AEC6CA">
                  <w:pPr>
                    <w:spacing w:line="240" w:lineRule="atLeast"/>
                    <w:jc w:val="center"/>
                    <w:rPr>
                      <w:color w:val="auto"/>
                      <w:kern w:val="0"/>
                      <w:szCs w:val="21"/>
                      <w:highlight w:val="none"/>
                    </w:rPr>
                  </w:pPr>
                  <w:r>
                    <w:rPr>
                      <w:rFonts w:hint="eastAsia"/>
                      <w:color w:val="auto"/>
                      <w:kern w:val="0"/>
                      <w:szCs w:val="21"/>
                      <w:highlight w:val="none"/>
                    </w:rPr>
                    <w:t>储运工程</w:t>
                  </w:r>
                </w:p>
              </w:tc>
              <w:tc>
                <w:tcPr>
                  <w:tcW w:w="979" w:type="pct"/>
                  <w:gridSpan w:val="2"/>
                  <w:noWrap w:val="0"/>
                  <w:vAlign w:val="center"/>
                </w:tcPr>
                <w:p w14:paraId="5039F4EF">
                  <w:pPr>
                    <w:spacing w:line="240" w:lineRule="atLeast"/>
                    <w:jc w:val="center"/>
                    <w:rPr>
                      <w:color w:val="auto"/>
                      <w:kern w:val="0"/>
                      <w:szCs w:val="21"/>
                      <w:highlight w:val="none"/>
                    </w:rPr>
                  </w:pPr>
                  <w:r>
                    <w:rPr>
                      <w:rFonts w:hint="eastAsia"/>
                      <w:color w:val="auto"/>
                      <w:kern w:val="0"/>
                      <w:szCs w:val="21"/>
                      <w:highlight w:val="none"/>
                    </w:rPr>
                    <w:t>储存</w:t>
                  </w:r>
                </w:p>
              </w:tc>
              <w:tc>
                <w:tcPr>
                  <w:tcW w:w="2738" w:type="pct"/>
                  <w:gridSpan w:val="2"/>
                  <w:tcBorders>
                    <w:right w:val="single" w:color="auto" w:sz="4" w:space="0"/>
                  </w:tcBorders>
                  <w:noWrap w:val="0"/>
                  <w:vAlign w:val="center"/>
                </w:tcPr>
                <w:p w14:paraId="6B05901C">
                  <w:pPr>
                    <w:spacing w:line="240" w:lineRule="atLeast"/>
                    <w:jc w:val="left"/>
                    <w:rPr>
                      <w:color w:val="auto"/>
                      <w:kern w:val="0"/>
                      <w:szCs w:val="21"/>
                      <w:highlight w:val="none"/>
                    </w:rPr>
                  </w:pPr>
                  <w:r>
                    <w:rPr>
                      <w:rFonts w:hint="eastAsia"/>
                      <w:bCs/>
                      <w:color w:val="auto"/>
                      <w:szCs w:val="21"/>
                      <w:highlight w:val="none"/>
                    </w:rPr>
                    <w:t>清洗使用重油垢清洗剂、多功能防锈剂均为液态，桶装，在油漆库内与油漆分区存放。</w:t>
                  </w:r>
                </w:p>
              </w:tc>
              <w:tc>
                <w:tcPr>
                  <w:tcW w:w="577" w:type="pct"/>
                  <w:tcBorders>
                    <w:right w:val="single" w:color="auto" w:sz="4" w:space="0"/>
                  </w:tcBorders>
                  <w:noWrap w:val="0"/>
                  <w:vAlign w:val="center"/>
                </w:tcPr>
                <w:p w14:paraId="1B0D37B7">
                  <w:pPr>
                    <w:spacing w:line="240" w:lineRule="atLeast"/>
                    <w:jc w:val="center"/>
                    <w:rPr>
                      <w:color w:val="auto"/>
                      <w:kern w:val="0"/>
                      <w:szCs w:val="21"/>
                      <w:highlight w:val="none"/>
                    </w:rPr>
                  </w:pPr>
                  <w:r>
                    <w:rPr>
                      <w:rFonts w:hint="eastAsia"/>
                      <w:color w:val="auto"/>
                      <w:kern w:val="0"/>
                      <w:szCs w:val="21"/>
                      <w:highlight w:val="none"/>
                    </w:rPr>
                    <w:t>--</w:t>
                  </w:r>
                </w:p>
              </w:tc>
            </w:tr>
            <w:tr w14:paraId="4B9AD91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703" w:type="pct"/>
                  <w:vMerge w:val="continue"/>
                  <w:tcBorders>
                    <w:left w:val="single" w:color="auto" w:sz="4" w:space="0"/>
                  </w:tcBorders>
                  <w:noWrap w:val="0"/>
                  <w:vAlign w:val="center"/>
                </w:tcPr>
                <w:p w14:paraId="2AE1249C">
                  <w:pPr>
                    <w:spacing w:line="240" w:lineRule="atLeast"/>
                    <w:jc w:val="center"/>
                    <w:rPr>
                      <w:color w:val="auto"/>
                      <w:kern w:val="0"/>
                      <w:szCs w:val="21"/>
                      <w:highlight w:val="none"/>
                    </w:rPr>
                  </w:pPr>
                </w:p>
              </w:tc>
              <w:tc>
                <w:tcPr>
                  <w:tcW w:w="979" w:type="pct"/>
                  <w:gridSpan w:val="2"/>
                  <w:noWrap w:val="0"/>
                  <w:vAlign w:val="center"/>
                </w:tcPr>
                <w:p w14:paraId="02DFF83A">
                  <w:pPr>
                    <w:pStyle w:val="92"/>
                    <w:spacing w:line="320" w:lineRule="exact"/>
                    <w:jc w:val="center"/>
                    <w:rPr>
                      <w:rFonts w:hint="eastAsia"/>
                      <w:color w:val="auto"/>
                      <w:kern w:val="0"/>
                      <w:szCs w:val="21"/>
                      <w:highlight w:val="none"/>
                    </w:rPr>
                  </w:pPr>
                  <w:r>
                    <w:rPr>
                      <w:rFonts w:hint="eastAsia"/>
                      <w:color w:val="auto"/>
                      <w:szCs w:val="21"/>
                      <w:highlight w:val="none"/>
                    </w:rPr>
                    <w:t>运输</w:t>
                  </w:r>
                </w:p>
              </w:tc>
              <w:tc>
                <w:tcPr>
                  <w:tcW w:w="2738" w:type="pct"/>
                  <w:gridSpan w:val="2"/>
                  <w:tcBorders>
                    <w:right w:val="single" w:color="auto" w:sz="4" w:space="0"/>
                  </w:tcBorders>
                  <w:noWrap w:val="0"/>
                  <w:vAlign w:val="center"/>
                </w:tcPr>
                <w:p w14:paraId="5E154879">
                  <w:pPr>
                    <w:spacing w:line="240" w:lineRule="atLeast"/>
                    <w:jc w:val="left"/>
                    <w:rPr>
                      <w:color w:val="auto"/>
                      <w:kern w:val="0"/>
                      <w:szCs w:val="21"/>
                      <w:highlight w:val="none"/>
                    </w:rPr>
                  </w:pPr>
                  <w:r>
                    <w:rPr>
                      <w:rFonts w:hint="eastAsia"/>
                      <w:bCs/>
                      <w:color w:val="auto"/>
                      <w:szCs w:val="21"/>
                      <w:highlight w:val="none"/>
                    </w:rPr>
                    <w:t>重油垢清洗剂、多功能防锈剂采用汽车运输</w:t>
                  </w:r>
                </w:p>
              </w:tc>
              <w:tc>
                <w:tcPr>
                  <w:tcW w:w="577" w:type="pct"/>
                  <w:tcBorders>
                    <w:right w:val="single" w:color="auto" w:sz="4" w:space="0"/>
                  </w:tcBorders>
                  <w:noWrap w:val="0"/>
                  <w:vAlign w:val="center"/>
                </w:tcPr>
                <w:p w14:paraId="427BD1CA">
                  <w:pPr>
                    <w:spacing w:line="240" w:lineRule="atLeast"/>
                    <w:jc w:val="center"/>
                    <w:rPr>
                      <w:color w:val="auto"/>
                      <w:kern w:val="0"/>
                      <w:szCs w:val="21"/>
                      <w:highlight w:val="none"/>
                    </w:rPr>
                  </w:pPr>
                  <w:r>
                    <w:rPr>
                      <w:rFonts w:hint="eastAsia"/>
                      <w:color w:val="auto"/>
                      <w:kern w:val="0"/>
                      <w:szCs w:val="21"/>
                      <w:highlight w:val="none"/>
                    </w:rPr>
                    <w:t>--</w:t>
                  </w:r>
                </w:p>
              </w:tc>
            </w:tr>
            <w:tr w14:paraId="214EB36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703" w:type="pct"/>
                  <w:vMerge w:val="restart"/>
                  <w:tcBorders>
                    <w:left w:val="single" w:color="auto" w:sz="4" w:space="0"/>
                  </w:tcBorders>
                  <w:noWrap w:val="0"/>
                  <w:vAlign w:val="center"/>
                </w:tcPr>
                <w:p w14:paraId="3F797F73">
                  <w:pPr>
                    <w:spacing w:line="240" w:lineRule="atLeast"/>
                    <w:jc w:val="center"/>
                    <w:rPr>
                      <w:color w:val="auto"/>
                      <w:kern w:val="0"/>
                      <w:szCs w:val="21"/>
                      <w:highlight w:val="none"/>
                    </w:rPr>
                  </w:pPr>
                  <w:r>
                    <w:rPr>
                      <w:color w:val="auto"/>
                      <w:kern w:val="0"/>
                      <w:szCs w:val="21"/>
                      <w:highlight w:val="none"/>
                    </w:rPr>
                    <w:t>公用工程</w:t>
                  </w:r>
                </w:p>
              </w:tc>
              <w:tc>
                <w:tcPr>
                  <w:tcW w:w="979" w:type="pct"/>
                  <w:gridSpan w:val="2"/>
                  <w:noWrap w:val="0"/>
                  <w:vAlign w:val="center"/>
                </w:tcPr>
                <w:p w14:paraId="19BF947E">
                  <w:pPr>
                    <w:spacing w:line="240" w:lineRule="atLeast"/>
                    <w:jc w:val="center"/>
                    <w:rPr>
                      <w:color w:val="auto"/>
                      <w:kern w:val="0"/>
                      <w:szCs w:val="21"/>
                      <w:highlight w:val="none"/>
                    </w:rPr>
                  </w:pPr>
                  <w:r>
                    <w:rPr>
                      <w:color w:val="auto"/>
                      <w:kern w:val="0"/>
                      <w:szCs w:val="21"/>
                      <w:highlight w:val="none"/>
                    </w:rPr>
                    <w:t>给水</w:t>
                  </w:r>
                </w:p>
              </w:tc>
              <w:tc>
                <w:tcPr>
                  <w:tcW w:w="2738" w:type="pct"/>
                  <w:gridSpan w:val="2"/>
                  <w:tcBorders>
                    <w:right w:val="single" w:color="auto" w:sz="4" w:space="0"/>
                  </w:tcBorders>
                  <w:noWrap w:val="0"/>
                  <w:vAlign w:val="center"/>
                </w:tcPr>
                <w:p w14:paraId="433D761F">
                  <w:pPr>
                    <w:spacing w:line="240" w:lineRule="atLeast"/>
                    <w:jc w:val="left"/>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技改项目所需纯水外购</w:t>
                  </w:r>
                  <w:r>
                    <w:rPr>
                      <w:rFonts w:hint="eastAsia"/>
                      <w:color w:val="000000" w:themeColor="text1"/>
                      <w:kern w:val="0"/>
                      <w:szCs w:val="21"/>
                      <w:highlight w:val="none"/>
                      <w14:textFill>
                        <w14:solidFill>
                          <w14:schemeClr w14:val="tx1"/>
                        </w14:solidFill>
                      </w14:textFill>
                    </w:rPr>
                    <w:t>，0.</w:t>
                  </w:r>
                  <w:r>
                    <w:rPr>
                      <w:rFonts w:hint="eastAsia"/>
                      <w:color w:val="000000" w:themeColor="text1"/>
                      <w:kern w:val="0"/>
                      <w:szCs w:val="21"/>
                      <w:highlight w:val="none"/>
                      <w:lang w:val="en-US" w:eastAsia="zh-CN"/>
                      <w14:textFill>
                        <w14:solidFill>
                          <w14:schemeClr w14:val="tx1"/>
                        </w14:solidFill>
                      </w14:textFill>
                    </w:rPr>
                    <w:t>093</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kern w:val="0"/>
                      <w:szCs w:val="21"/>
                      <w:highlight w:val="none"/>
                      <w14:textFill>
                        <w14:solidFill>
                          <w14:schemeClr w14:val="tx1"/>
                        </w14:solidFill>
                      </w14:textFill>
                    </w:rPr>
                    <w:t>/d、</w:t>
                  </w:r>
                  <w:r>
                    <w:rPr>
                      <w:rFonts w:hint="eastAsia"/>
                      <w:color w:val="000000" w:themeColor="text1"/>
                      <w:kern w:val="0"/>
                      <w:szCs w:val="21"/>
                      <w:highlight w:val="none"/>
                      <w:lang w:val="en-US" w:eastAsia="zh-CN"/>
                      <w14:textFill>
                        <w14:solidFill>
                          <w14:schemeClr w14:val="tx1"/>
                        </w14:solidFill>
                      </w14:textFill>
                    </w:rPr>
                    <w:t>27.9</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kern w:val="0"/>
                      <w:szCs w:val="21"/>
                      <w:highlight w:val="none"/>
                      <w14:textFill>
                        <w14:solidFill>
                          <w14:schemeClr w14:val="tx1"/>
                        </w14:solidFill>
                      </w14:textFill>
                    </w:rPr>
                    <w:t>/a。</w:t>
                  </w:r>
                </w:p>
              </w:tc>
              <w:tc>
                <w:tcPr>
                  <w:tcW w:w="577" w:type="pct"/>
                  <w:tcBorders>
                    <w:right w:val="single" w:color="auto" w:sz="4" w:space="0"/>
                  </w:tcBorders>
                  <w:noWrap w:val="0"/>
                  <w:vAlign w:val="center"/>
                </w:tcPr>
                <w:p w14:paraId="6D422401">
                  <w:pPr>
                    <w:spacing w:line="240" w:lineRule="atLeast"/>
                    <w:jc w:val="left"/>
                    <w:rPr>
                      <w:rFonts w:hint="default" w:eastAsia="宋体"/>
                      <w:color w:val="auto"/>
                      <w:kern w:val="0"/>
                      <w:szCs w:val="21"/>
                      <w:highlight w:val="none"/>
                      <w:lang w:val="en-US" w:eastAsia="zh-CN"/>
                    </w:rPr>
                  </w:pPr>
                  <w:r>
                    <w:rPr>
                      <w:rFonts w:hint="eastAsia"/>
                      <w:color w:val="auto"/>
                      <w:kern w:val="0"/>
                      <w:szCs w:val="21"/>
                      <w:highlight w:val="none"/>
                      <w:lang w:val="en-US" w:eastAsia="zh-CN"/>
                    </w:rPr>
                    <w:t xml:space="preserve">   --</w:t>
                  </w:r>
                </w:p>
              </w:tc>
            </w:tr>
            <w:tr w14:paraId="2542422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703" w:type="pct"/>
                  <w:vMerge w:val="continue"/>
                  <w:tcBorders>
                    <w:left w:val="single" w:color="auto" w:sz="4" w:space="0"/>
                  </w:tcBorders>
                  <w:noWrap w:val="0"/>
                  <w:vAlign w:val="center"/>
                </w:tcPr>
                <w:p w14:paraId="66CC7619">
                  <w:pPr>
                    <w:spacing w:line="240" w:lineRule="atLeast"/>
                    <w:jc w:val="center"/>
                    <w:rPr>
                      <w:color w:val="auto"/>
                      <w:kern w:val="0"/>
                      <w:szCs w:val="21"/>
                      <w:highlight w:val="none"/>
                    </w:rPr>
                  </w:pPr>
                </w:p>
              </w:tc>
              <w:tc>
                <w:tcPr>
                  <w:tcW w:w="979" w:type="pct"/>
                  <w:gridSpan w:val="2"/>
                  <w:noWrap w:val="0"/>
                  <w:vAlign w:val="center"/>
                </w:tcPr>
                <w:p w14:paraId="0D64FBB7">
                  <w:pPr>
                    <w:spacing w:line="240" w:lineRule="atLeast"/>
                    <w:jc w:val="center"/>
                    <w:rPr>
                      <w:color w:val="auto"/>
                      <w:kern w:val="0"/>
                      <w:szCs w:val="21"/>
                      <w:highlight w:val="none"/>
                    </w:rPr>
                  </w:pPr>
                  <w:r>
                    <w:rPr>
                      <w:color w:val="auto"/>
                      <w:kern w:val="0"/>
                      <w:szCs w:val="21"/>
                      <w:highlight w:val="none"/>
                    </w:rPr>
                    <w:t>排水</w:t>
                  </w:r>
                </w:p>
              </w:tc>
              <w:tc>
                <w:tcPr>
                  <w:tcW w:w="2738" w:type="pct"/>
                  <w:gridSpan w:val="2"/>
                  <w:tcBorders>
                    <w:right w:val="single" w:color="auto" w:sz="4" w:space="0"/>
                  </w:tcBorders>
                  <w:noWrap w:val="0"/>
                  <w:vAlign w:val="center"/>
                </w:tcPr>
                <w:p w14:paraId="549459E0">
                  <w:pPr>
                    <w:widowControl/>
                    <w:snapToGrid w:val="0"/>
                    <w:jc w:val="left"/>
                    <w:textAlignment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清洗废水产生量为0.0</w:t>
                  </w:r>
                  <w:r>
                    <w:rPr>
                      <w:rFonts w:hint="eastAsia"/>
                      <w:color w:val="000000" w:themeColor="text1"/>
                      <w:highlight w:val="none"/>
                      <w:lang w:val="en-US" w:eastAsia="zh-CN"/>
                      <w14:textFill>
                        <w14:solidFill>
                          <w14:schemeClr w14:val="tx1"/>
                        </w14:solidFill>
                      </w14:textFill>
                    </w:rPr>
                    <w:t>5</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highlight w:val="none"/>
                      <w14:textFill>
                        <w14:solidFill>
                          <w14:schemeClr w14:val="tx1"/>
                        </w14:solidFill>
                      </w14:textFill>
                    </w:rPr>
                    <w:t>/d、</w:t>
                  </w:r>
                  <w:r>
                    <w:rPr>
                      <w:rFonts w:hint="eastAsia"/>
                      <w:color w:val="000000" w:themeColor="text1"/>
                      <w:highlight w:val="none"/>
                      <w:lang w:val="en-US" w:eastAsia="zh-CN"/>
                      <w14:textFill>
                        <w14:solidFill>
                          <w14:schemeClr w14:val="tx1"/>
                        </w14:solidFill>
                      </w14:textFill>
                    </w:rPr>
                    <w:t>15</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highlight w:val="none"/>
                      <w14:textFill>
                        <w14:solidFill>
                          <w14:schemeClr w14:val="tx1"/>
                        </w14:solidFill>
                      </w14:textFill>
                    </w:rPr>
                    <w:t>/a，絮凝沉淀后</w:t>
                  </w:r>
                  <w:r>
                    <w:rPr>
                      <w:color w:val="000000" w:themeColor="text1"/>
                      <w:highlight w:val="none"/>
                      <w14:textFill>
                        <w14:solidFill>
                          <w14:schemeClr w14:val="tx1"/>
                        </w14:solidFill>
                      </w14:textFill>
                    </w:rPr>
                    <w:t>排入园区污水管网，最终进入行唐县第二污水处理厂</w:t>
                  </w:r>
                  <w:r>
                    <w:rPr>
                      <w:rFonts w:hint="eastAsia"/>
                      <w:color w:val="000000" w:themeColor="text1"/>
                      <w:highlight w:val="none"/>
                      <w14:textFill>
                        <w14:solidFill>
                          <w14:schemeClr w14:val="tx1"/>
                        </w14:solidFill>
                      </w14:textFill>
                    </w:rPr>
                    <w:t>。</w:t>
                  </w:r>
                </w:p>
              </w:tc>
              <w:tc>
                <w:tcPr>
                  <w:tcW w:w="577" w:type="pct"/>
                  <w:tcBorders>
                    <w:right w:val="single" w:color="auto" w:sz="4" w:space="0"/>
                  </w:tcBorders>
                  <w:noWrap w:val="0"/>
                  <w:vAlign w:val="center"/>
                </w:tcPr>
                <w:p w14:paraId="700523AD">
                  <w:pPr>
                    <w:spacing w:line="240" w:lineRule="atLeast"/>
                    <w:jc w:val="left"/>
                    <w:rPr>
                      <w:color w:val="auto"/>
                      <w:kern w:val="0"/>
                      <w:szCs w:val="21"/>
                      <w:highlight w:val="none"/>
                    </w:rPr>
                  </w:pPr>
                  <w:r>
                    <w:rPr>
                      <w:rFonts w:hint="eastAsia"/>
                      <w:color w:val="auto"/>
                      <w:kern w:val="0"/>
                      <w:szCs w:val="21"/>
                      <w:highlight w:val="none"/>
                    </w:rPr>
                    <w:t>排放方式不变</w:t>
                  </w:r>
                </w:p>
              </w:tc>
            </w:tr>
            <w:tr w14:paraId="339FF9AD">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3" w:type="pct"/>
                  <w:vMerge w:val="continue"/>
                  <w:tcBorders>
                    <w:left w:val="single" w:color="auto" w:sz="4" w:space="0"/>
                  </w:tcBorders>
                  <w:noWrap w:val="0"/>
                  <w:vAlign w:val="center"/>
                </w:tcPr>
                <w:p w14:paraId="3A060733">
                  <w:pPr>
                    <w:spacing w:line="240" w:lineRule="atLeast"/>
                    <w:jc w:val="center"/>
                    <w:rPr>
                      <w:color w:val="auto"/>
                      <w:kern w:val="0"/>
                      <w:szCs w:val="21"/>
                      <w:highlight w:val="none"/>
                    </w:rPr>
                  </w:pPr>
                </w:p>
              </w:tc>
              <w:tc>
                <w:tcPr>
                  <w:tcW w:w="979" w:type="pct"/>
                  <w:gridSpan w:val="2"/>
                  <w:noWrap w:val="0"/>
                  <w:vAlign w:val="center"/>
                </w:tcPr>
                <w:p w14:paraId="66F357D9">
                  <w:pPr>
                    <w:spacing w:line="240" w:lineRule="atLeast"/>
                    <w:jc w:val="center"/>
                    <w:rPr>
                      <w:color w:val="auto"/>
                      <w:kern w:val="0"/>
                      <w:szCs w:val="21"/>
                      <w:highlight w:val="none"/>
                    </w:rPr>
                  </w:pPr>
                  <w:r>
                    <w:rPr>
                      <w:color w:val="auto"/>
                      <w:kern w:val="0"/>
                      <w:szCs w:val="21"/>
                      <w:highlight w:val="none"/>
                    </w:rPr>
                    <w:t>供电</w:t>
                  </w:r>
                </w:p>
              </w:tc>
              <w:tc>
                <w:tcPr>
                  <w:tcW w:w="2738" w:type="pct"/>
                  <w:gridSpan w:val="2"/>
                  <w:tcBorders>
                    <w:right w:val="single" w:color="auto" w:sz="4" w:space="0"/>
                  </w:tcBorders>
                  <w:noWrap w:val="0"/>
                  <w:vAlign w:val="center"/>
                </w:tcPr>
                <w:p w14:paraId="5B55D583">
                  <w:pPr>
                    <w:spacing w:line="240" w:lineRule="atLeast"/>
                    <w:jc w:val="left"/>
                    <w:rPr>
                      <w:rFonts w:hint="eastAsia" w:eastAsia="宋体"/>
                      <w:color w:val="auto"/>
                      <w:kern w:val="0"/>
                      <w:szCs w:val="21"/>
                      <w:highlight w:val="none"/>
                      <w:lang w:eastAsia="zh-CN"/>
                    </w:rPr>
                  </w:pPr>
                  <w:r>
                    <w:rPr>
                      <w:color w:val="000000" w:themeColor="text1"/>
                      <w:kern w:val="0"/>
                      <w:szCs w:val="21"/>
                      <w:highlight w:val="none"/>
                      <w14:textFill>
                        <w14:solidFill>
                          <w14:schemeClr w14:val="tx1"/>
                        </w14:solidFill>
                      </w14:textFill>
                    </w:rPr>
                    <w:t>年用电量约</w:t>
                  </w:r>
                  <w:r>
                    <w:rPr>
                      <w:rFonts w:hint="eastAsia"/>
                      <w:color w:val="000000" w:themeColor="text1"/>
                      <w:kern w:val="0"/>
                      <w:szCs w:val="21"/>
                      <w:highlight w:val="none"/>
                      <w14:textFill>
                        <w14:solidFill>
                          <w14:schemeClr w14:val="tx1"/>
                        </w14:solidFill>
                      </w14:textFill>
                    </w:rPr>
                    <w:t>增加</w:t>
                  </w:r>
                  <w:r>
                    <w:rPr>
                      <w:rFonts w:hint="eastAsia"/>
                      <w:b w:val="0"/>
                      <w:bCs w:val="0"/>
                      <w:color w:val="000000" w:themeColor="text1"/>
                      <w:kern w:val="0"/>
                      <w:szCs w:val="21"/>
                      <w:highlight w:val="none"/>
                      <w:lang w:val="en-US" w:eastAsia="zh-CN"/>
                      <w14:textFill>
                        <w14:solidFill>
                          <w14:schemeClr w14:val="tx1"/>
                        </w14:solidFill>
                      </w14:textFill>
                    </w:rPr>
                    <w:t>45</w:t>
                  </w:r>
                  <w:r>
                    <w:rPr>
                      <w:rFonts w:hint="eastAsia"/>
                      <w:b w:val="0"/>
                      <w:bCs w:val="0"/>
                      <w:color w:val="000000" w:themeColor="text1"/>
                      <w:kern w:val="0"/>
                      <w:szCs w:val="21"/>
                      <w:highlight w:val="none"/>
                      <w14:textFill>
                        <w14:solidFill>
                          <w14:schemeClr w14:val="tx1"/>
                        </w14:solidFill>
                      </w14:textFill>
                    </w:rPr>
                    <w:t>万</w:t>
                  </w:r>
                  <w:r>
                    <w:rPr>
                      <w:b w:val="0"/>
                      <w:bCs w:val="0"/>
                      <w:color w:val="000000" w:themeColor="text1"/>
                      <w:kern w:val="0"/>
                      <w:szCs w:val="21"/>
                      <w:highlight w:val="none"/>
                      <w14:textFill>
                        <w14:solidFill>
                          <w14:schemeClr w14:val="tx1"/>
                        </w14:solidFill>
                      </w14:textFill>
                    </w:rPr>
                    <w:t>kW•h</w:t>
                  </w:r>
                </w:p>
              </w:tc>
              <w:tc>
                <w:tcPr>
                  <w:tcW w:w="577" w:type="pct"/>
                  <w:tcBorders>
                    <w:right w:val="single" w:color="auto" w:sz="4" w:space="0"/>
                  </w:tcBorders>
                  <w:noWrap w:val="0"/>
                  <w:vAlign w:val="center"/>
                </w:tcPr>
                <w:p w14:paraId="5052EEB9">
                  <w:pPr>
                    <w:spacing w:line="240" w:lineRule="atLeast"/>
                    <w:jc w:val="left"/>
                    <w:rPr>
                      <w:color w:val="auto"/>
                      <w:kern w:val="0"/>
                      <w:szCs w:val="21"/>
                      <w:highlight w:val="none"/>
                    </w:rPr>
                  </w:pPr>
                  <w:r>
                    <w:rPr>
                      <w:rFonts w:hint="eastAsia"/>
                      <w:color w:val="auto"/>
                      <w:kern w:val="0"/>
                      <w:szCs w:val="21"/>
                      <w:highlight w:val="none"/>
                    </w:rPr>
                    <w:t>供电</w:t>
                  </w:r>
                  <w:r>
                    <w:rPr>
                      <w:rFonts w:hint="eastAsia"/>
                      <w:color w:val="auto"/>
                      <w:kern w:val="0"/>
                      <w:szCs w:val="21"/>
                      <w:highlight w:val="none"/>
                      <w:lang w:val="en-US" w:eastAsia="zh-CN"/>
                    </w:rPr>
                    <w:t>方</w:t>
                  </w:r>
                  <w:r>
                    <w:rPr>
                      <w:rFonts w:hint="eastAsia"/>
                      <w:color w:val="auto"/>
                      <w:kern w:val="0"/>
                      <w:szCs w:val="21"/>
                      <w:highlight w:val="none"/>
                    </w:rPr>
                    <w:t>式不变</w:t>
                  </w:r>
                </w:p>
              </w:tc>
            </w:tr>
            <w:tr w14:paraId="6D0A373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703" w:type="pct"/>
                  <w:vMerge w:val="restart"/>
                  <w:tcBorders>
                    <w:left w:val="single" w:color="auto" w:sz="4" w:space="0"/>
                  </w:tcBorders>
                  <w:noWrap w:val="0"/>
                  <w:vAlign w:val="center"/>
                </w:tcPr>
                <w:p w14:paraId="0AC01254">
                  <w:pPr>
                    <w:spacing w:line="240" w:lineRule="atLeast"/>
                    <w:jc w:val="center"/>
                    <w:rPr>
                      <w:color w:val="auto"/>
                      <w:kern w:val="0"/>
                      <w:szCs w:val="21"/>
                      <w:highlight w:val="none"/>
                    </w:rPr>
                  </w:pPr>
                  <w:r>
                    <w:rPr>
                      <w:color w:val="auto"/>
                      <w:kern w:val="0"/>
                      <w:szCs w:val="21"/>
                      <w:highlight w:val="none"/>
                    </w:rPr>
                    <w:t>环保工程</w:t>
                  </w:r>
                </w:p>
              </w:tc>
              <w:tc>
                <w:tcPr>
                  <w:tcW w:w="979" w:type="pct"/>
                  <w:gridSpan w:val="2"/>
                  <w:noWrap w:val="0"/>
                  <w:vAlign w:val="center"/>
                </w:tcPr>
                <w:p w14:paraId="4E6814AA">
                  <w:pPr>
                    <w:spacing w:line="240" w:lineRule="atLeast"/>
                    <w:jc w:val="center"/>
                    <w:rPr>
                      <w:color w:val="auto"/>
                      <w:kern w:val="0"/>
                      <w:szCs w:val="21"/>
                      <w:highlight w:val="none"/>
                    </w:rPr>
                  </w:pPr>
                  <w:r>
                    <w:rPr>
                      <w:color w:val="auto"/>
                      <w:kern w:val="0"/>
                      <w:szCs w:val="21"/>
                      <w:highlight w:val="none"/>
                    </w:rPr>
                    <w:t>废气治理</w:t>
                  </w:r>
                </w:p>
              </w:tc>
              <w:tc>
                <w:tcPr>
                  <w:tcW w:w="2738" w:type="pct"/>
                  <w:gridSpan w:val="2"/>
                  <w:tcBorders>
                    <w:right w:val="single" w:color="auto" w:sz="4" w:space="0"/>
                  </w:tcBorders>
                  <w:noWrap w:val="0"/>
                  <w:vAlign w:val="center"/>
                </w:tcPr>
                <w:p w14:paraId="60076BFF">
                  <w:pPr>
                    <w:widowControl/>
                    <w:snapToGrid w:val="0"/>
                    <w:jc w:val="left"/>
                    <w:textAlignment w:val="center"/>
                    <w:rPr>
                      <w:color w:val="auto"/>
                      <w:highlight w:val="none"/>
                    </w:rPr>
                  </w:pPr>
                  <w:r>
                    <w:rPr>
                      <w:rFonts w:hint="eastAsia"/>
                      <w:color w:val="auto"/>
                      <w:highlight w:val="none"/>
                    </w:rPr>
                    <w:t>技改项目对喷漆前工件进行清洗烘干，去除机械加工过程中携带微量润滑油、铁屑，使用物料</w:t>
                  </w:r>
                  <w:r>
                    <w:rPr>
                      <w:rFonts w:hint="eastAsia"/>
                      <w:bCs/>
                      <w:color w:val="auto"/>
                      <w:szCs w:val="21"/>
                      <w:highlight w:val="none"/>
                    </w:rPr>
                    <w:t>重油垢清洗剂、多功能防锈剂均无挥发性有机物检出，工件携带润滑油量极低，技改项目废气</w:t>
                  </w:r>
                  <w:r>
                    <w:rPr>
                      <w:rFonts w:hint="eastAsia"/>
                      <w:bCs/>
                      <w:color w:val="auto"/>
                      <w:szCs w:val="21"/>
                      <w:highlight w:val="none"/>
                      <w:lang w:val="en-US" w:eastAsia="zh-CN"/>
                    </w:rPr>
                    <w:t>产生量极少，采取车间密闭等措施，对环境影响极小</w:t>
                  </w:r>
                  <w:r>
                    <w:rPr>
                      <w:rStyle w:val="43"/>
                      <w:rFonts w:hint="eastAsia"/>
                      <w:color w:val="auto"/>
                      <w:kern w:val="0"/>
                      <w:szCs w:val="20"/>
                      <w:highlight w:val="none"/>
                    </w:rPr>
                    <w:t>。</w:t>
                  </w:r>
                </w:p>
              </w:tc>
              <w:tc>
                <w:tcPr>
                  <w:tcW w:w="577" w:type="pct"/>
                  <w:tcBorders>
                    <w:right w:val="single" w:color="auto" w:sz="4" w:space="0"/>
                  </w:tcBorders>
                  <w:noWrap w:val="0"/>
                  <w:vAlign w:val="center"/>
                </w:tcPr>
                <w:p w14:paraId="4D64F2B8">
                  <w:pPr>
                    <w:spacing w:line="240" w:lineRule="atLeast"/>
                    <w:jc w:val="center"/>
                    <w:rPr>
                      <w:color w:val="auto"/>
                      <w:kern w:val="0"/>
                      <w:szCs w:val="21"/>
                      <w:highlight w:val="none"/>
                    </w:rPr>
                  </w:pPr>
                  <w:r>
                    <w:rPr>
                      <w:rFonts w:hint="eastAsia"/>
                      <w:color w:val="auto"/>
                      <w:kern w:val="0"/>
                      <w:szCs w:val="21"/>
                      <w:highlight w:val="none"/>
                    </w:rPr>
                    <w:t>--</w:t>
                  </w:r>
                </w:p>
              </w:tc>
            </w:tr>
            <w:tr w14:paraId="64278BE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703" w:type="pct"/>
                  <w:vMerge w:val="continue"/>
                  <w:tcBorders>
                    <w:left w:val="single" w:color="auto" w:sz="4" w:space="0"/>
                  </w:tcBorders>
                  <w:noWrap w:val="0"/>
                  <w:vAlign w:val="center"/>
                </w:tcPr>
                <w:p w14:paraId="403C4EE8">
                  <w:pPr>
                    <w:spacing w:line="240" w:lineRule="atLeast"/>
                    <w:jc w:val="center"/>
                    <w:rPr>
                      <w:color w:val="auto"/>
                      <w:kern w:val="0"/>
                      <w:szCs w:val="21"/>
                      <w:highlight w:val="none"/>
                    </w:rPr>
                  </w:pPr>
                </w:p>
              </w:tc>
              <w:tc>
                <w:tcPr>
                  <w:tcW w:w="979" w:type="pct"/>
                  <w:gridSpan w:val="2"/>
                  <w:noWrap w:val="0"/>
                  <w:vAlign w:val="center"/>
                </w:tcPr>
                <w:p w14:paraId="42EFF83E">
                  <w:pPr>
                    <w:spacing w:line="240" w:lineRule="atLeast"/>
                    <w:jc w:val="center"/>
                    <w:rPr>
                      <w:color w:val="auto"/>
                      <w:kern w:val="0"/>
                      <w:szCs w:val="21"/>
                      <w:highlight w:val="none"/>
                    </w:rPr>
                  </w:pPr>
                  <w:r>
                    <w:rPr>
                      <w:color w:val="auto"/>
                      <w:kern w:val="0"/>
                      <w:szCs w:val="21"/>
                      <w:highlight w:val="none"/>
                    </w:rPr>
                    <w:t>废水治理</w:t>
                  </w:r>
                </w:p>
              </w:tc>
              <w:tc>
                <w:tcPr>
                  <w:tcW w:w="2738" w:type="pct"/>
                  <w:gridSpan w:val="2"/>
                  <w:tcBorders>
                    <w:right w:val="single" w:color="auto" w:sz="4" w:space="0"/>
                  </w:tcBorders>
                  <w:noWrap w:val="0"/>
                  <w:vAlign w:val="center"/>
                </w:tcPr>
                <w:p w14:paraId="6E8F1C55">
                  <w:pPr>
                    <w:widowControl/>
                    <w:numPr>
                      <w:ilvl w:val="0"/>
                      <w:numId w:val="8"/>
                    </w:numPr>
                    <w:snapToGrid w:val="0"/>
                    <w:ind w:firstLine="0"/>
                    <w:jc w:val="left"/>
                    <w:textAlignment w:val="center"/>
                    <w:rPr>
                      <w:rFonts w:hint="eastAsia"/>
                      <w:color w:val="auto"/>
                      <w:highlight w:val="none"/>
                    </w:rPr>
                  </w:pPr>
                  <w:r>
                    <w:rPr>
                      <w:rFonts w:hint="eastAsia"/>
                      <w:color w:val="auto"/>
                      <w:highlight w:val="none"/>
                    </w:rPr>
                    <w:t>预脱脂、主脱脂均自带油水分离装置</w:t>
                  </w:r>
                  <w:r>
                    <w:rPr>
                      <w:rFonts w:hint="eastAsia"/>
                      <w:color w:val="auto"/>
                      <w:highlight w:val="none"/>
                      <w:lang w:eastAsia="zh-CN"/>
                    </w:rPr>
                    <w:t>，</w:t>
                  </w:r>
                  <w:r>
                    <w:rPr>
                      <w:rFonts w:hint="eastAsia"/>
                      <w:color w:val="auto"/>
                      <w:highlight w:val="none"/>
                    </w:rPr>
                    <w:t>采用不锈钢吸油带提取废油，油被刮油板刮出，收集</w:t>
                  </w:r>
                  <w:r>
                    <w:rPr>
                      <w:rFonts w:hint="eastAsia"/>
                      <w:color w:val="auto"/>
                      <w:highlight w:val="none"/>
                      <w:lang w:val="en-US" w:eastAsia="zh-CN"/>
                    </w:rPr>
                    <w:t>处理</w:t>
                  </w:r>
                  <w:r>
                    <w:rPr>
                      <w:rFonts w:hint="eastAsia"/>
                      <w:color w:val="auto"/>
                      <w:highlight w:val="none"/>
                    </w:rPr>
                    <w:t>；</w:t>
                  </w:r>
                </w:p>
                <w:p w14:paraId="1FDA9FAB">
                  <w:pPr>
                    <w:widowControl/>
                    <w:numPr>
                      <w:ilvl w:val="0"/>
                      <w:numId w:val="8"/>
                    </w:numPr>
                    <w:snapToGrid w:val="0"/>
                    <w:ind w:firstLine="0"/>
                    <w:jc w:val="left"/>
                    <w:textAlignment w:val="center"/>
                    <w:rPr>
                      <w:rFonts w:hint="eastAsia"/>
                      <w:color w:val="auto"/>
                      <w:highlight w:val="none"/>
                    </w:rPr>
                  </w:pPr>
                  <w:r>
                    <w:rPr>
                      <w:rFonts w:hint="eastAsia"/>
                      <w:color w:val="auto"/>
                      <w:highlight w:val="none"/>
                    </w:rPr>
                    <w:t>生产间歇各水池添加絮凝沉淀剂</w:t>
                  </w:r>
                  <w:r>
                    <w:rPr>
                      <w:rFonts w:hint="eastAsia"/>
                      <w:color w:val="auto"/>
                      <w:highlight w:val="none"/>
                      <w:lang w:eastAsia="zh-CN"/>
                    </w:rPr>
                    <w:t>；</w:t>
                  </w:r>
                </w:p>
                <w:p w14:paraId="58687DEA">
                  <w:pPr>
                    <w:widowControl/>
                    <w:numPr>
                      <w:ilvl w:val="0"/>
                      <w:numId w:val="8"/>
                    </w:numPr>
                    <w:snapToGrid w:val="0"/>
                    <w:ind w:firstLine="0"/>
                    <w:jc w:val="left"/>
                    <w:textAlignment w:val="center"/>
                    <w:rPr>
                      <w:rFonts w:hint="eastAsia"/>
                      <w:color w:val="auto"/>
                      <w:szCs w:val="21"/>
                      <w:highlight w:val="none"/>
                    </w:rPr>
                  </w:pPr>
                  <w:r>
                    <w:rPr>
                      <w:rFonts w:hint="eastAsia"/>
                      <w:color w:val="auto"/>
                      <w:highlight w:val="none"/>
                      <w:lang w:val="en-US" w:eastAsia="zh-CN"/>
                    </w:rPr>
                    <w:t>设备各水槽</w:t>
                  </w:r>
                  <w:r>
                    <w:rPr>
                      <w:rFonts w:hint="eastAsia"/>
                      <w:color w:val="auto"/>
                      <w:highlight w:val="none"/>
                    </w:rPr>
                    <w:t>安装二级过滤装置</w:t>
                  </w:r>
                  <w:r>
                    <w:rPr>
                      <w:rFonts w:hint="eastAsia"/>
                      <w:color w:val="auto"/>
                      <w:highlight w:val="none"/>
                      <w:lang w:eastAsia="zh-CN"/>
                    </w:rPr>
                    <w:t>；</w:t>
                  </w:r>
                  <w:r>
                    <w:rPr>
                      <w:rFonts w:hint="eastAsia"/>
                      <w:color w:val="auto"/>
                      <w:highlight w:val="none"/>
                    </w:rPr>
                    <w:t>水槽槽底采用斜底结构并设有集污沟；</w:t>
                  </w:r>
                </w:p>
                <w:p w14:paraId="4F41C573">
                  <w:pPr>
                    <w:widowControl/>
                    <w:numPr>
                      <w:ilvl w:val="0"/>
                      <w:numId w:val="8"/>
                    </w:numPr>
                    <w:snapToGrid w:val="0"/>
                    <w:ind w:firstLine="0"/>
                    <w:jc w:val="left"/>
                    <w:textAlignment w:val="center"/>
                    <w:rPr>
                      <w:color w:val="auto"/>
                      <w:highlight w:val="none"/>
                    </w:rPr>
                  </w:pPr>
                  <w:r>
                    <w:rPr>
                      <w:rFonts w:hint="eastAsia"/>
                      <w:color w:val="auto"/>
                      <w:szCs w:val="21"/>
                      <w:highlight w:val="none"/>
                      <w:lang w:val="en-US" w:eastAsia="zh-CN"/>
                    </w:rPr>
                    <w:t>设备外排废水</w:t>
                  </w:r>
                  <w:r>
                    <w:rPr>
                      <w:color w:val="auto"/>
                      <w:szCs w:val="21"/>
                      <w:highlight w:val="none"/>
                    </w:rPr>
                    <w:t>排入园区污水管网，最终进入行唐县第二污水处理厂</w:t>
                  </w:r>
                  <w:r>
                    <w:rPr>
                      <w:rFonts w:hint="eastAsia"/>
                      <w:color w:val="auto"/>
                      <w:szCs w:val="21"/>
                      <w:highlight w:val="none"/>
                    </w:rPr>
                    <w:t>。</w:t>
                  </w:r>
                </w:p>
              </w:tc>
              <w:tc>
                <w:tcPr>
                  <w:tcW w:w="577" w:type="pct"/>
                  <w:tcBorders>
                    <w:right w:val="single" w:color="auto" w:sz="4" w:space="0"/>
                  </w:tcBorders>
                  <w:noWrap w:val="0"/>
                  <w:vAlign w:val="center"/>
                </w:tcPr>
                <w:p w14:paraId="39A39440">
                  <w:pPr>
                    <w:spacing w:line="240" w:lineRule="atLeast"/>
                    <w:jc w:val="center"/>
                    <w:rPr>
                      <w:color w:val="auto"/>
                      <w:kern w:val="0"/>
                      <w:szCs w:val="21"/>
                      <w:highlight w:val="none"/>
                    </w:rPr>
                  </w:pPr>
                  <w:r>
                    <w:rPr>
                      <w:rFonts w:hint="eastAsia"/>
                      <w:color w:val="auto"/>
                      <w:kern w:val="0"/>
                      <w:szCs w:val="21"/>
                      <w:highlight w:val="none"/>
                    </w:rPr>
                    <w:t>--</w:t>
                  </w:r>
                </w:p>
              </w:tc>
            </w:tr>
            <w:tr w14:paraId="286C911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703" w:type="pct"/>
                  <w:vMerge w:val="continue"/>
                  <w:tcBorders>
                    <w:left w:val="single" w:color="auto" w:sz="4" w:space="0"/>
                  </w:tcBorders>
                  <w:noWrap w:val="0"/>
                  <w:vAlign w:val="center"/>
                </w:tcPr>
                <w:p w14:paraId="6ECC8E31">
                  <w:pPr>
                    <w:spacing w:line="240" w:lineRule="atLeast"/>
                    <w:jc w:val="center"/>
                    <w:rPr>
                      <w:color w:val="auto"/>
                      <w:kern w:val="0"/>
                      <w:szCs w:val="21"/>
                      <w:highlight w:val="none"/>
                    </w:rPr>
                  </w:pPr>
                </w:p>
              </w:tc>
              <w:tc>
                <w:tcPr>
                  <w:tcW w:w="979" w:type="pct"/>
                  <w:gridSpan w:val="2"/>
                  <w:noWrap w:val="0"/>
                  <w:vAlign w:val="center"/>
                </w:tcPr>
                <w:p w14:paraId="155A374D">
                  <w:pPr>
                    <w:spacing w:line="240" w:lineRule="atLeast"/>
                    <w:jc w:val="center"/>
                    <w:rPr>
                      <w:color w:val="auto"/>
                      <w:kern w:val="0"/>
                      <w:szCs w:val="21"/>
                      <w:highlight w:val="none"/>
                    </w:rPr>
                  </w:pPr>
                  <w:r>
                    <w:rPr>
                      <w:color w:val="auto"/>
                      <w:kern w:val="0"/>
                      <w:szCs w:val="21"/>
                      <w:highlight w:val="none"/>
                    </w:rPr>
                    <w:t>噪声治理</w:t>
                  </w:r>
                </w:p>
              </w:tc>
              <w:tc>
                <w:tcPr>
                  <w:tcW w:w="2738" w:type="pct"/>
                  <w:gridSpan w:val="2"/>
                  <w:tcBorders>
                    <w:right w:val="single" w:color="auto" w:sz="4" w:space="0"/>
                  </w:tcBorders>
                  <w:noWrap w:val="0"/>
                  <w:vAlign w:val="center"/>
                </w:tcPr>
                <w:p w14:paraId="016E7F29">
                  <w:pPr>
                    <w:spacing w:line="240" w:lineRule="atLeast"/>
                    <w:jc w:val="left"/>
                    <w:rPr>
                      <w:rFonts w:hint="eastAsia" w:eastAsia="宋体"/>
                      <w:color w:val="auto"/>
                      <w:kern w:val="0"/>
                      <w:szCs w:val="21"/>
                      <w:highlight w:val="none"/>
                      <w:lang w:eastAsia="zh-CN"/>
                    </w:rPr>
                  </w:pPr>
                  <w:r>
                    <w:rPr>
                      <w:color w:val="auto"/>
                      <w:szCs w:val="21"/>
                      <w:highlight w:val="none"/>
                    </w:rPr>
                    <w:t>选用低噪声设备、合理布局</w:t>
                  </w:r>
                  <w:r>
                    <w:rPr>
                      <w:color w:val="auto"/>
                      <w:kern w:val="0"/>
                      <w:szCs w:val="21"/>
                      <w:highlight w:val="none"/>
                    </w:rPr>
                    <w:t>、厂房隔声、距离衰减</w:t>
                  </w:r>
                  <w:r>
                    <w:rPr>
                      <w:rFonts w:hint="eastAsia"/>
                      <w:color w:val="auto"/>
                      <w:kern w:val="0"/>
                      <w:szCs w:val="21"/>
                      <w:highlight w:val="none"/>
                      <w:lang w:eastAsia="zh-CN"/>
                    </w:rPr>
                    <w:t>。</w:t>
                  </w:r>
                </w:p>
              </w:tc>
              <w:tc>
                <w:tcPr>
                  <w:tcW w:w="577" w:type="pct"/>
                  <w:tcBorders>
                    <w:right w:val="single" w:color="auto" w:sz="4" w:space="0"/>
                  </w:tcBorders>
                  <w:noWrap w:val="0"/>
                  <w:vAlign w:val="center"/>
                </w:tcPr>
                <w:p w14:paraId="5BD99350">
                  <w:pPr>
                    <w:spacing w:line="240" w:lineRule="atLeast"/>
                    <w:jc w:val="center"/>
                    <w:rPr>
                      <w:color w:val="auto"/>
                      <w:kern w:val="0"/>
                      <w:szCs w:val="21"/>
                      <w:highlight w:val="none"/>
                    </w:rPr>
                  </w:pPr>
                  <w:r>
                    <w:rPr>
                      <w:rFonts w:hint="eastAsia"/>
                      <w:color w:val="auto"/>
                      <w:kern w:val="0"/>
                      <w:szCs w:val="21"/>
                      <w:highlight w:val="none"/>
                    </w:rPr>
                    <w:t>--</w:t>
                  </w:r>
                </w:p>
              </w:tc>
            </w:tr>
            <w:tr w14:paraId="6B606453">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703" w:type="pct"/>
                  <w:vMerge w:val="continue"/>
                  <w:tcBorders>
                    <w:left w:val="single" w:color="auto" w:sz="4" w:space="0"/>
                  </w:tcBorders>
                  <w:noWrap w:val="0"/>
                  <w:vAlign w:val="center"/>
                </w:tcPr>
                <w:p w14:paraId="745CCBDF">
                  <w:pPr>
                    <w:spacing w:line="240" w:lineRule="atLeast"/>
                    <w:jc w:val="center"/>
                    <w:rPr>
                      <w:color w:val="auto"/>
                      <w:kern w:val="0"/>
                      <w:szCs w:val="21"/>
                      <w:highlight w:val="none"/>
                    </w:rPr>
                  </w:pPr>
                </w:p>
              </w:tc>
              <w:tc>
                <w:tcPr>
                  <w:tcW w:w="342" w:type="pct"/>
                  <w:vMerge w:val="restart"/>
                  <w:noWrap w:val="0"/>
                  <w:vAlign w:val="center"/>
                </w:tcPr>
                <w:p w14:paraId="0CD71BAF">
                  <w:pPr>
                    <w:spacing w:line="240" w:lineRule="atLeast"/>
                    <w:jc w:val="center"/>
                    <w:rPr>
                      <w:color w:val="auto"/>
                      <w:kern w:val="0"/>
                      <w:szCs w:val="21"/>
                      <w:highlight w:val="none"/>
                    </w:rPr>
                  </w:pPr>
                  <w:r>
                    <w:rPr>
                      <w:color w:val="auto"/>
                      <w:kern w:val="0"/>
                      <w:szCs w:val="21"/>
                      <w:highlight w:val="none"/>
                    </w:rPr>
                    <w:t>固废治理</w:t>
                  </w:r>
                </w:p>
              </w:tc>
              <w:tc>
                <w:tcPr>
                  <w:tcW w:w="636" w:type="pct"/>
                  <w:noWrap w:val="0"/>
                  <w:vAlign w:val="center"/>
                </w:tcPr>
                <w:p w14:paraId="70A60B6C">
                  <w:pPr>
                    <w:spacing w:line="240" w:lineRule="atLeast"/>
                    <w:jc w:val="center"/>
                    <w:rPr>
                      <w:color w:val="auto"/>
                      <w:kern w:val="0"/>
                      <w:szCs w:val="21"/>
                      <w:highlight w:val="none"/>
                    </w:rPr>
                  </w:pPr>
                  <w:r>
                    <w:rPr>
                      <w:rFonts w:hint="eastAsia"/>
                      <w:color w:val="auto"/>
                      <w:kern w:val="0"/>
                      <w:szCs w:val="21"/>
                      <w:highlight w:val="none"/>
                    </w:rPr>
                    <w:t>一般工业废物</w:t>
                  </w:r>
                </w:p>
              </w:tc>
              <w:tc>
                <w:tcPr>
                  <w:tcW w:w="2738" w:type="pct"/>
                  <w:gridSpan w:val="2"/>
                  <w:tcBorders>
                    <w:right w:val="single" w:color="auto" w:sz="4" w:space="0"/>
                  </w:tcBorders>
                  <w:noWrap w:val="0"/>
                  <w:vAlign w:val="center"/>
                </w:tcPr>
                <w:p w14:paraId="297E636A">
                  <w:pPr>
                    <w:widowControl/>
                    <w:snapToGrid w:val="0"/>
                    <w:jc w:val="left"/>
                    <w:textAlignment w:val="center"/>
                    <w:rPr>
                      <w:rFonts w:hint="default" w:eastAsia="宋体"/>
                      <w:color w:val="auto"/>
                      <w:highlight w:val="none"/>
                      <w:lang w:val="en-US" w:eastAsia="zh-CN"/>
                    </w:rPr>
                  </w:pPr>
                  <w:r>
                    <w:rPr>
                      <w:rFonts w:hint="eastAsia"/>
                      <w:color w:val="auto"/>
                      <w:highlight w:val="none"/>
                      <w:lang w:val="en-US" w:eastAsia="zh-CN"/>
                    </w:rPr>
                    <w:t>清洗过程收集</w:t>
                  </w:r>
                  <w:r>
                    <w:rPr>
                      <w:rFonts w:hint="eastAsia"/>
                      <w:color w:val="auto"/>
                      <w:highlight w:val="none"/>
                    </w:rPr>
                    <w:t>铁屑</w:t>
                  </w:r>
                  <w:r>
                    <w:rPr>
                      <w:rFonts w:hint="eastAsia"/>
                      <w:color w:val="auto"/>
                      <w:highlight w:val="none"/>
                      <w:lang w:val="en-US" w:eastAsia="zh-CN"/>
                    </w:rPr>
                    <w:t>为一般工业废物，</w:t>
                  </w:r>
                  <w:r>
                    <w:rPr>
                      <w:rFonts w:hint="eastAsia"/>
                      <w:color w:val="auto"/>
                      <w:highlight w:val="none"/>
                    </w:rPr>
                    <w:t>返回中频电炉回用。</w:t>
                  </w:r>
                  <w:r>
                    <w:rPr>
                      <w:rFonts w:hint="eastAsia"/>
                      <w:color w:val="auto"/>
                      <w:highlight w:val="none"/>
                      <w:lang w:val="en-US" w:eastAsia="zh-CN"/>
                    </w:rPr>
                    <w:t>配制喷淋液所产生的废包装桶（未沾染药剂）。</w:t>
                  </w:r>
                </w:p>
              </w:tc>
              <w:tc>
                <w:tcPr>
                  <w:tcW w:w="577" w:type="pct"/>
                  <w:tcBorders>
                    <w:right w:val="single" w:color="auto" w:sz="4" w:space="0"/>
                  </w:tcBorders>
                  <w:noWrap w:val="0"/>
                  <w:vAlign w:val="center"/>
                </w:tcPr>
                <w:p w14:paraId="1285165B">
                  <w:pPr>
                    <w:widowControl/>
                    <w:snapToGrid w:val="0"/>
                    <w:jc w:val="center"/>
                    <w:textAlignment w:val="center"/>
                    <w:rPr>
                      <w:color w:val="auto"/>
                      <w:highlight w:val="none"/>
                    </w:rPr>
                  </w:pPr>
                  <w:r>
                    <w:rPr>
                      <w:rFonts w:hint="eastAsia"/>
                      <w:color w:val="auto"/>
                      <w:highlight w:val="none"/>
                    </w:rPr>
                    <w:t>--</w:t>
                  </w:r>
                </w:p>
              </w:tc>
            </w:tr>
            <w:tr w14:paraId="48C3604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703" w:type="pct"/>
                  <w:vMerge w:val="continue"/>
                  <w:tcBorders>
                    <w:left w:val="single" w:color="auto" w:sz="4" w:space="0"/>
                  </w:tcBorders>
                  <w:noWrap w:val="0"/>
                  <w:vAlign w:val="center"/>
                </w:tcPr>
                <w:p w14:paraId="1F988A91">
                  <w:pPr>
                    <w:spacing w:line="240" w:lineRule="atLeast"/>
                    <w:jc w:val="center"/>
                    <w:rPr>
                      <w:color w:val="auto"/>
                      <w:kern w:val="0"/>
                      <w:szCs w:val="21"/>
                      <w:highlight w:val="none"/>
                    </w:rPr>
                  </w:pPr>
                </w:p>
              </w:tc>
              <w:tc>
                <w:tcPr>
                  <w:tcW w:w="342" w:type="pct"/>
                  <w:vMerge w:val="continue"/>
                  <w:noWrap w:val="0"/>
                  <w:vAlign w:val="center"/>
                </w:tcPr>
                <w:p w14:paraId="3F7F0DF9">
                  <w:pPr>
                    <w:spacing w:line="240" w:lineRule="atLeast"/>
                    <w:jc w:val="center"/>
                    <w:rPr>
                      <w:color w:val="auto"/>
                      <w:kern w:val="0"/>
                      <w:szCs w:val="21"/>
                      <w:highlight w:val="none"/>
                    </w:rPr>
                  </w:pPr>
                </w:p>
              </w:tc>
              <w:tc>
                <w:tcPr>
                  <w:tcW w:w="636" w:type="pct"/>
                  <w:noWrap w:val="0"/>
                  <w:vAlign w:val="center"/>
                </w:tcPr>
                <w:p w14:paraId="19F1F1C0">
                  <w:pPr>
                    <w:spacing w:line="240" w:lineRule="atLeast"/>
                    <w:jc w:val="center"/>
                    <w:rPr>
                      <w:color w:val="auto"/>
                      <w:kern w:val="0"/>
                      <w:szCs w:val="21"/>
                      <w:highlight w:val="none"/>
                    </w:rPr>
                  </w:pPr>
                  <w:r>
                    <w:rPr>
                      <w:rFonts w:hint="eastAsia"/>
                      <w:color w:val="auto"/>
                      <w:kern w:val="0"/>
                      <w:szCs w:val="21"/>
                      <w:highlight w:val="none"/>
                    </w:rPr>
                    <w:t>危险废物</w:t>
                  </w:r>
                </w:p>
              </w:tc>
              <w:tc>
                <w:tcPr>
                  <w:tcW w:w="2738" w:type="pct"/>
                  <w:gridSpan w:val="2"/>
                  <w:tcBorders>
                    <w:right w:val="single" w:color="auto" w:sz="4" w:space="0"/>
                  </w:tcBorders>
                  <w:noWrap w:val="0"/>
                  <w:vAlign w:val="center"/>
                </w:tcPr>
                <w:p w14:paraId="4424B444">
                  <w:pPr>
                    <w:widowControl/>
                    <w:snapToGrid w:val="0"/>
                    <w:jc w:val="left"/>
                    <w:textAlignment w:val="center"/>
                    <w:rPr>
                      <w:rFonts w:hint="eastAsia" w:eastAsia="宋体"/>
                      <w:color w:val="auto"/>
                      <w:highlight w:val="none"/>
                      <w:lang w:eastAsia="zh-CN"/>
                    </w:rPr>
                  </w:pPr>
                  <w:r>
                    <w:rPr>
                      <w:rFonts w:hint="eastAsia"/>
                      <w:color w:val="auto"/>
                      <w:highlight w:val="none"/>
                    </w:rPr>
                    <w:t>清洗产生的废油、废重油垢清洗</w:t>
                  </w:r>
                  <w:r>
                    <w:rPr>
                      <w:rFonts w:hint="eastAsia"/>
                      <w:color w:val="auto"/>
                      <w:highlight w:val="none"/>
                      <w:lang w:val="en-US" w:eastAsia="zh-CN"/>
                    </w:rPr>
                    <w:t>内衬袋</w:t>
                  </w:r>
                  <w:r>
                    <w:rPr>
                      <w:rFonts w:hint="eastAsia"/>
                      <w:color w:val="auto"/>
                      <w:highlight w:val="none"/>
                    </w:rPr>
                    <w:t>、防锈剂</w:t>
                  </w:r>
                  <w:r>
                    <w:rPr>
                      <w:rFonts w:hint="eastAsia"/>
                      <w:color w:val="auto"/>
                      <w:highlight w:val="none"/>
                      <w:lang w:val="en-US" w:eastAsia="zh-CN"/>
                    </w:rPr>
                    <w:t>内衬袋</w:t>
                  </w:r>
                  <w:r>
                    <w:rPr>
                      <w:rFonts w:hint="eastAsia"/>
                      <w:color w:val="auto"/>
                      <w:highlight w:val="none"/>
                      <w:lang w:eastAsia="zh-CN"/>
                    </w:rPr>
                    <w:t>、</w:t>
                  </w:r>
                  <w:r>
                    <w:rPr>
                      <w:rFonts w:hint="eastAsia"/>
                      <w:color w:val="auto"/>
                      <w:highlight w:val="none"/>
                      <w:lang w:val="en-US" w:eastAsia="zh-CN"/>
                    </w:rPr>
                    <w:t>絮凝沉淀物为危废，</w:t>
                  </w:r>
                  <w:r>
                    <w:rPr>
                      <w:rFonts w:hint="eastAsia"/>
                      <w:color w:val="auto"/>
                      <w:highlight w:val="none"/>
                      <w:lang w:eastAsia="zh-CN"/>
                    </w:rPr>
                    <w:t>交由</w:t>
                  </w:r>
                  <w:r>
                    <w:rPr>
                      <w:rFonts w:hint="eastAsia"/>
                      <w:color w:val="auto"/>
                      <w:highlight w:val="none"/>
                    </w:rPr>
                    <w:t>资质单位处理</w:t>
                  </w:r>
                  <w:r>
                    <w:rPr>
                      <w:rFonts w:hint="eastAsia"/>
                      <w:color w:val="auto"/>
                      <w:highlight w:val="none"/>
                      <w:lang w:eastAsia="zh-CN"/>
                    </w:rPr>
                    <w:t>。</w:t>
                  </w:r>
                </w:p>
              </w:tc>
              <w:tc>
                <w:tcPr>
                  <w:tcW w:w="577" w:type="pct"/>
                  <w:tcBorders>
                    <w:right w:val="single" w:color="auto" w:sz="4" w:space="0"/>
                  </w:tcBorders>
                  <w:noWrap w:val="0"/>
                  <w:vAlign w:val="center"/>
                </w:tcPr>
                <w:p w14:paraId="5481CD69">
                  <w:pPr>
                    <w:widowControl/>
                    <w:snapToGrid w:val="0"/>
                    <w:jc w:val="center"/>
                    <w:textAlignment w:val="center"/>
                    <w:rPr>
                      <w:rFonts w:hint="default" w:eastAsia="宋体"/>
                      <w:color w:val="auto"/>
                      <w:highlight w:val="none"/>
                      <w:lang w:val="en-US" w:eastAsia="zh-CN"/>
                    </w:rPr>
                  </w:pPr>
                  <w:r>
                    <w:rPr>
                      <w:rFonts w:hint="eastAsia"/>
                      <w:color w:val="auto"/>
                      <w:highlight w:val="none"/>
                      <w:lang w:val="en-US" w:eastAsia="zh-CN"/>
                    </w:rPr>
                    <w:t>--</w:t>
                  </w:r>
                </w:p>
              </w:tc>
            </w:tr>
            <w:tr w14:paraId="7AD16A6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703" w:type="pct"/>
                  <w:tcBorders>
                    <w:left w:val="single" w:color="auto" w:sz="4" w:space="0"/>
                  </w:tcBorders>
                  <w:noWrap w:val="0"/>
                  <w:vAlign w:val="center"/>
                </w:tcPr>
                <w:p w14:paraId="44B03430">
                  <w:pPr>
                    <w:spacing w:line="240" w:lineRule="atLeast"/>
                    <w:jc w:val="center"/>
                    <w:rPr>
                      <w:rFonts w:hint="eastAsia"/>
                      <w:color w:val="auto"/>
                      <w:kern w:val="0"/>
                      <w:szCs w:val="21"/>
                      <w:highlight w:val="none"/>
                    </w:rPr>
                  </w:pPr>
                  <w:r>
                    <w:rPr>
                      <w:rFonts w:hint="eastAsia"/>
                      <w:color w:val="auto"/>
                      <w:kern w:val="0"/>
                      <w:szCs w:val="21"/>
                      <w:highlight w:val="none"/>
                    </w:rPr>
                    <w:t>防沙治沙</w:t>
                  </w:r>
                </w:p>
              </w:tc>
              <w:tc>
                <w:tcPr>
                  <w:tcW w:w="3718" w:type="pct"/>
                  <w:gridSpan w:val="4"/>
                  <w:tcBorders>
                    <w:right w:val="single" w:color="auto" w:sz="4" w:space="0"/>
                  </w:tcBorders>
                  <w:noWrap w:val="0"/>
                  <w:vAlign w:val="center"/>
                </w:tcPr>
                <w:p w14:paraId="224AE549">
                  <w:pPr>
                    <w:widowControl/>
                    <w:snapToGrid w:val="0"/>
                    <w:jc w:val="left"/>
                    <w:textAlignment w:val="center"/>
                    <w:rPr>
                      <w:rFonts w:hint="eastAsia"/>
                      <w:color w:val="auto"/>
                      <w:highlight w:val="none"/>
                    </w:rPr>
                  </w:pPr>
                  <w:r>
                    <w:rPr>
                      <w:rFonts w:hint="eastAsia"/>
                      <w:color w:val="auto"/>
                      <w:highlight w:val="none"/>
                    </w:rPr>
                    <w:t>公司属于沙化区</w:t>
                  </w:r>
                  <w:r>
                    <w:rPr>
                      <w:rFonts w:hint="eastAsia"/>
                      <w:color w:val="auto"/>
                      <w:highlight w:val="none"/>
                      <w:lang w:val="en-US" w:eastAsia="zh-CN"/>
                    </w:rPr>
                    <w:t>范围</w:t>
                  </w:r>
                  <w:r>
                    <w:rPr>
                      <w:rFonts w:hint="eastAsia"/>
                      <w:color w:val="auto"/>
                      <w:highlight w:val="none"/>
                    </w:rPr>
                    <w:t>，经现场调查</w:t>
                  </w:r>
                  <w:r>
                    <w:rPr>
                      <w:rFonts w:hint="eastAsia"/>
                      <w:color w:val="auto"/>
                      <w:highlight w:val="none"/>
                      <w:lang w:val="en-US" w:eastAsia="zh-CN"/>
                    </w:rPr>
                    <w:t>该公司</w:t>
                  </w:r>
                  <w:r>
                    <w:rPr>
                      <w:rFonts w:hint="eastAsia"/>
                      <w:color w:val="auto"/>
                      <w:highlight w:val="none"/>
                    </w:rPr>
                    <w:t>地面已经硬化</w:t>
                  </w:r>
                  <w:r>
                    <w:rPr>
                      <w:rFonts w:hint="eastAsia"/>
                      <w:color w:val="auto"/>
                      <w:highlight w:val="none"/>
                      <w:lang w:eastAsia="zh-CN"/>
                    </w:rPr>
                    <w:t>，</w:t>
                  </w:r>
                  <w:r>
                    <w:rPr>
                      <w:rFonts w:hint="eastAsia"/>
                      <w:color w:val="auto"/>
                      <w:highlight w:val="none"/>
                      <w:lang w:val="en-US" w:eastAsia="zh-CN"/>
                    </w:rPr>
                    <w:t>生产设备位于厂房内；技改项目位于现有厂房内，对土地沙化无影响</w:t>
                  </w:r>
                  <w:r>
                    <w:rPr>
                      <w:rFonts w:hint="eastAsia"/>
                      <w:color w:val="auto"/>
                      <w:highlight w:val="none"/>
                    </w:rPr>
                    <w:t>。</w:t>
                  </w:r>
                </w:p>
              </w:tc>
              <w:tc>
                <w:tcPr>
                  <w:tcW w:w="577" w:type="pct"/>
                  <w:tcBorders>
                    <w:right w:val="single" w:color="auto" w:sz="4" w:space="0"/>
                  </w:tcBorders>
                  <w:noWrap w:val="0"/>
                  <w:vAlign w:val="center"/>
                </w:tcPr>
                <w:p w14:paraId="0166B725">
                  <w:pPr>
                    <w:widowControl/>
                    <w:snapToGrid w:val="0"/>
                    <w:jc w:val="center"/>
                    <w:textAlignment w:val="center"/>
                    <w:rPr>
                      <w:rFonts w:hint="default" w:eastAsia="宋体"/>
                      <w:color w:val="auto"/>
                      <w:highlight w:val="none"/>
                      <w:lang w:val="en-US" w:eastAsia="zh-CN"/>
                    </w:rPr>
                  </w:pPr>
                  <w:r>
                    <w:rPr>
                      <w:rFonts w:hint="eastAsia"/>
                      <w:color w:val="auto"/>
                      <w:highlight w:val="none"/>
                      <w:lang w:val="en-US" w:eastAsia="zh-CN"/>
                    </w:rPr>
                    <w:t>--</w:t>
                  </w:r>
                </w:p>
              </w:tc>
            </w:tr>
            <w:tr w14:paraId="3C8A4B3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703" w:type="pct"/>
                  <w:vMerge w:val="restart"/>
                  <w:tcBorders>
                    <w:left w:val="single" w:color="auto" w:sz="4" w:space="0"/>
                  </w:tcBorders>
                  <w:noWrap w:val="0"/>
                  <w:vAlign w:val="center"/>
                </w:tcPr>
                <w:p w14:paraId="79C8CBB8">
                  <w:pPr>
                    <w:spacing w:line="240" w:lineRule="atLeast"/>
                    <w:jc w:val="center"/>
                    <w:rPr>
                      <w:color w:val="auto"/>
                      <w:kern w:val="0"/>
                      <w:szCs w:val="21"/>
                      <w:highlight w:val="none"/>
                    </w:rPr>
                  </w:pPr>
                  <w:r>
                    <w:rPr>
                      <w:rFonts w:hint="eastAsia"/>
                      <w:color w:val="auto"/>
                      <w:kern w:val="0"/>
                      <w:szCs w:val="21"/>
                      <w:highlight w:val="none"/>
                    </w:rPr>
                    <w:t>依托工程</w:t>
                  </w:r>
                </w:p>
              </w:tc>
              <w:tc>
                <w:tcPr>
                  <w:tcW w:w="979" w:type="pct"/>
                  <w:gridSpan w:val="2"/>
                  <w:noWrap w:val="0"/>
                  <w:vAlign w:val="center"/>
                </w:tcPr>
                <w:p w14:paraId="787E13DD">
                  <w:pPr>
                    <w:spacing w:line="240" w:lineRule="atLeast"/>
                    <w:jc w:val="center"/>
                    <w:rPr>
                      <w:color w:val="auto"/>
                      <w:kern w:val="0"/>
                      <w:szCs w:val="21"/>
                      <w:highlight w:val="none"/>
                    </w:rPr>
                  </w:pPr>
                  <w:r>
                    <w:rPr>
                      <w:rFonts w:hint="eastAsia"/>
                      <w:color w:val="auto"/>
                      <w:kern w:val="0"/>
                      <w:szCs w:val="21"/>
                      <w:highlight w:val="none"/>
                    </w:rPr>
                    <w:t>清洗烘干场地</w:t>
                  </w:r>
                </w:p>
              </w:tc>
              <w:tc>
                <w:tcPr>
                  <w:tcW w:w="2738" w:type="pct"/>
                  <w:gridSpan w:val="2"/>
                  <w:tcBorders>
                    <w:right w:val="single" w:color="auto" w:sz="4" w:space="0"/>
                  </w:tcBorders>
                  <w:noWrap w:val="0"/>
                  <w:vAlign w:val="center"/>
                </w:tcPr>
                <w:p w14:paraId="5A81BF6A">
                  <w:pPr>
                    <w:widowControl/>
                    <w:snapToGrid w:val="0"/>
                    <w:jc w:val="left"/>
                    <w:textAlignment w:val="center"/>
                    <w:rPr>
                      <w:color w:val="auto"/>
                      <w:highlight w:val="none"/>
                    </w:rPr>
                  </w:pPr>
                  <w:r>
                    <w:rPr>
                      <w:rFonts w:hint="eastAsia"/>
                      <w:color w:val="auto"/>
                      <w:highlight w:val="none"/>
                    </w:rPr>
                    <w:t>依托现有项目喷漆烘干间</w:t>
                  </w:r>
                </w:p>
              </w:tc>
              <w:tc>
                <w:tcPr>
                  <w:tcW w:w="577" w:type="pct"/>
                  <w:tcBorders>
                    <w:right w:val="single" w:color="auto" w:sz="4" w:space="0"/>
                  </w:tcBorders>
                  <w:noWrap w:val="0"/>
                  <w:vAlign w:val="center"/>
                </w:tcPr>
                <w:p w14:paraId="50F7B8CB">
                  <w:pPr>
                    <w:widowControl/>
                    <w:snapToGrid w:val="0"/>
                    <w:jc w:val="center"/>
                    <w:textAlignment w:val="center"/>
                    <w:rPr>
                      <w:color w:val="auto"/>
                      <w:highlight w:val="none"/>
                    </w:rPr>
                  </w:pPr>
                  <w:r>
                    <w:rPr>
                      <w:rFonts w:hint="eastAsia"/>
                      <w:color w:val="auto"/>
                      <w:highlight w:val="none"/>
                    </w:rPr>
                    <w:t>--</w:t>
                  </w:r>
                </w:p>
              </w:tc>
            </w:tr>
            <w:tr w14:paraId="3DFB42C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9" w:hRule="atLeast"/>
                <w:jc w:val="center"/>
              </w:trPr>
              <w:tc>
                <w:tcPr>
                  <w:tcW w:w="703" w:type="pct"/>
                  <w:vMerge w:val="continue"/>
                  <w:tcBorders>
                    <w:left w:val="single" w:color="auto" w:sz="4" w:space="0"/>
                  </w:tcBorders>
                  <w:noWrap w:val="0"/>
                  <w:vAlign w:val="center"/>
                </w:tcPr>
                <w:p w14:paraId="0FB0915F">
                  <w:pPr>
                    <w:spacing w:line="240" w:lineRule="atLeast"/>
                    <w:jc w:val="center"/>
                    <w:rPr>
                      <w:rFonts w:hint="eastAsia"/>
                      <w:color w:val="auto"/>
                      <w:kern w:val="0"/>
                      <w:szCs w:val="21"/>
                      <w:highlight w:val="none"/>
                    </w:rPr>
                  </w:pPr>
                </w:p>
              </w:tc>
              <w:tc>
                <w:tcPr>
                  <w:tcW w:w="979" w:type="pct"/>
                  <w:gridSpan w:val="2"/>
                  <w:noWrap w:val="0"/>
                  <w:vAlign w:val="center"/>
                </w:tcPr>
                <w:p w14:paraId="467CBA30">
                  <w:pPr>
                    <w:spacing w:line="240" w:lineRule="atLeast"/>
                    <w:jc w:val="center"/>
                    <w:rPr>
                      <w:rFonts w:hint="eastAsia" w:eastAsia="宋体"/>
                      <w:color w:val="auto"/>
                      <w:kern w:val="0"/>
                      <w:szCs w:val="21"/>
                      <w:highlight w:val="none"/>
                      <w:lang w:eastAsia="zh-CN"/>
                    </w:rPr>
                  </w:pPr>
                  <w:r>
                    <w:rPr>
                      <w:rFonts w:hint="eastAsia"/>
                      <w:color w:val="auto"/>
                      <w:kern w:val="0"/>
                      <w:szCs w:val="21"/>
                      <w:highlight w:val="none"/>
                      <w:lang w:eastAsia="zh-CN"/>
                    </w:rPr>
                    <w:t>危险废物贮存点</w:t>
                  </w:r>
                </w:p>
              </w:tc>
              <w:tc>
                <w:tcPr>
                  <w:tcW w:w="2738" w:type="pct"/>
                  <w:gridSpan w:val="2"/>
                  <w:tcBorders>
                    <w:right w:val="single" w:color="auto" w:sz="4" w:space="0"/>
                  </w:tcBorders>
                  <w:noWrap w:val="0"/>
                  <w:vAlign w:val="center"/>
                </w:tcPr>
                <w:p w14:paraId="0FF6AA72">
                  <w:pPr>
                    <w:widowControl/>
                    <w:snapToGrid w:val="0"/>
                    <w:jc w:val="left"/>
                    <w:textAlignment w:val="center"/>
                    <w:rPr>
                      <w:color w:val="auto"/>
                      <w:highlight w:val="none"/>
                    </w:rPr>
                  </w:pPr>
                  <w:r>
                    <w:rPr>
                      <w:rFonts w:hint="eastAsia"/>
                      <w:color w:val="auto"/>
                      <w:highlight w:val="none"/>
                    </w:rPr>
                    <w:t>依托现有工程</w:t>
                  </w:r>
                </w:p>
              </w:tc>
              <w:tc>
                <w:tcPr>
                  <w:tcW w:w="577" w:type="pct"/>
                  <w:tcBorders>
                    <w:right w:val="single" w:color="auto" w:sz="4" w:space="0"/>
                  </w:tcBorders>
                  <w:noWrap w:val="0"/>
                  <w:vAlign w:val="center"/>
                </w:tcPr>
                <w:p w14:paraId="4C38A89E">
                  <w:pPr>
                    <w:widowControl/>
                    <w:snapToGrid w:val="0"/>
                    <w:jc w:val="center"/>
                    <w:textAlignment w:val="center"/>
                    <w:rPr>
                      <w:color w:val="auto"/>
                      <w:highlight w:val="none"/>
                    </w:rPr>
                  </w:pPr>
                  <w:r>
                    <w:rPr>
                      <w:rFonts w:hint="eastAsia"/>
                      <w:color w:val="auto"/>
                      <w:highlight w:val="none"/>
                    </w:rPr>
                    <w:t>--</w:t>
                  </w:r>
                </w:p>
              </w:tc>
            </w:tr>
            <w:tr w14:paraId="1AA3035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9" w:hRule="atLeast"/>
                <w:jc w:val="center"/>
              </w:trPr>
              <w:tc>
                <w:tcPr>
                  <w:tcW w:w="703" w:type="pct"/>
                  <w:vMerge w:val="continue"/>
                  <w:tcBorders>
                    <w:left w:val="single" w:color="auto" w:sz="4" w:space="0"/>
                  </w:tcBorders>
                  <w:noWrap w:val="0"/>
                  <w:vAlign w:val="center"/>
                </w:tcPr>
                <w:p w14:paraId="3E85FF13">
                  <w:pPr>
                    <w:spacing w:line="240" w:lineRule="atLeast"/>
                    <w:jc w:val="center"/>
                    <w:rPr>
                      <w:rFonts w:hint="eastAsia"/>
                      <w:color w:val="auto"/>
                      <w:kern w:val="0"/>
                      <w:szCs w:val="21"/>
                      <w:highlight w:val="none"/>
                    </w:rPr>
                  </w:pPr>
                </w:p>
              </w:tc>
              <w:tc>
                <w:tcPr>
                  <w:tcW w:w="979" w:type="pct"/>
                  <w:gridSpan w:val="2"/>
                  <w:noWrap w:val="0"/>
                  <w:vAlign w:val="center"/>
                </w:tcPr>
                <w:p w14:paraId="0B789DF4">
                  <w:pPr>
                    <w:spacing w:line="240" w:lineRule="atLeast"/>
                    <w:jc w:val="center"/>
                    <w:rPr>
                      <w:color w:val="auto"/>
                      <w:kern w:val="0"/>
                      <w:szCs w:val="21"/>
                      <w:highlight w:val="none"/>
                    </w:rPr>
                  </w:pPr>
                  <w:r>
                    <w:rPr>
                      <w:rFonts w:hint="eastAsia"/>
                      <w:color w:val="auto"/>
                      <w:kern w:val="0"/>
                      <w:szCs w:val="21"/>
                      <w:highlight w:val="none"/>
                    </w:rPr>
                    <w:t>一般废物暂存间</w:t>
                  </w:r>
                </w:p>
              </w:tc>
              <w:tc>
                <w:tcPr>
                  <w:tcW w:w="2738" w:type="pct"/>
                  <w:gridSpan w:val="2"/>
                  <w:tcBorders>
                    <w:right w:val="single" w:color="auto" w:sz="4" w:space="0"/>
                  </w:tcBorders>
                  <w:noWrap w:val="0"/>
                  <w:vAlign w:val="center"/>
                </w:tcPr>
                <w:p w14:paraId="716B9830">
                  <w:pPr>
                    <w:widowControl/>
                    <w:snapToGrid w:val="0"/>
                    <w:jc w:val="left"/>
                    <w:textAlignment w:val="center"/>
                    <w:rPr>
                      <w:rFonts w:hint="eastAsia"/>
                      <w:color w:val="auto"/>
                      <w:highlight w:val="none"/>
                    </w:rPr>
                  </w:pPr>
                  <w:r>
                    <w:rPr>
                      <w:rFonts w:hint="eastAsia"/>
                      <w:color w:val="auto"/>
                      <w:highlight w:val="none"/>
                    </w:rPr>
                    <w:t>依托现有工程</w:t>
                  </w:r>
                </w:p>
              </w:tc>
              <w:tc>
                <w:tcPr>
                  <w:tcW w:w="577" w:type="pct"/>
                  <w:tcBorders>
                    <w:right w:val="single" w:color="auto" w:sz="4" w:space="0"/>
                  </w:tcBorders>
                  <w:noWrap w:val="0"/>
                  <w:vAlign w:val="center"/>
                </w:tcPr>
                <w:p w14:paraId="5E21DF59">
                  <w:pPr>
                    <w:widowControl/>
                    <w:snapToGrid w:val="0"/>
                    <w:jc w:val="center"/>
                    <w:textAlignment w:val="center"/>
                    <w:rPr>
                      <w:color w:val="auto"/>
                      <w:highlight w:val="none"/>
                    </w:rPr>
                  </w:pPr>
                  <w:r>
                    <w:rPr>
                      <w:rFonts w:hint="eastAsia"/>
                      <w:color w:val="auto"/>
                      <w:highlight w:val="none"/>
                    </w:rPr>
                    <w:t>--</w:t>
                  </w:r>
                </w:p>
              </w:tc>
            </w:tr>
          </w:tbl>
          <w:p w14:paraId="7CB27B55">
            <w:pPr>
              <w:pStyle w:val="14"/>
              <w:widowControl w:val="0"/>
              <w:numPr>
                <w:ilvl w:val="0"/>
                <w:numId w:val="0"/>
              </w:numPr>
              <w:jc w:val="both"/>
              <w:rPr>
                <w:rFonts w:hint="eastAsia" w:ascii="Times New Roman" w:hAnsi="Times New Roman" w:eastAsia="宋体" w:cs="Times New Roman"/>
                <w:b/>
                <w:bCs/>
                <w:color w:val="0070C0"/>
                <w:sz w:val="24"/>
                <w:szCs w:val="32"/>
                <w:highlight w:val="none"/>
                <w:lang w:val="en-US" w:eastAsia="zh-CN"/>
              </w:rPr>
            </w:pPr>
          </w:p>
          <w:p w14:paraId="6AD30EBE">
            <w:pPr>
              <w:spacing w:line="440" w:lineRule="exact"/>
              <w:ind w:firstLine="482" w:firstLineChars="200"/>
              <w:rPr>
                <w:b/>
                <w:bCs/>
                <w:color w:val="000000" w:themeColor="text1"/>
                <w:sz w:val="24"/>
                <w:highlight w:val="none"/>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3</w:t>
            </w:r>
            <w:r>
              <w:rPr>
                <w:b/>
                <w:bCs/>
                <w:color w:val="000000" w:themeColor="text1"/>
                <w:sz w:val="24"/>
                <w:highlight w:val="none"/>
                <w14:textFill>
                  <w14:solidFill>
                    <w14:schemeClr w14:val="tx1"/>
                  </w14:solidFill>
                </w14:textFill>
              </w:rPr>
              <w:t>、</w:t>
            </w:r>
            <w:r>
              <w:rPr>
                <w:rFonts w:hint="eastAsia"/>
                <w:b/>
                <w:bCs/>
                <w:color w:val="000000" w:themeColor="text1"/>
                <w:sz w:val="24"/>
                <w:highlight w:val="none"/>
                <w:lang w:val="en-US" w:eastAsia="zh-CN"/>
                <w14:textFill>
                  <w14:solidFill>
                    <w14:schemeClr w14:val="tx1"/>
                  </w14:solidFill>
                </w14:textFill>
              </w:rPr>
              <w:t>技改</w:t>
            </w:r>
            <w:r>
              <w:rPr>
                <w:b/>
                <w:bCs/>
                <w:color w:val="000000" w:themeColor="text1"/>
                <w:sz w:val="24"/>
                <w:highlight w:val="none"/>
                <w14:textFill>
                  <w14:solidFill>
                    <w14:schemeClr w14:val="tx1"/>
                  </w14:solidFill>
                </w14:textFill>
              </w:rPr>
              <w:t>主要设备</w:t>
            </w:r>
          </w:p>
          <w:p w14:paraId="1F2B84AC">
            <w:pPr>
              <w:spacing w:line="440" w:lineRule="exact"/>
              <w:ind w:firstLine="480" w:firstLineChars="200"/>
              <w:rPr>
                <w:color w:val="000000" w:themeColor="text1"/>
                <w:sz w:val="24"/>
                <w:highlight w:val="none"/>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技改</w:t>
            </w:r>
            <w:r>
              <w:rPr>
                <w:rFonts w:ascii="Times New Roman" w:hAnsi="Times New Roman" w:cs="Times New Roman"/>
                <w:color w:val="000000" w:themeColor="text1"/>
                <w:sz w:val="24"/>
                <w:highlight w:val="none"/>
                <w14:textFill>
                  <w14:solidFill>
                    <w14:schemeClr w14:val="tx1"/>
                  </w14:solidFill>
                </w14:textFill>
              </w:rPr>
              <w:t>项目主要</w:t>
            </w:r>
            <w:r>
              <w:rPr>
                <w:color w:val="000000" w:themeColor="text1"/>
                <w:sz w:val="24"/>
                <w:highlight w:val="none"/>
                <w14:textFill>
                  <w14:solidFill>
                    <w14:schemeClr w14:val="tx1"/>
                  </w14:solidFill>
                </w14:textFill>
              </w:rPr>
              <w:t>设备详见</w:t>
            </w:r>
            <w:r>
              <w:rPr>
                <w:rFonts w:hint="eastAsia"/>
                <w:color w:val="000000" w:themeColor="text1"/>
                <w:sz w:val="24"/>
                <w:highlight w:val="none"/>
                <w:lang w:val="en-US" w:eastAsia="zh-CN"/>
                <w14:textFill>
                  <w14:solidFill>
                    <w14:schemeClr w14:val="tx1"/>
                  </w14:solidFill>
                </w14:textFill>
              </w:rPr>
              <w:t>下</w:t>
            </w:r>
            <w:r>
              <w:rPr>
                <w:color w:val="000000" w:themeColor="text1"/>
                <w:sz w:val="24"/>
                <w:highlight w:val="none"/>
                <w14:textFill>
                  <w14:solidFill>
                    <w14:schemeClr w14:val="tx1"/>
                  </w14:solidFill>
                </w14:textFill>
              </w:rPr>
              <w:t>表。</w:t>
            </w:r>
          </w:p>
          <w:p w14:paraId="21127369">
            <w:pPr>
              <w:spacing w:line="480" w:lineRule="exact"/>
              <w:jc w:val="center"/>
              <w:rPr>
                <w:b/>
                <w:bCs/>
                <w:color w:val="auto"/>
                <w:sz w:val="24"/>
                <w:szCs w:val="24"/>
                <w:highlight w:val="none"/>
              </w:rPr>
            </w:pPr>
            <w:r>
              <w:rPr>
                <w:rFonts w:hint="eastAsia"/>
                <w:b/>
                <w:bCs/>
                <w:color w:val="auto"/>
                <w:sz w:val="24"/>
                <w:szCs w:val="24"/>
                <w:highlight w:val="none"/>
                <w:lang w:val="en-US" w:eastAsia="zh-CN"/>
              </w:rPr>
              <w:t>表</w:t>
            </w:r>
            <w:r>
              <w:rPr>
                <w:b/>
                <w:bCs/>
                <w:color w:val="auto"/>
                <w:sz w:val="24"/>
                <w:szCs w:val="24"/>
                <w:highlight w:val="none"/>
              </w:rPr>
              <w:t>2</w:t>
            </w:r>
            <w:r>
              <w:rPr>
                <w:rFonts w:hint="eastAsia"/>
                <w:b/>
                <w:bCs/>
                <w:color w:val="auto"/>
                <w:sz w:val="24"/>
                <w:szCs w:val="24"/>
                <w:highlight w:val="none"/>
                <w:lang w:val="en-US" w:eastAsia="zh-CN"/>
              </w:rPr>
              <w:t>-6</w:t>
            </w:r>
            <w:r>
              <w:rPr>
                <w:b/>
                <w:bCs/>
                <w:color w:val="auto"/>
                <w:sz w:val="24"/>
                <w:szCs w:val="24"/>
                <w:highlight w:val="none"/>
              </w:rPr>
              <w:t xml:space="preserve">   </w:t>
            </w:r>
            <w:r>
              <w:rPr>
                <w:rFonts w:hint="eastAsia"/>
                <w:b/>
                <w:bCs/>
                <w:color w:val="auto"/>
                <w:sz w:val="24"/>
                <w:szCs w:val="24"/>
                <w:highlight w:val="none"/>
                <w:lang w:val="en-US" w:eastAsia="zh-CN"/>
              </w:rPr>
              <w:t>技改项目</w:t>
            </w:r>
            <w:r>
              <w:rPr>
                <w:b/>
                <w:bCs/>
                <w:color w:val="auto"/>
                <w:sz w:val="24"/>
                <w:szCs w:val="24"/>
                <w:highlight w:val="none"/>
              </w:rPr>
              <w:t>主要设备一览表</w:t>
            </w:r>
          </w:p>
          <w:tbl>
            <w:tblPr>
              <w:tblStyle w:val="36"/>
              <w:tblW w:w="8079" w:type="dxa"/>
              <w:jc w:val="center"/>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673"/>
              <w:gridCol w:w="1463"/>
              <w:gridCol w:w="818"/>
              <w:gridCol w:w="5125"/>
            </w:tblGrid>
            <w:tr w14:paraId="492B4BBE">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75" w:hRule="exact"/>
                <w:jc w:val="center"/>
              </w:trPr>
              <w:tc>
                <w:tcPr>
                  <w:tcW w:w="673" w:type="dxa"/>
                  <w:noWrap/>
                  <w:vAlign w:val="center"/>
                </w:tcPr>
                <w:p w14:paraId="4DD4A06C">
                  <w:pPr>
                    <w:widowControl/>
                    <w:jc w:val="center"/>
                    <w:textAlignment w:val="center"/>
                    <w:rPr>
                      <w:b/>
                      <w:bCs/>
                      <w:color w:val="auto"/>
                      <w:szCs w:val="21"/>
                      <w:highlight w:val="none"/>
                    </w:rPr>
                  </w:pPr>
                  <w:r>
                    <w:rPr>
                      <w:b/>
                      <w:bCs/>
                      <w:color w:val="auto"/>
                      <w:szCs w:val="21"/>
                      <w:highlight w:val="none"/>
                    </w:rPr>
                    <w:t>序号</w:t>
                  </w:r>
                </w:p>
              </w:tc>
              <w:tc>
                <w:tcPr>
                  <w:tcW w:w="1463" w:type="dxa"/>
                  <w:noWrap w:val="0"/>
                  <w:vAlign w:val="center"/>
                </w:tcPr>
                <w:p w14:paraId="6C398C0A">
                  <w:pPr>
                    <w:widowControl/>
                    <w:jc w:val="center"/>
                    <w:textAlignment w:val="center"/>
                    <w:rPr>
                      <w:b/>
                      <w:bCs/>
                      <w:color w:val="auto"/>
                      <w:szCs w:val="21"/>
                      <w:highlight w:val="none"/>
                    </w:rPr>
                  </w:pPr>
                  <w:r>
                    <w:rPr>
                      <w:b/>
                      <w:bCs/>
                      <w:color w:val="auto"/>
                      <w:szCs w:val="21"/>
                      <w:highlight w:val="none"/>
                    </w:rPr>
                    <w:t>名称</w:t>
                  </w:r>
                </w:p>
              </w:tc>
              <w:tc>
                <w:tcPr>
                  <w:tcW w:w="818" w:type="dxa"/>
                  <w:noWrap w:val="0"/>
                  <w:vAlign w:val="center"/>
                </w:tcPr>
                <w:p w14:paraId="6E4F2192">
                  <w:pPr>
                    <w:widowControl/>
                    <w:jc w:val="center"/>
                    <w:textAlignment w:val="center"/>
                    <w:rPr>
                      <w:b/>
                      <w:bCs/>
                      <w:color w:val="auto"/>
                      <w:szCs w:val="21"/>
                      <w:highlight w:val="none"/>
                    </w:rPr>
                  </w:pPr>
                  <w:r>
                    <w:rPr>
                      <w:b/>
                      <w:bCs/>
                      <w:color w:val="auto"/>
                      <w:szCs w:val="21"/>
                      <w:highlight w:val="none"/>
                    </w:rPr>
                    <w:t>数量</w:t>
                  </w:r>
                </w:p>
              </w:tc>
              <w:tc>
                <w:tcPr>
                  <w:tcW w:w="5125" w:type="dxa"/>
                  <w:noWrap w:val="0"/>
                  <w:vAlign w:val="center"/>
                </w:tcPr>
                <w:p w14:paraId="05677507">
                  <w:pPr>
                    <w:widowControl/>
                    <w:jc w:val="center"/>
                    <w:textAlignment w:val="center"/>
                    <w:rPr>
                      <w:b/>
                      <w:bCs/>
                      <w:color w:val="auto"/>
                      <w:szCs w:val="21"/>
                      <w:highlight w:val="none"/>
                    </w:rPr>
                  </w:pPr>
                  <w:r>
                    <w:rPr>
                      <w:b/>
                      <w:bCs/>
                      <w:color w:val="auto"/>
                      <w:szCs w:val="21"/>
                      <w:highlight w:val="none"/>
                    </w:rPr>
                    <w:t>备注</w:t>
                  </w:r>
                </w:p>
              </w:tc>
            </w:tr>
            <w:tr w14:paraId="43497F5F">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84" w:hRule="exact"/>
                <w:jc w:val="center"/>
              </w:trPr>
              <w:tc>
                <w:tcPr>
                  <w:tcW w:w="673" w:type="dxa"/>
                  <w:noWrap/>
                  <w:vAlign w:val="center"/>
                </w:tcPr>
                <w:p w14:paraId="202D19E5">
                  <w:pPr>
                    <w:widowControl/>
                    <w:jc w:val="center"/>
                    <w:textAlignment w:val="center"/>
                    <w:rPr>
                      <w:color w:val="auto"/>
                      <w:szCs w:val="21"/>
                      <w:highlight w:val="none"/>
                    </w:rPr>
                  </w:pPr>
                  <w:r>
                    <w:rPr>
                      <w:color w:val="auto"/>
                      <w:kern w:val="0"/>
                      <w:szCs w:val="21"/>
                      <w:highlight w:val="none"/>
                      <w:lang w:bidi="ar"/>
                    </w:rPr>
                    <w:t>1</w:t>
                  </w:r>
                </w:p>
              </w:tc>
              <w:tc>
                <w:tcPr>
                  <w:tcW w:w="1463" w:type="dxa"/>
                  <w:noWrap w:val="0"/>
                  <w:vAlign w:val="center"/>
                </w:tcPr>
                <w:p w14:paraId="520EC194">
                  <w:pPr>
                    <w:widowControl/>
                    <w:jc w:val="center"/>
                    <w:textAlignment w:val="center"/>
                    <w:rPr>
                      <w:color w:val="auto"/>
                      <w:szCs w:val="21"/>
                      <w:highlight w:val="none"/>
                    </w:rPr>
                  </w:pPr>
                  <w:r>
                    <w:rPr>
                      <w:color w:val="auto"/>
                      <w:kern w:val="0"/>
                      <w:szCs w:val="21"/>
                      <w:highlight w:val="none"/>
                      <w:lang w:bidi="ar"/>
                    </w:rPr>
                    <w:t>上下件缓存动力滚筒</w:t>
                  </w:r>
                </w:p>
              </w:tc>
              <w:tc>
                <w:tcPr>
                  <w:tcW w:w="818" w:type="dxa"/>
                  <w:noWrap w:val="0"/>
                  <w:vAlign w:val="center"/>
                </w:tcPr>
                <w:p w14:paraId="266442EB">
                  <w:pPr>
                    <w:widowControl/>
                    <w:jc w:val="center"/>
                    <w:textAlignment w:val="center"/>
                    <w:rPr>
                      <w:color w:val="auto"/>
                      <w:szCs w:val="21"/>
                      <w:highlight w:val="none"/>
                    </w:rPr>
                  </w:pPr>
                  <w:r>
                    <w:rPr>
                      <w:color w:val="auto"/>
                      <w:kern w:val="0"/>
                      <w:szCs w:val="21"/>
                      <w:highlight w:val="none"/>
                      <w:lang w:bidi="ar"/>
                    </w:rPr>
                    <w:t>2套</w:t>
                  </w:r>
                </w:p>
              </w:tc>
              <w:tc>
                <w:tcPr>
                  <w:tcW w:w="5125" w:type="dxa"/>
                  <w:noWrap w:val="0"/>
                  <w:vAlign w:val="center"/>
                </w:tcPr>
                <w:p w14:paraId="1DBC04DA">
                  <w:pPr>
                    <w:widowControl/>
                    <w:jc w:val="left"/>
                    <w:textAlignment w:val="center"/>
                    <w:rPr>
                      <w:rFonts w:hint="eastAsia" w:eastAsia="宋体"/>
                      <w:color w:val="auto"/>
                      <w:szCs w:val="21"/>
                      <w:highlight w:val="none"/>
                      <w:lang w:eastAsia="zh-CN"/>
                    </w:rPr>
                  </w:pPr>
                  <w:r>
                    <w:rPr>
                      <w:color w:val="auto"/>
                      <w:kern w:val="0"/>
                      <w:szCs w:val="21"/>
                      <w:highlight w:val="none"/>
                      <w:lang w:bidi="ar"/>
                    </w:rPr>
                    <w:t>滚筒外径50mm；滚线内宽450mm，长3600mm；驱动0.2KW</w:t>
                  </w:r>
                  <w:r>
                    <w:rPr>
                      <w:rFonts w:hint="eastAsia"/>
                      <w:color w:val="auto"/>
                      <w:kern w:val="0"/>
                      <w:szCs w:val="21"/>
                      <w:highlight w:val="none"/>
                      <w:lang w:eastAsia="zh-CN" w:bidi="ar"/>
                    </w:rPr>
                    <w:t>。</w:t>
                  </w:r>
                </w:p>
              </w:tc>
            </w:tr>
            <w:tr w14:paraId="76D75DA2">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43" w:hRule="exact"/>
                <w:jc w:val="center"/>
              </w:trPr>
              <w:tc>
                <w:tcPr>
                  <w:tcW w:w="673" w:type="dxa"/>
                  <w:noWrap/>
                  <w:vAlign w:val="center"/>
                </w:tcPr>
                <w:p w14:paraId="06182CD9">
                  <w:pPr>
                    <w:widowControl/>
                    <w:jc w:val="center"/>
                    <w:textAlignment w:val="center"/>
                    <w:rPr>
                      <w:color w:val="auto"/>
                      <w:szCs w:val="21"/>
                      <w:highlight w:val="none"/>
                    </w:rPr>
                  </w:pPr>
                  <w:r>
                    <w:rPr>
                      <w:color w:val="auto"/>
                      <w:kern w:val="0"/>
                      <w:szCs w:val="21"/>
                      <w:highlight w:val="none"/>
                      <w:lang w:bidi="ar"/>
                    </w:rPr>
                    <w:t>2</w:t>
                  </w:r>
                </w:p>
              </w:tc>
              <w:tc>
                <w:tcPr>
                  <w:tcW w:w="1463" w:type="dxa"/>
                  <w:noWrap w:val="0"/>
                  <w:vAlign w:val="center"/>
                </w:tcPr>
                <w:p w14:paraId="0F379E7D">
                  <w:pPr>
                    <w:widowControl/>
                    <w:jc w:val="center"/>
                    <w:textAlignment w:val="center"/>
                    <w:rPr>
                      <w:color w:val="auto"/>
                      <w:szCs w:val="21"/>
                      <w:highlight w:val="none"/>
                    </w:rPr>
                  </w:pPr>
                  <w:r>
                    <w:rPr>
                      <w:color w:val="auto"/>
                      <w:kern w:val="0"/>
                      <w:szCs w:val="21"/>
                      <w:highlight w:val="none"/>
                      <w:lang w:bidi="ar"/>
                    </w:rPr>
                    <w:t>自动清洗输送系统</w:t>
                  </w:r>
                </w:p>
              </w:tc>
              <w:tc>
                <w:tcPr>
                  <w:tcW w:w="818" w:type="dxa"/>
                  <w:noWrap w:val="0"/>
                  <w:vAlign w:val="center"/>
                </w:tcPr>
                <w:p w14:paraId="1A5D1C7B">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085A41FE">
                  <w:pPr>
                    <w:widowControl/>
                    <w:jc w:val="left"/>
                    <w:textAlignment w:val="center"/>
                    <w:rPr>
                      <w:rFonts w:hint="eastAsia" w:eastAsia="宋体"/>
                      <w:color w:val="auto"/>
                      <w:szCs w:val="21"/>
                      <w:highlight w:val="none"/>
                      <w:lang w:eastAsia="zh-CN"/>
                    </w:rPr>
                  </w:pPr>
                  <w:r>
                    <w:rPr>
                      <w:color w:val="auto"/>
                      <w:kern w:val="0"/>
                      <w:szCs w:val="21"/>
                      <w:highlight w:val="none"/>
                      <w:lang w:bidi="ar"/>
                    </w:rPr>
                    <w:t>输送链条采用SUS304-2″双节距链条+SUS304钢枝输送，钢枝带支撑块</w:t>
                  </w:r>
                  <w:r>
                    <w:rPr>
                      <w:rFonts w:hint="eastAsia"/>
                      <w:color w:val="auto"/>
                      <w:kern w:val="0"/>
                      <w:szCs w:val="21"/>
                      <w:highlight w:val="none"/>
                      <w:lang w:eastAsia="zh-CN" w:bidi="ar"/>
                    </w:rPr>
                    <w:t>。</w:t>
                  </w:r>
                </w:p>
              </w:tc>
            </w:tr>
            <w:tr w14:paraId="5ADD5787">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94" w:hRule="exact"/>
                <w:jc w:val="center"/>
              </w:trPr>
              <w:tc>
                <w:tcPr>
                  <w:tcW w:w="673" w:type="dxa"/>
                  <w:noWrap/>
                  <w:vAlign w:val="center"/>
                </w:tcPr>
                <w:p w14:paraId="548D9880">
                  <w:pPr>
                    <w:widowControl/>
                    <w:jc w:val="center"/>
                    <w:textAlignment w:val="center"/>
                    <w:rPr>
                      <w:color w:val="auto"/>
                      <w:szCs w:val="21"/>
                      <w:highlight w:val="none"/>
                    </w:rPr>
                  </w:pPr>
                  <w:r>
                    <w:rPr>
                      <w:color w:val="auto"/>
                      <w:kern w:val="0"/>
                      <w:szCs w:val="21"/>
                      <w:highlight w:val="none"/>
                      <w:lang w:bidi="ar"/>
                    </w:rPr>
                    <w:t>3</w:t>
                  </w:r>
                </w:p>
              </w:tc>
              <w:tc>
                <w:tcPr>
                  <w:tcW w:w="1463" w:type="dxa"/>
                  <w:noWrap w:val="0"/>
                  <w:vAlign w:val="center"/>
                </w:tcPr>
                <w:p w14:paraId="73118386">
                  <w:pPr>
                    <w:widowControl/>
                    <w:jc w:val="center"/>
                    <w:textAlignment w:val="center"/>
                    <w:rPr>
                      <w:color w:val="auto"/>
                      <w:szCs w:val="21"/>
                      <w:highlight w:val="none"/>
                    </w:rPr>
                  </w:pPr>
                  <w:r>
                    <w:rPr>
                      <w:color w:val="auto"/>
                      <w:kern w:val="0"/>
                      <w:szCs w:val="21"/>
                      <w:highlight w:val="none"/>
                      <w:lang w:bidi="ar"/>
                    </w:rPr>
                    <w:t>自动清洗驱动系统</w:t>
                  </w:r>
                </w:p>
              </w:tc>
              <w:tc>
                <w:tcPr>
                  <w:tcW w:w="818" w:type="dxa"/>
                  <w:noWrap w:val="0"/>
                  <w:vAlign w:val="center"/>
                </w:tcPr>
                <w:p w14:paraId="264AFD8C">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2636FBEC">
                  <w:pPr>
                    <w:widowControl/>
                    <w:jc w:val="left"/>
                    <w:textAlignment w:val="center"/>
                    <w:rPr>
                      <w:rFonts w:hint="eastAsia" w:eastAsia="宋体"/>
                      <w:color w:val="auto"/>
                      <w:szCs w:val="21"/>
                      <w:highlight w:val="none"/>
                      <w:lang w:eastAsia="zh-CN"/>
                    </w:rPr>
                  </w:pPr>
                  <w:r>
                    <w:rPr>
                      <w:rFonts w:hint="eastAsia"/>
                      <w:color w:val="auto"/>
                      <w:kern w:val="0"/>
                      <w:szCs w:val="21"/>
                      <w:highlight w:val="none"/>
                      <w:lang w:val="en-US" w:eastAsia="zh-CN" w:bidi="ar"/>
                    </w:rPr>
                    <w:t>3.75</w:t>
                  </w:r>
                  <w:r>
                    <w:rPr>
                      <w:color w:val="auto"/>
                      <w:kern w:val="0"/>
                      <w:szCs w:val="21"/>
                      <w:highlight w:val="none"/>
                      <w:lang w:bidi="ar"/>
                    </w:rPr>
                    <w:t>KW减速电机驱动，变频调速</w:t>
                  </w:r>
                  <w:r>
                    <w:rPr>
                      <w:rFonts w:hint="eastAsia"/>
                      <w:color w:val="auto"/>
                      <w:kern w:val="0"/>
                      <w:szCs w:val="21"/>
                      <w:highlight w:val="none"/>
                      <w:lang w:eastAsia="zh-CN" w:bidi="ar"/>
                    </w:rPr>
                    <w:t>。</w:t>
                  </w:r>
                </w:p>
              </w:tc>
            </w:tr>
            <w:tr w14:paraId="3742F4DA">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033" w:hRule="exact"/>
                <w:jc w:val="center"/>
              </w:trPr>
              <w:tc>
                <w:tcPr>
                  <w:tcW w:w="673" w:type="dxa"/>
                  <w:noWrap/>
                  <w:vAlign w:val="center"/>
                </w:tcPr>
                <w:p w14:paraId="7964A7D4">
                  <w:pPr>
                    <w:widowControl/>
                    <w:jc w:val="center"/>
                    <w:textAlignment w:val="center"/>
                    <w:rPr>
                      <w:color w:val="auto"/>
                      <w:szCs w:val="21"/>
                      <w:highlight w:val="none"/>
                    </w:rPr>
                  </w:pPr>
                  <w:r>
                    <w:rPr>
                      <w:color w:val="auto"/>
                      <w:kern w:val="0"/>
                      <w:szCs w:val="21"/>
                      <w:highlight w:val="none"/>
                      <w:lang w:bidi="ar"/>
                    </w:rPr>
                    <w:t>4</w:t>
                  </w:r>
                </w:p>
              </w:tc>
              <w:tc>
                <w:tcPr>
                  <w:tcW w:w="1463" w:type="dxa"/>
                  <w:noWrap w:val="0"/>
                  <w:vAlign w:val="center"/>
                </w:tcPr>
                <w:p w14:paraId="641F7EDB">
                  <w:pPr>
                    <w:widowControl/>
                    <w:jc w:val="center"/>
                    <w:textAlignment w:val="center"/>
                    <w:rPr>
                      <w:color w:val="auto"/>
                      <w:szCs w:val="21"/>
                      <w:highlight w:val="none"/>
                    </w:rPr>
                  </w:pPr>
                  <w:r>
                    <w:rPr>
                      <w:color w:val="auto"/>
                      <w:kern w:val="0"/>
                      <w:szCs w:val="21"/>
                      <w:highlight w:val="none"/>
                      <w:lang w:bidi="ar"/>
                    </w:rPr>
                    <w:t>脱脂清洗喷淋</w:t>
                  </w:r>
                  <w:r>
                    <w:rPr>
                      <w:rFonts w:hint="eastAsia"/>
                      <w:color w:val="auto"/>
                      <w:kern w:val="0"/>
                      <w:szCs w:val="21"/>
                      <w:highlight w:val="none"/>
                      <w:lang w:val="en-US" w:eastAsia="zh-CN" w:bidi="ar"/>
                    </w:rPr>
                    <w:t>系统</w:t>
                  </w:r>
                  <w:r>
                    <w:rPr>
                      <w:color w:val="auto"/>
                      <w:kern w:val="0"/>
                      <w:szCs w:val="21"/>
                      <w:highlight w:val="none"/>
                      <w:lang w:bidi="ar"/>
                    </w:rPr>
                    <w:t>及水槽</w:t>
                  </w:r>
                </w:p>
              </w:tc>
              <w:tc>
                <w:tcPr>
                  <w:tcW w:w="818" w:type="dxa"/>
                  <w:noWrap w:val="0"/>
                  <w:vAlign w:val="center"/>
                </w:tcPr>
                <w:p w14:paraId="1575520E">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503B19A9">
                  <w:pPr>
                    <w:widowControl/>
                    <w:jc w:val="left"/>
                    <w:textAlignment w:val="center"/>
                    <w:rPr>
                      <w:rFonts w:hint="eastAsia" w:eastAsia="宋体"/>
                      <w:color w:val="auto"/>
                      <w:szCs w:val="21"/>
                      <w:highlight w:val="none"/>
                      <w:lang w:eastAsia="zh-CN"/>
                    </w:rPr>
                  </w:pPr>
                  <w:r>
                    <w:rPr>
                      <w:color w:val="auto"/>
                      <w:kern w:val="0"/>
                      <w:szCs w:val="21"/>
                      <w:highlight w:val="none"/>
                      <w:lang w:bidi="ar"/>
                    </w:rPr>
                    <w:t>水槽格规</w:t>
                  </w:r>
                  <w:r>
                    <w:rPr>
                      <w:rFonts w:hint="eastAsia"/>
                      <w:color w:val="auto"/>
                      <w:kern w:val="0"/>
                      <w:szCs w:val="21"/>
                      <w:highlight w:val="none"/>
                      <w:lang w:bidi="ar"/>
                    </w:rPr>
                    <w:t>W800×L2000×H830</w:t>
                  </w:r>
                  <w:r>
                    <w:rPr>
                      <w:rFonts w:hint="eastAsia"/>
                      <w:color w:val="auto"/>
                      <w:kern w:val="0"/>
                      <w:szCs w:val="21"/>
                      <w:highlight w:val="none"/>
                      <w:lang w:val="en-US" w:eastAsia="zh-CN" w:bidi="ar"/>
                    </w:rPr>
                    <w:t>mm，</w:t>
                  </w:r>
                  <w:r>
                    <w:rPr>
                      <w:color w:val="auto"/>
                      <w:kern w:val="0"/>
                      <w:szCs w:val="21"/>
                      <w:highlight w:val="none"/>
                      <w:lang w:bidi="ar"/>
                    </w:rPr>
                    <w:t>采用</w:t>
                  </w:r>
                  <w:r>
                    <w:rPr>
                      <w:rFonts w:hint="eastAsia"/>
                      <w:color w:val="auto"/>
                      <w:kern w:val="0"/>
                      <w:szCs w:val="21"/>
                      <w:highlight w:val="none"/>
                      <w:lang w:val="en-US" w:eastAsia="zh-CN" w:bidi="ar"/>
                    </w:rPr>
                    <w:t>2</w:t>
                  </w:r>
                  <w:r>
                    <w:rPr>
                      <w:rFonts w:hint="eastAsia"/>
                      <w:color w:val="auto"/>
                      <w:kern w:val="0"/>
                      <w:szCs w:val="21"/>
                      <w:highlight w:val="none"/>
                      <w:lang w:bidi="ar"/>
                    </w:rPr>
                    <w:t>mm</w:t>
                  </w:r>
                  <w:r>
                    <w:rPr>
                      <w:color w:val="auto"/>
                      <w:kern w:val="0"/>
                      <w:szCs w:val="21"/>
                      <w:highlight w:val="none"/>
                      <w:lang w:bidi="ar"/>
                    </w:rPr>
                    <w:t>SUS304不锈钢板制作，保温</w:t>
                  </w:r>
                  <w:r>
                    <w:rPr>
                      <w:rFonts w:hint="eastAsia"/>
                      <w:color w:val="auto"/>
                      <w:kern w:val="0"/>
                      <w:szCs w:val="21"/>
                      <w:highlight w:val="none"/>
                      <w:lang w:val="en-US" w:eastAsia="zh-CN" w:bidi="ar"/>
                    </w:rPr>
                    <w:t>玻璃纤维5</w:t>
                  </w:r>
                  <w:r>
                    <w:rPr>
                      <w:color w:val="auto"/>
                      <w:kern w:val="0"/>
                      <w:szCs w:val="21"/>
                      <w:highlight w:val="none"/>
                      <w:lang w:bidi="ar"/>
                    </w:rPr>
                    <w:t>0mm</w:t>
                  </w:r>
                  <w:r>
                    <w:rPr>
                      <w:rFonts w:hint="eastAsia"/>
                      <w:color w:val="auto"/>
                      <w:kern w:val="0"/>
                      <w:szCs w:val="21"/>
                      <w:highlight w:val="none"/>
                      <w:lang w:bidi="ar"/>
                    </w:rPr>
                    <w:t>，</w:t>
                  </w:r>
                  <w:r>
                    <w:rPr>
                      <w:color w:val="auto"/>
                      <w:kern w:val="0"/>
                      <w:szCs w:val="21"/>
                      <w:highlight w:val="none"/>
                      <w:lang w:bidi="ar"/>
                    </w:rPr>
                    <w:t>外部封板采用</w:t>
                  </w:r>
                  <w:r>
                    <w:rPr>
                      <w:rFonts w:hint="eastAsia"/>
                      <w:color w:val="auto"/>
                      <w:kern w:val="0"/>
                      <w:szCs w:val="21"/>
                      <w:highlight w:val="none"/>
                      <w:lang w:bidi="ar"/>
                    </w:rPr>
                    <w:t>1.2mm拉丝不锈钢板</w:t>
                  </w:r>
                  <w:r>
                    <w:rPr>
                      <w:color w:val="auto"/>
                      <w:kern w:val="0"/>
                      <w:szCs w:val="21"/>
                      <w:highlight w:val="none"/>
                      <w:lang w:bidi="ar"/>
                    </w:rPr>
                    <w:t>，喷淋泵采用4.0KW</w:t>
                  </w:r>
                  <w:r>
                    <w:rPr>
                      <w:rFonts w:hint="eastAsia"/>
                      <w:color w:val="auto"/>
                      <w:kern w:val="0"/>
                      <w:szCs w:val="21"/>
                      <w:highlight w:val="none"/>
                      <w:lang w:val="en-US" w:eastAsia="zh-CN" w:bidi="ar"/>
                    </w:rPr>
                    <w:t>多</w:t>
                  </w:r>
                  <w:r>
                    <w:rPr>
                      <w:color w:val="auto"/>
                      <w:kern w:val="0"/>
                      <w:szCs w:val="21"/>
                      <w:highlight w:val="none"/>
                      <w:lang w:bidi="ar"/>
                    </w:rPr>
                    <w:t>级泵进行喷淋清洗，配套有过滤网不锈钢袋式过滤器；后段配4.0KW高压风机+吹水风刀</w:t>
                  </w:r>
                  <w:r>
                    <w:rPr>
                      <w:rFonts w:hint="eastAsia"/>
                      <w:color w:val="auto"/>
                      <w:kern w:val="0"/>
                      <w:szCs w:val="21"/>
                      <w:highlight w:val="none"/>
                      <w:lang w:bidi="ar"/>
                    </w:rPr>
                    <w:t>，油水分离装置</w:t>
                  </w:r>
                  <w:r>
                    <w:rPr>
                      <w:color w:val="auto"/>
                      <w:kern w:val="0"/>
                      <w:szCs w:val="21"/>
                      <w:highlight w:val="none"/>
                      <w:lang w:bidi="ar"/>
                    </w:rPr>
                    <w:t>一台，</w:t>
                  </w:r>
                  <w:r>
                    <w:rPr>
                      <w:rFonts w:hint="eastAsia"/>
                      <w:color w:val="auto"/>
                      <w:kern w:val="0"/>
                      <w:szCs w:val="21"/>
                      <w:highlight w:val="none"/>
                      <w:lang w:bidi="ar"/>
                    </w:rPr>
                    <w:t>电加热</w:t>
                  </w:r>
                  <w:r>
                    <w:rPr>
                      <w:color w:val="auto"/>
                      <w:kern w:val="0"/>
                      <w:szCs w:val="21"/>
                      <w:highlight w:val="none"/>
                      <w:lang w:bidi="ar"/>
                    </w:rPr>
                    <w:t>系统一套</w:t>
                  </w:r>
                  <w:r>
                    <w:rPr>
                      <w:rFonts w:hint="eastAsia"/>
                      <w:color w:val="auto"/>
                      <w:kern w:val="0"/>
                      <w:szCs w:val="21"/>
                      <w:highlight w:val="none"/>
                      <w:lang w:eastAsia="zh-CN" w:bidi="ar"/>
                    </w:rPr>
                    <w:t>，</w:t>
                  </w:r>
                  <w:r>
                    <w:rPr>
                      <w:rFonts w:hint="eastAsia"/>
                      <w:color w:val="auto"/>
                      <w:kern w:val="0"/>
                      <w:szCs w:val="21"/>
                      <w:highlight w:val="none"/>
                      <w:lang w:val="en-US" w:eastAsia="zh-CN" w:bidi="ar"/>
                    </w:rPr>
                    <w:t>水</w:t>
                  </w:r>
                  <w:r>
                    <w:rPr>
                      <w:rFonts w:hint="eastAsia"/>
                      <w:color w:val="auto"/>
                      <w:kern w:val="0"/>
                      <w:szCs w:val="21"/>
                      <w:highlight w:val="none"/>
                      <w:lang w:eastAsia="zh-CN" w:bidi="ar"/>
                    </w:rPr>
                    <w:t>槽底采用斜底结构并设有集污沟。</w:t>
                  </w:r>
                </w:p>
              </w:tc>
            </w:tr>
            <w:tr w14:paraId="7D958C24">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18" w:hRule="atLeast"/>
                <w:jc w:val="center"/>
              </w:trPr>
              <w:tc>
                <w:tcPr>
                  <w:tcW w:w="673" w:type="dxa"/>
                  <w:noWrap/>
                  <w:vAlign w:val="center"/>
                </w:tcPr>
                <w:p w14:paraId="4BB01E70">
                  <w:pPr>
                    <w:widowControl/>
                    <w:jc w:val="center"/>
                    <w:textAlignment w:val="center"/>
                    <w:rPr>
                      <w:color w:val="auto"/>
                      <w:szCs w:val="21"/>
                      <w:highlight w:val="none"/>
                    </w:rPr>
                  </w:pPr>
                  <w:r>
                    <w:rPr>
                      <w:color w:val="auto"/>
                      <w:kern w:val="0"/>
                      <w:szCs w:val="21"/>
                      <w:highlight w:val="none"/>
                      <w:lang w:bidi="ar"/>
                    </w:rPr>
                    <w:t>5</w:t>
                  </w:r>
                </w:p>
              </w:tc>
              <w:tc>
                <w:tcPr>
                  <w:tcW w:w="1463" w:type="dxa"/>
                  <w:noWrap w:val="0"/>
                  <w:vAlign w:val="center"/>
                </w:tcPr>
                <w:p w14:paraId="326F54D2">
                  <w:pPr>
                    <w:widowControl/>
                    <w:jc w:val="center"/>
                    <w:textAlignment w:val="center"/>
                    <w:rPr>
                      <w:color w:val="auto"/>
                      <w:szCs w:val="21"/>
                      <w:highlight w:val="none"/>
                    </w:rPr>
                  </w:pPr>
                  <w:r>
                    <w:rPr>
                      <w:color w:val="auto"/>
                      <w:kern w:val="0"/>
                      <w:szCs w:val="21"/>
                      <w:highlight w:val="none"/>
                      <w:lang w:bidi="ar"/>
                    </w:rPr>
                    <w:t>主脱脂清洗喷淋部分及水槽</w:t>
                  </w:r>
                </w:p>
              </w:tc>
              <w:tc>
                <w:tcPr>
                  <w:tcW w:w="818" w:type="dxa"/>
                  <w:noWrap w:val="0"/>
                  <w:vAlign w:val="center"/>
                </w:tcPr>
                <w:p w14:paraId="51F45A00">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36823E41">
                  <w:pPr>
                    <w:widowControl/>
                    <w:jc w:val="left"/>
                    <w:textAlignment w:val="center"/>
                    <w:rPr>
                      <w:color w:val="auto"/>
                      <w:szCs w:val="21"/>
                      <w:highlight w:val="none"/>
                    </w:rPr>
                  </w:pPr>
                  <w:r>
                    <w:rPr>
                      <w:rFonts w:hint="eastAsia"/>
                      <w:color w:val="auto"/>
                      <w:kern w:val="0"/>
                      <w:szCs w:val="21"/>
                      <w:highlight w:val="none"/>
                      <w:lang w:bidi="ar"/>
                    </w:rPr>
                    <w:t>水槽格规W800×L2000×H830mm，采用2mmSUS304不锈钢板制作，保温玻璃纤维50mm，外部封板采用1.2mm拉丝不锈钢板，喷淋泵采用4.0KW多级泵进行喷淋清洗，配套有过滤网不锈钢袋式过滤器；后段配4.0KW高压风机+吹水风刀，油水分离装置一台，电加热系统一套，水槽底采用斜底结构并设有集污沟。</w:t>
                  </w:r>
                </w:p>
              </w:tc>
            </w:tr>
            <w:tr w14:paraId="646BDC42">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680" w:hRule="exact"/>
                <w:jc w:val="center"/>
              </w:trPr>
              <w:tc>
                <w:tcPr>
                  <w:tcW w:w="673" w:type="dxa"/>
                  <w:noWrap/>
                  <w:vAlign w:val="center"/>
                </w:tcPr>
                <w:p w14:paraId="7D5C27E2">
                  <w:pPr>
                    <w:widowControl/>
                    <w:jc w:val="center"/>
                    <w:textAlignment w:val="center"/>
                    <w:rPr>
                      <w:color w:val="auto"/>
                      <w:szCs w:val="21"/>
                      <w:highlight w:val="none"/>
                    </w:rPr>
                  </w:pPr>
                  <w:r>
                    <w:rPr>
                      <w:color w:val="auto"/>
                      <w:kern w:val="0"/>
                      <w:szCs w:val="21"/>
                      <w:highlight w:val="none"/>
                      <w:lang w:bidi="ar"/>
                    </w:rPr>
                    <w:t>6</w:t>
                  </w:r>
                </w:p>
              </w:tc>
              <w:tc>
                <w:tcPr>
                  <w:tcW w:w="1463" w:type="dxa"/>
                  <w:noWrap w:val="0"/>
                  <w:vAlign w:val="center"/>
                </w:tcPr>
                <w:p w14:paraId="4D0D4F5A">
                  <w:pPr>
                    <w:widowControl/>
                    <w:jc w:val="center"/>
                    <w:textAlignment w:val="center"/>
                    <w:rPr>
                      <w:color w:val="auto"/>
                      <w:szCs w:val="21"/>
                      <w:highlight w:val="none"/>
                    </w:rPr>
                  </w:pPr>
                  <w:r>
                    <w:rPr>
                      <w:color w:val="auto"/>
                      <w:kern w:val="0"/>
                      <w:szCs w:val="21"/>
                      <w:highlight w:val="none"/>
                      <w:lang w:bidi="ar"/>
                    </w:rPr>
                    <w:t>水洗喷淋</w:t>
                  </w:r>
                  <w:r>
                    <w:rPr>
                      <w:rFonts w:hint="eastAsia"/>
                      <w:color w:val="auto"/>
                      <w:kern w:val="0"/>
                      <w:szCs w:val="21"/>
                      <w:highlight w:val="none"/>
                      <w:lang w:val="en-US" w:eastAsia="zh-CN" w:bidi="ar"/>
                    </w:rPr>
                    <w:t>系统</w:t>
                  </w:r>
                  <w:r>
                    <w:rPr>
                      <w:color w:val="auto"/>
                      <w:kern w:val="0"/>
                      <w:szCs w:val="21"/>
                      <w:highlight w:val="none"/>
                      <w:lang w:bidi="ar"/>
                    </w:rPr>
                    <w:t>及水槽</w:t>
                  </w:r>
                </w:p>
              </w:tc>
              <w:tc>
                <w:tcPr>
                  <w:tcW w:w="818" w:type="dxa"/>
                  <w:noWrap w:val="0"/>
                  <w:vAlign w:val="center"/>
                </w:tcPr>
                <w:p w14:paraId="2DCCC220">
                  <w:pPr>
                    <w:widowControl/>
                    <w:jc w:val="center"/>
                    <w:textAlignment w:val="center"/>
                    <w:rPr>
                      <w:color w:val="auto"/>
                      <w:szCs w:val="21"/>
                      <w:highlight w:val="none"/>
                    </w:rPr>
                  </w:pPr>
                  <w:r>
                    <w:rPr>
                      <w:rStyle w:val="99"/>
                      <w:rFonts w:hint="eastAsia"/>
                      <w:color w:val="auto"/>
                      <w:highlight w:val="none"/>
                      <w:lang w:val="en-US" w:eastAsia="zh-CN" w:bidi="ar"/>
                    </w:rPr>
                    <w:t>1</w:t>
                  </w:r>
                  <w:r>
                    <w:rPr>
                      <w:rStyle w:val="99"/>
                      <w:color w:val="auto"/>
                      <w:highlight w:val="none"/>
                      <w:lang w:bidi="ar"/>
                    </w:rPr>
                    <w:t>套</w:t>
                  </w:r>
                </w:p>
              </w:tc>
              <w:tc>
                <w:tcPr>
                  <w:tcW w:w="5125" w:type="dxa"/>
                  <w:noWrap w:val="0"/>
                  <w:vAlign w:val="center"/>
                </w:tcPr>
                <w:p w14:paraId="7F37A459">
                  <w:pPr>
                    <w:widowControl/>
                    <w:jc w:val="left"/>
                    <w:textAlignment w:val="center"/>
                    <w:rPr>
                      <w:rFonts w:hint="default" w:eastAsia="宋体"/>
                      <w:color w:val="auto"/>
                      <w:szCs w:val="21"/>
                      <w:highlight w:val="none"/>
                      <w:lang w:val="en-US" w:eastAsia="zh-CN"/>
                    </w:rPr>
                  </w:pPr>
                  <w:r>
                    <w:rPr>
                      <w:rFonts w:hint="eastAsia"/>
                      <w:color w:val="auto"/>
                      <w:kern w:val="0"/>
                      <w:szCs w:val="21"/>
                      <w:highlight w:val="none"/>
                      <w:lang w:bidi="ar"/>
                    </w:rPr>
                    <w:t>水槽格规W800×L2000×H830mm，采用2mmSUS304不锈钢板制作，保温玻璃纤维50mm，外部封板采用1.2mm拉丝不锈钢板，喷淋泵采用</w:t>
                  </w:r>
                  <w:r>
                    <w:rPr>
                      <w:rFonts w:hint="eastAsia"/>
                      <w:color w:val="auto"/>
                      <w:kern w:val="0"/>
                      <w:szCs w:val="21"/>
                      <w:highlight w:val="none"/>
                      <w:lang w:val="en-US" w:eastAsia="zh-CN" w:bidi="ar"/>
                    </w:rPr>
                    <w:t>5.5</w:t>
                  </w:r>
                  <w:r>
                    <w:rPr>
                      <w:rFonts w:hint="eastAsia"/>
                      <w:color w:val="auto"/>
                      <w:kern w:val="0"/>
                      <w:szCs w:val="21"/>
                      <w:highlight w:val="none"/>
                      <w:lang w:bidi="ar"/>
                    </w:rPr>
                    <w:t>KW多级泵进行喷淋清洗，后段配4.0KW高压风机+吹水风刀，水槽底采用斜底结构并设有集污沟。</w:t>
                  </w:r>
                  <w:r>
                    <w:rPr>
                      <w:rFonts w:hint="eastAsia"/>
                      <w:color w:val="auto"/>
                      <w:kern w:val="0"/>
                      <w:szCs w:val="21"/>
                      <w:highlight w:val="none"/>
                      <w:lang w:val="en-US" w:eastAsia="zh-CN" w:bidi="ar"/>
                    </w:rPr>
                    <w:t>厂家设计为1套，备案时2套。</w:t>
                  </w:r>
                </w:p>
              </w:tc>
            </w:tr>
            <w:tr w14:paraId="6D52B369">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47" w:hRule="exact"/>
                <w:jc w:val="center"/>
              </w:trPr>
              <w:tc>
                <w:tcPr>
                  <w:tcW w:w="673" w:type="dxa"/>
                  <w:noWrap/>
                  <w:vAlign w:val="center"/>
                </w:tcPr>
                <w:p w14:paraId="0D3E34EF">
                  <w:pPr>
                    <w:widowControl/>
                    <w:jc w:val="center"/>
                    <w:textAlignment w:val="center"/>
                    <w:rPr>
                      <w:color w:val="auto"/>
                      <w:szCs w:val="21"/>
                      <w:highlight w:val="none"/>
                    </w:rPr>
                  </w:pPr>
                  <w:r>
                    <w:rPr>
                      <w:color w:val="auto"/>
                      <w:kern w:val="0"/>
                      <w:szCs w:val="21"/>
                      <w:highlight w:val="none"/>
                      <w:lang w:bidi="ar"/>
                    </w:rPr>
                    <w:t>7</w:t>
                  </w:r>
                </w:p>
              </w:tc>
              <w:tc>
                <w:tcPr>
                  <w:tcW w:w="1463" w:type="dxa"/>
                  <w:noWrap w:val="0"/>
                  <w:vAlign w:val="center"/>
                </w:tcPr>
                <w:p w14:paraId="53997745">
                  <w:pPr>
                    <w:widowControl/>
                    <w:jc w:val="center"/>
                    <w:textAlignment w:val="center"/>
                    <w:rPr>
                      <w:color w:val="auto"/>
                      <w:szCs w:val="21"/>
                      <w:highlight w:val="none"/>
                    </w:rPr>
                  </w:pPr>
                  <w:r>
                    <w:rPr>
                      <w:color w:val="auto"/>
                      <w:kern w:val="0"/>
                      <w:szCs w:val="21"/>
                      <w:highlight w:val="none"/>
                      <w:lang w:bidi="ar"/>
                    </w:rPr>
                    <w:t>水洗防锈喷淋系统及水槽</w:t>
                  </w:r>
                </w:p>
              </w:tc>
              <w:tc>
                <w:tcPr>
                  <w:tcW w:w="818" w:type="dxa"/>
                  <w:noWrap w:val="0"/>
                  <w:vAlign w:val="center"/>
                </w:tcPr>
                <w:p w14:paraId="7EAC7C67">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10644C31">
                  <w:pPr>
                    <w:widowControl/>
                    <w:jc w:val="left"/>
                    <w:textAlignment w:val="center"/>
                    <w:rPr>
                      <w:rFonts w:hint="eastAsia" w:eastAsia="宋体"/>
                      <w:color w:val="auto"/>
                      <w:szCs w:val="21"/>
                      <w:highlight w:val="none"/>
                      <w:lang w:eastAsia="zh-CN"/>
                    </w:rPr>
                  </w:pPr>
                  <w:r>
                    <w:rPr>
                      <w:rFonts w:hint="eastAsia"/>
                      <w:color w:val="auto"/>
                      <w:kern w:val="0"/>
                      <w:szCs w:val="21"/>
                      <w:highlight w:val="none"/>
                      <w:lang w:bidi="ar"/>
                    </w:rPr>
                    <w:t>水槽格规W800×L2000×H830mm，采用2mmSUS304不锈钢板制作，保温玻璃纤维50mm，外部封板采用1.2mm拉丝不锈钢板，喷淋泵采用5.5KW多级泵进行喷淋清洗，后段配4.0KW高压风机+2把吹水风刀，水槽底采用斜底结构并设有集污沟。电加热系统一套</w:t>
                  </w:r>
                  <w:r>
                    <w:rPr>
                      <w:rFonts w:hint="eastAsia"/>
                      <w:color w:val="auto"/>
                      <w:kern w:val="0"/>
                      <w:szCs w:val="21"/>
                      <w:highlight w:val="none"/>
                      <w:lang w:eastAsia="zh-CN" w:bidi="ar"/>
                    </w:rPr>
                    <w:t>。</w:t>
                  </w:r>
                </w:p>
              </w:tc>
            </w:tr>
            <w:tr w14:paraId="456C3766">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56" w:hRule="exact"/>
                <w:jc w:val="center"/>
              </w:trPr>
              <w:tc>
                <w:tcPr>
                  <w:tcW w:w="673" w:type="dxa"/>
                  <w:noWrap/>
                  <w:vAlign w:val="center"/>
                </w:tcPr>
                <w:p w14:paraId="63AEEC97">
                  <w:pPr>
                    <w:widowControl/>
                    <w:jc w:val="center"/>
                    <w:textAlignment w:val="center"/>
                    <w:rPr>
                      <w:color w:val="auto"/>
                      <w:szCs w:val="21"/>
                      <w:highlight w:val="none"/>
                    </w:rPr>
                  </w:pPr>
                  <w:r>
                    <w:rPr>
                      <w:color w:val="auto"/>
                      <w:kern w:val="0"/>
                      <w:szCs w:val="21"/>
                      <w:highlight w:val="none"/>
                      <w:lang w:bidi="ar"/>
                    </w:rPr>
                    <w:t>8</w:t>
                  </w:r>
                </w:p>
              </w:tc>
              <w:tc>
                <w:tcPr>
                  <w:tcW w:w="1463" w:type="dxa"/>
                  <w:noWrap w:val="0"/>
                  <w:vAlign w:val="center"/>
                </w:tcPr>
                <w:p w14:paraId="0069799A">
                  <w:pPr>
                    <w:widowControl/>
                    <w:jc w:val="center"/>
                    <w:textAlignment w:val="center"/>
                    <w:rPr>
                      <w:color w:val="auto"/>
                      <w:szCs w:val="21"/>
                      <w:highlight w:val="none"/>
                    </w:rPr>
                  </w:pPr>
                  <w:r>
                    <w:rPr>
                      <w:color w:val="auto"/>
                      <w:kern w:val="0"/>
                      <w:szCs w:val="21"/>
                      <w:highlight w:val="none"/>
                      <w:lang w:bidi="ar"/>
                    </w:rPr>
                    <w:t>自动切水系统</w:t>
                  </w:r>
                </w:p>
              </w:tc>
              <w:tc>
                <w:tcPr>
                  <w:tcW w:w="818" w:type="dxa"/>
                  <w:noWrap w:val="0"/>
                  <w:vAlign w:val="center"/>
                </w:tcPr>
                <w:p w14:paraId="04B3AEE7">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6AD4816C">
                  <w:pPr>
                    <w:widowControl/>
                    <w:jc w:val="left"/>
                    <w:textAlignment w:val="center"/>
                    <w:rPr>
                      <w:color w:val="auto"/>
                      <w:szCs w:val="21"/>
                      <w:highlight w:val="none"/>
                    </w:rPr>
                  </w:pPr>
                  <w:r>
                    <w:rPr>
                      <w:color w:val="auto"/>
                      <w:kern w:val="0"/>
                      <w:szCs w:val="21"/>
                      <w:highlight w:val="none"/>
                      <w:lang w:bidi="ar"/>
                    </w:rPr>
                    <w:t>采用专用风刀配合高压4.0KW高压风机对盘表面进行吹水；压缩空气喷咀对内壁和沟槽吹</w:t>
                  </w:r>
                </w:p>
              </w:tc>
            </w:tr>
            <w:tr w14:paraId="2935A443">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921" w:hRule="exact"/>
                <w:jc w:val="center"/>
              </w:trPr>
              <w:tc>
                <w:tcPr>
                  <w:tcW w:w="673" w:type="dxa"/>
                  <w:noWrap/>
                  <w:vAlign w:val="center"/>
                </w:tcPr>
                <w:p w14:paraId="2199CED1">
                  <w:pPr>
                    <w:widowControl/>
                    <w:jc w:val="center"/>
                    <w:textAlignment w:val="center"/>
                    <w:rPr>
                      <w:color w:val="auto"/>
                      <w:szCs w:val="21"/>
                      <w:highlight w:val="none"/>
                    </w:rPr>
                  </w:pPr>
                  <w:r>
                    <w:rPr>
                      <w:color w:val="auto"/>
                      <w:kern w:val="0"/>
                      <w:szCs w:val="21"/>
                      <w:highlight w:val="none"/>
                      <w:lang w:bidi="ar"/>
                    </w:rPr>
                    <w:t>9</w:t>
                  </w:r>
                </w:p>
              </w:tc>
              <w:tc>
                <w:tcPr>
                  <w:tcW w:w="1463" w:type="dxa"/>
                  <w:noWrap w:val="0"/>
                  <w:vAlign w:val="center"/>
                </w:tcPr>
                <w:p w14:paraId="32BB5D11">
                  <w:pPr>
                    <w:widowControl/>
                    <w:jc w:val="center"/>
                    <w:textAlignment w:val="center"/>
                    <w:rPr>
                      <w:color w:val="auto"/>
                      <w:szCs w:val="21"/>
                      <w:highlight w:val="none"/>
                    </w:rPr>
                  </w:pPr>
                  <w:r>
                    <w:rPr>
                      <w:color w:val="auto"/>
                      <w:kern w:val="0"/>
                      <w:szCs w:val="21"/>
                      <w:highlight w:val="none"/>
                      <w:lang w:bidi="ar"/>
                    </w:rPr>
                    <w:t>自动烘干系统</w:t>
                  </w:r>
                </w:p>
              </w:tc>
              <w:tc>
                <w:tcPr>
                  <w:tcW w:w="818" w:type="dxa"/>
                  <w:noWrap w:val="0"/>
                  <w:vAlign w:val="center"/>
                </w:tcPr>
                <w:p w14:paraId="486BC12F">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359A20E7">
                  <w:pPr>
                    <w:widowControl/>
                    <w:jc w:val="left"/>
                    <w:textAlignment w:val="center"/>
                    <w:rPr>
                      <w:color w:val="auto"/>
                      <w:szCs w:val="21"/>
                      <w:highlight w:val="none"/>
                    </w:rPr>
                  </w:pPr>
                  <w:r>
                    <w:rPr>
                      <w:rFonts w:hint="eastAsia"/>
                      <w:color w:val="auto"/>
                      <w:kern w:val="0"/>
                      <w:szCs w:val="21"/>
                      <w:highlight w:val="none"/>
                      <w:lang w:bidi="ar"/>
                    </w:rPr>
                    <w:t>加热方式采用组合式加热方式加热，顶部和侧部采用短波红外线镀金发热管提供热源，底部采用不锈钢带散热片发热管提供热源；温度控制范围：常温～150 度可调；热风循环系统通过2台1.1KW 热风循环离心风机形成热空气流动加热；脱水烘干炉利用预热炉和主烤炉的余热，通过后拉风机进行强制性排风设计</w:t>
                  </w:r>
                  <w:r>
                    <w:rPr>
                      <w:rFonts w:hint="eastAsia"/>
                      <w:color w:val="auto"/>
                      <w:kern w:val="0"/>
                      <w:szCs w:val="21"/>
                      <w:highlight w:val="none"/>
                      <w:lang w:eastAsia="zh-CN" w:bidi="ar"/>
                    </w:rPr>
                    <w:t>。</w:t>
                  </w:r>
                </w:p>
              </w:tc>
            </w:tr>
            <w:tr w14:paraId="64C1CE60">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44" w:hRule="exact"/>
                <w:jc w:val="center"/>
              </w:trPr>
              <w:tc>
                <w:tcPr>
                  <w:tcW w:w="673" w:type="dxa"/>
                  <w:noWrap/>
                  <w:vAlign w:val="center"/>
                </w:tcPr>
                <w:p w14:paraId="320067E3">
                  <w:pPr>
                    <w:widowControl/>
                    <w:jc w:val="center"/>
                    <w:textAlignment w:val="center"/>
                    <w:rPr>
                      <w:color w:val="auto"/>
                      <w:szCs w:val="21"/>
                      <w:highlight w:val="none"/>
                    </w:rPr>
                  </w:pPr>
                  <w:r>
                    <w:rPr>
                      <w:color w:val="auto"/>
                      <w:kern w:val="0"/>
                      <w:szCs w:val="21"/>
                      <w:highlight w:val="none"/>
                      <w:lang w:bidi="ar"/>
                    </w:rPr>
                    <w:t>10</w:t>
                  </w:r>
                </w:p>
              </w:tc>
              <w:tc>
                <w:tcPr>
                  <w:tcW w:w="1463" w:type="dxa"/>
                  <w:noWrap w:val="0"/>
                  <w:vAlign w:val="center"/>
                </w:tcPr>
                <w:p w14:paraId="1D69BA78">
                  <w:pPr>
                    <w:widowControl/>
                    <w:jc w:val="center"/>
                    <w:textAlignment w:val="center"/>
                    <w:rPr>
                      <w:color w:val="auto"/>
                      <w:szCs w:val="21"/>
                      <w:highlight w:val="none"/>
                    </w:rPr>
                  </w:pPr>
                  <w:r>
                    <w:rPr>
                      <w:color w:val="auto"/>
                      <w:kern w:val="0"/>
                      <w:szCs w:val="21"/>
                      <w:highlight w:val="none"/>
                      <w:lang w:bidi="ar"/>
                    </w:rPr>
                    <w:t>喷淋加热段排雾系统</w:t>
                  </w:r>
                </w:p>
              </w:tc>
              <w:tc>
                <w:tcPr>
                  <w:tcW w:w="818" w:type="dxa"/>
                  <w:noWrap w:val="0"/>
                  <w:vAlign w:val="center"/>
                </w:tcPr>
                <w:p w14:paraId="2EFD3C84">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07081786">
                  <w:pPr>
                    <w:widowControl/>
                    <w:jc w:val="left"/>
                    <w:textAlignment w:val="center"/>
                    <w:rPr>
                      <w:rFonts w:hint="eastAsia" w:eastAsia="宋体"/>
                      <w:color w:val="auto"/>
                      <w:szCs w:val="21"/>
                      <w:highlight w:val="none"/>
                      <w:lang w:eastAsia="zh-CN"/>
                    </w:rPr>
                  </w:pPr>
                  <w:r>
                    <w:rPr>
                      <w:color w:val="auto"/>
                      <w:kern w:val="0"/>
                      <w:szCs w:val="21"/>
                      <w:highlight w:val="none"/>
                      <w:lang w:bidi="ar"/>
                    </w:rPr>
                    <w:t>2.2KW</w:t>
                  </w:r>
                  <w:r>
                    <w:rPr>
                      <w:rFonts w:hint="eastAsia"/>
                      <w:color w:val="auto"/>
                      <w:kern w:val="0"/>
                      <w:szCs w:val="21"/>
                      <w:highlight w:val="none"/>
                      <w:lang w:bidi="ar"/>
                    </w:rPr>
                    <w:t>，</w:t>
                  </w:r>
                  <w:r>
                    <w:rPr>
                      <w:color w:val="auto"/>
                      <w:kern w:val="0"/>
                      <w:szCs w:val="21"/>
                      <w:highlight w:val="none"/>
                      <w:lang w:bidi="ar"/>
                    </w:rPr>
                    <w:t>PVC风机配PVC风管排雾</w:t>
                  </w:r>
                  <w:r>
                    <w:rPr>
                      <w:rFonts w:hint="eastAsia"/>
                      <w:color w:val="auto"/>
                      <w:kern w:val="0"/>
                      <w:szCs w:val="21"/>
                      <w:highlight w:val="none"/>
                      <w:lang w:eastAsia="zh-CN" w:bidi="ar"/>
                    </w:rPr>
                    <w:t>。</w:t>
                  </w:r>
                </w:p>
              </w:tc>
            </w:tr>
            <w:tr w14:paraId="013DD94C">
              <w:tblPrEx>
                <w:tblBorders>
                  <w:top w:val="single" w:color="000000" w:sz="4" w:space="0"/>
                  <w:left w:val="single" w:color="000000" w:sz="4" w:space="0"/>
                  <w:bottom w:val="single" w:color="000000" w:sz="4"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90" w:hRule="exact"/>
                <w:jc w:val="center"/>
              </w:trPr>
              <w:tc>
                <w:tcPr>
                  <w:tcW w:w="673" w:type="dxa"/>
                  <w:noWrap/>
                  <w:vAlign w:val="center"/>
                </w:tcPr>
                <w:p w14:paraId="1260265D">
                  <w:pPr>
                    <w:widowControl/>
                    <w:jc w:val="center"/>
                    <w:textAlignment w:val="center"/>
                    <w:rPr>
                      <w:rFonts w:hint="eastAsia" w:eastAsia="宋体"/>
                      <w:color w:val="auto"/>
                      <w:szCs w:val="21"/>
                      <w:highlight w:val="none"/>
                      <w:lang w:eastAsia="zh-CN"/>
                    </w:rPr>
                  </w:pPr>
                  <w:r>
                    <w:rPr>
                      <w:color w:val="auto"/>
                      <w:kern w:val="0"/>
                      <w:szCs w:val="21"/>
                      <w:highlight w:val="none"/>
                      <w:lang w:bidi="ar"/>
                    </w:rPr>
                    <w:t>1</w:t>
                  </w:r>
                  <w:r>
                    <w:rPr>
                      <w:rFonts w:hint="eastAsia"/>
                      <w:color w:val="auto"/>
                      <w:kern w:val="0"/>
                      <w:szCs w:val="21"/>
                      <w:highlight w:val="none"/>
                      <w:lang w:val="en-US" w:eastAsia="zh-CN" w:bidi="ar"/>
                    </w:rPr>
                    <w:t>1</w:t>
                  </w:r>
                </w:p>
              </w:tc>
              <w:tc>
                <w:tcPr>
                  <w:tcW w:w="1463" w:type="dxa"/>
                  <w:noWrap w:val="0"/>
                  <w:vAlign w:val="center"/>
                </w:tcPr>
                <w:p w14:paraId="634FE082">
                  <w:pPr>
                    <w:widowControl/>
                    <w:jc w:val="center"/>
                    <w:textAlignment w:val="center"/>
                    <w:rPr>
                      <w:color w:val="auto"/>
                      <w:szCs w:val="21"/>
                      <w:highlight w:val="none"/>
                    </w:rPr>
                  </w:pPr>
                  <w:r>
                    <w:rPr>
                      <w:color w:val="auto"/>
                      <w:kern w:val="0"/>
                      <w:szCs w:val="21"/>
                      <w:highlight w:val="none"/>
                      <w:lang w:bidi="ar"/>
                    </w:rPr>
                    <w:t>集中电器控制系统</w:t>
                  </w:r>
                </w:p>
              </w:tc>
              <w:tc>
                <w:tcPr>
                  <w:tcW w:w="818" w:type="dxa"/>
                  <w:noWrap w:val="0"/>
                  <w:vAlign w:val="center"/>
                </w:tcPr>
                <w:p w14:paraId="104284C3">
                  <w:pPr>
                    <w:widowControl/>
                    <w:jc w:val="center"/>
                    <w:textAlignment w:val="center"/>
                    <w:rPr>
                      <w:color w:val="auto"/>
                      <w:szCs w:val="21"/>
                      <w:highlight w:val="none"/>
                    </w:rPr>
                  </w:pPr>
                  <w:r>
                    <w:rPr>
                      <w:rStyle w:val="99"/>
                      <w:color w:val="auto"/>
                      <w:highlight w:val="none"/>
                      <w:lang w:bidi="ar"/>
                    </w:rPr>
                    <w:t>1套</w:t>
                  </w:r>
                </w:p>
              </w:tc>
              <w:tc>
                <w:tcPr>
                  <w:tcW w:w="5125" w:type="dxa"/>
                  <w:noWrap w:val="0"/>
                  <w:vAlign w:val="center"/>
                </w:tcPr>
                <w:p w14:paraId="79D33851">
                  <w:pPr>
                    <w:widowControl/>
                    <w:jc w:val="left"/>
                    <w:textAlignment w:val="center"/>
                    <w:rPr>
                      <w:rFonts w:hint="eastAsia" w:eastAsia="宋体"/>
                      <w:color w:val="auto"/>
                      <w:szCs w:val="21"/>
                      <w:highlight w:val="none"/>
                      <w:lang w:eastAsia="zh-CN"/>
                    </w:rPr>
                  </w:pPr>
                  <w:r>
                    <w:rPr>
                      <w:color w:val="auto"/>
                      <w:kern w:val="0"/>
                      <w:szCs w:val="21"/>
                      <w:highlight w:val="none"/>
                      <w:lang w:bidi="ar"/>
                    </w:rPr>
                    <w:t>低压电器为正泰，变频器温控器模块，触控屏均为汇川设计，专用线槽走线设计</w:t>
                  </w:r>
                  <w:r>
                    <w:rPr>
                      <w:rFonts w:hint="eastAsia"/>
                      <w:color w:val="auto"/>
                      <w:kern w:val="0"/>
                      <w:szCs w:val="21"/>
                      <w:highlight w:val="none"/>
                      <w:lang w:eastAsia="zh-CN" w:bidi="ar"/>
                    </w:rPr>
                    <w:t>。</w:t>
                  </w:r>
                </w:p>
              </w:tc>
            </w:tr>
          </w:tbl>
          <w:p w14:paraId="47E81267"/>
          <w:p w14:paraId="291C1736">
            <w:pPr>
              <w:spacing w:line="360" w:lineRule="auto"/>
              <w:ind w:firstLine="482" w:firstLineChars="200"/>
              <w:rPr>
                <w:b/>
                <w:bCs/>
                <w:color w:val="auto"/>
                <w:sz w:val="24"/>
                <w:highlight w:val="none"/>
              </w:rPr>
            </w:pPr>
            <w:r>
              <w:rPr>
                <w:rFonts w:hint="eastAsia"/>
                <w:b/>
                <w:bCs/>
                <w:color w:val="auto"/>
                <w:sz w:val="24"/>
                <w:highlight w:val="none"/>
                <w:lang w:val="en-US" w:eastAsia="zh-CN"/>
              </w:rPr>
              <w:t>4</w:t>
            </w:r>
            <w:r>
              <w:rPr>
                <w:b/>
                <w:bCs/>
                <w:color w:val="auto"/>
                <w:sz w:val="24"/>
                <w:highlight w:val="none"/>
              </w:rPr>
              <w:t>、产品方案</w:t>
            </w:r>
          </w:p>
          <w:p w14:paraId="5F95A387">
            <w:pPr>
              <w:spacing w:line="360" w:lineRule="auto"/>
              <w:ind w:firstLine="480" w:firstLineChars="200"/>
              <w:jc w:val="left"/>
              <w:rPr>
                <w:color w:val="auto"/>
                <w:sz w:val="24"/>
                <w:highlight w:val="none"/>
              </w:rPr>
            </w:pPr>
            <w:r>
              <w:rPr>
                <w:rFonts w:hint="eastAsia" w:ascii="Times New Roman" w:hAnsi="Times New Roman" w:eastAsia="宋体" w:cs="Times New Roman"/>
                <w:b w:val="0"/>
                <w:bCs w:val="0"/>
                <w:color w:val="auto"/>
                <w:sz w:val="24"/>
                <w:highlight w:val="none"/>
                <w:lang w:val="en-US" w:eastAsia="zh-CN"/>
              </w:rPr>
              <w:t>技改项目不涉及产品变动。</w:t>
            </w:r>
            <w:r>
              <w:rPr>
                <w:rFonts w:hint="eastAsia"/>
                <w:color w:val="auto"/>
                <w:sz w:val="24"/>
                <w:highlight w:val="none"/>
              </w:rPr>
              <w:t>产品方案见下表。</w:t>
            </w:r>
          </w:p>
          <w:p w14:paraId="60FD90DC">
            <w:pPr>
              <w:pStyle w:val="91"/>
              <w:numPr>
                <w:ilvl w:val="0"/>
                <w:numId w:val="0"/>
              </w:numPr>
              <w:spacing w:line="360" w:lineRule="auto"/>
              <w:jc w:val="center"/>
              <w:rPr>
                <w:color w:val="auto"/>
                <w:highlight w:val="none"/>
              </w:rPr>
            </w:pPr>
            <w:r>
              <w:rPr>
                <w:rFonts w:hint="eastAsia"/>
                <w:color w:val="auto"/>
                <w:highlight w:val="none"/>
              </w:rPr>
              <w:t>表2-7</w:t>
            </w:r>
            <w:r>
              <w:rPr>
                <w:color w:val="auto"/>
                <w:highlight w:val="none"/>
              </w:rPr>
              <w:t xml:space="preserve"> </w:t>
            </w:r>
            <w:r>
              <w:rPr>
                <w:rFonts w:hint="eastAsia"/>
                <w:color w:val="auto"/>
                <w:highlight w:val="none"/>
              </w:rPr>
              <w:t>产品方案一览表</w:t>
            </w:r>
          </w:p>
          <w:tbl>
            <w:tblPr>
              <w:tblStyle w:val="36"/>
              <w:tblW w:w="496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
              <w:gridCol w:w="1322"/>
              <w:gridCol w:w="2092"/>
              <w:gridCol w:w="1559"/>
              <w:gridCol w:w="2280"/>
            </w:tblGrid>
            <w:tr w14:paraId="33B41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983" w:type="dxa"/>
                  <w:noWrap w:val="0"/>
                  <w:vAlign w:val="center"/>
                </w:tcPr>
                <w:p w14:paraId="1BC56E1E">
                  <w:pPr>
                    <w:pStyle w:val="102"/>
                    <w:spacing w:before="24" w:after="24"/>
                    <w:rPr>
                      <w:rFonts w:hint="default"/>
                      <w:color w:val="auto"/>
                      <w:szCs w:val="21"/>
                      <w:highlight w:val="none"/>
                    </w:rPr>
                  </w:pPr>
                  <w:r>
                    <w:rPr>
                      <w:rFonts w:hint="default"/>
                      <w:color w:val="auto"/>
                      <w:szCs w:val="21"/>
                      <w:highlight w:val="none"/>
                    </w:rPr>
                    <w:t>序号</w:t>
                  </w:r>
                </w:p>
              </w:tc>
              <w:tc>
                <w:tcPr>
                  <w:tcW w:w="1310" w:type="dxa"/>
                  <w:noWrap w:val="0"/>
                  <w:vAlign w:val="center"/>
                </w:tcPr>
                <w:p w14:paraId="3FC11BC3">
                  <w:pPr>
                    <w:pStyle w:val="102"/>
                    <w:spacing w:before="24" w:after="24"/>
                    <w:rPr>
                      <w:rFonts w:hint="default"/>
                      <w:color w:val="auto"/>
                      <w:szCs w:val="21"/>
                      <w:highlight w:val="none"/>
                    </w:rPr>
                  </w:pPr>
                  <w:r>
                    <w:rPr>
                      <w:rFonts w:hint="default"/>
                      <w:color w:val="auto"/>
                      <w:szCs w:val="21"/>
                      <w:highlight w:val="none"/>
                    </w:rPr>
                    <w:t>名 称</w:t>
                  </w:r>
                </w:p>
              </w:tc>
              <w:tc>
                <w:tcPr>
                  <w:tcW w:w="2073" w:type="dxa"/>
                  <w:noWrap w:val="0"/>
                  <w:vAlign w:val="center"/>
                </w:tcPr>
                <w:p w14:paraId="7C6DB64E">
                  <w:pPr>
                    <w:pStyle w:val="102"/>
                    <w:spacing w:before="24" w:after="24"/>
                    <w:rPr>
                      <w:rFonts w:hint="default"/>
                      <w:color w:val="auto"/>
                      <w:szCs w:val="21"/>
                      <w:highlight w:val="none"/>
                      <w:lang w:val="en-US"/>
                    </w:rPr>
                  </w:pPr>
                  <w:r>
                    <w:rPr>
                      <w:color w:val="auto"/>
                      <w:szCs w:val="21"/>
                      <w:highlight w:val="none"/>
                      <w:lang w:val="en-US"/>
                    </w:rPr>
                    <w:t>产品类型</w:t>
                  </w:r>
                </w:p>
              </w:tc>
              <w:tc>
                <w:tcPr>
                  <w:tcW w:w="1545" w:type="dxa"/>
                  <w:noWrap w:val="0"/>
                  <w:vAlign w:val="center"/>
                </w:tcPr>
                <w:p w14:paraId="1A7D8DAE">
                  <w:pPr>
                    <w:pStyle w:val="102"/>
                    <w:spacing w:before="24" w:after="24"/>
                    <w:rPr>
                      <w:color w:val="auto"/>
                      <w:szCs w:val="21"/>
                      <w:highlight w:val="none"/>
                    </w:rPr>
                  </w:pPr>
                  <w:r>
                    <w:rPr>
                      <w:rFonts w:hint="default"/>
                      <w:color w:val="auto"/>
                      <w:szCs w:val="21"/>
                      <w:highlight w:val="none"/>
                    </w:rPr>
                    <w:t>产量</w:t>
                  </w:r>
                  <w:r>
                    <w:rPr>
                      <w:color w:val="auto"/>
                      <w:szCs w:val="21"/>
                      <w:highlight w:val="none"/>
                    </w:rPr>
                    <w:t>（</w:t>
                  </w:r>
                  <w:r>
                    <w:rPr>
                      <w:color w:val="auto"/>
                      <w:szCs w:val="21"/>
                      <w:highlight w:val="none"/>
                      <w:lang w:val="en-US"/>
                    </w:rPr>
                    <w:t>t</w:t>
                  </w:r>
                  <w:r>
                    <w:rPr>
                      <w:rFonts w:hint="default"/>
                      <w:color w:val="auto"/>
                      <w:szCs w:val="21"/>
                      <w:highlight w:val="none"/>
                    </w:rPr>
                    <w:t>/a</w:t>
                  </w:r>
                  <w:r>
                    <w:rPr>
                      <w:color w:val="auto"/>
                      <w:szCs w:val="21"/>
                      <w:highlight w:val="none"/>
                    </w:rPr>
                    <w:t>）</w:t>
                  </w:r>
                </w:p>
              </w:tc>
              <w:tc>
                <w:tcPr>
                  <w:tcW w:w="2260" w:type="dxa"/>
                  <w:noWrap w:val="0"/>
                  <w:vAlign w:val="center"/>
                </w:tcPr>
                <w:p w14:paraId="45D73627">
                  <w:pPr>
                    <w:pStyle w:val="102"/>
                    <w:spacing w:before="24" w:after="24"/>
                    <w:rPr>
                      <w:rFonts w:hint="default"/>
                      <w:color w:val="auto"/>
                      <w:szCs w:val="21"/>
                      <w:highlight w:val="none"/>
                      <w:lang w:val="en-US"/>
                    </w:rPr>
                  </w:pPr>
                  <w:r>
                    <w:rPr>
                      <w:color w:val="auto"/>
                      <w:szCs w:val="21"/>
                      <w:highlight w:val="none"/>
                      <w:lang w:val="en-US"/>
                    </w:rPr>
                    <w:t>质量标准</w:t>
                  </w:r>
                </w:p>
              </w:tc>
            </w:tr>
            <w:tr w14:paraId="3DB84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983" w:type="dxa"/>
                  <w:noWrap w:val="0"/>
                  <w:vAlign w:val="center"/>
                </w:tcPr>
                <w:p w14:paraId="38E94E32">
                  <w:pPr>
                    <w:pStyle w:val="103"/>
                    <w:rPr>
                      <w:color w:val="auto"/>
                      <w:szCs w:val="21"/>
                      <w:highlight w:val="none"/>
                    </w:rPr>
                  </w:pPr>
                  <w:r>
                    <w:rPr>
                      <w:color w:val="auto"/>
                      <w:szCs w:val="21"/>
                      <w:highlight w:val="none"/>
                    </w:rPr>
                    <w:t>1</w:t>
                  </w:r>
                </w:p>
              </w:tc>
              <w:tc>
                <w:tcPr>
                  <w:tcW w:w="1310" w:type="dxa"/>
                  <w:noWrap w:val="0"/>
                  <w:vAlign w:val="center"/>
                </w:tcPr>
                <w:p w14:paraId="70D4F492">
                  <w:pPr>
                    <w:pStyle w:val="103"/>
                    <w:rPr>
                      <w:color w:val="auto"/>
                      <w:szCs w:val="21"/>
                      <w:highlight w:val="none"/>
                    </w:rPr>
                  </w:pPr>
                  <w:r>
                    <w:rPr>
                      <w:rFonts w:hint="eastAsia"/>
                      <w:color w:val="auto"/>
                      <w:szCs w:val="21"/>
                      <w:highlight w:val="none"/>
                    </w:rPr>
                    <w:t>制动盘</w:t>
                  </w:r>
                </w:p>
              </w:tc>
              <w:tc>
                <w:tcPr>
                  <w:tcW w:w="2073" w:type="dxa"/>
                  <w:vMerge w:val="restart"/>
                  <w:noWrap w:val="0"/>
                  <w:vAlign w:val="center"/>
                </w:tcPr>
                <w:p w14:paraId="490749F2">
                  <w:pPr>
                    <w:pStyle w:val="103"/>
                    <w:rPr>
                      <w:color w:val="auto"/>
                      <w:szCs w:val="21"/>
                      <w:highlight w:val="none"/>
                      <w:lang w:val="en-US"/>
                    </w:rPr>
                  </w:pPr>
                  <w:r>
                    <w:rPr>
                      <w:color w:val="auto"/>
                      <w:szCs w:val="21"/>
                      <w:highlight w:val="none"/>
                      <w:lang w:val="en-US"/>
                    </w:rPr>
                    <w:t>汽车零部件及配件</w:t>
                  </w:r>
                </w:p>
              </w:tc>
              <w:tc>
                <w:tcPr>
                  <w:tcW w:w="1545" w:type="dxa"/>
                  <w:vMerge w:val="restart"/>
                  <w:noWrap w:val="0"/>
                  <w:vAlign w:val="center"/>
                </w:tcPr>
                <w:p w14:paraId="74E27B96">
                  <w:pPr>
                    <w:pStyle w:val="103"/>
                    <w:rPr>
                      <w:rFonts w:hint="default" w:eastAsia="宋体"/>
                      <w:color w:val="auto"/>
                      <w:szCs w:val="21"/>
                      <w:highlight w:val="none"/>
                      <w:lang w:val="en-US" w:eastAsia="zh-CN"/>
                    </w:rPr>
                  </w:pPr>
                  <w:r>
                    <w:rPr>
                      <w:rFonts w:hint="eastAsia"/>
                      <w:color w:val="auto"/>
                      <w:szCs w:val="21"/>
                      <w:highlight w:val="none"/>
                      <w:lang w:val="en-US" w:eastAsia="zh-CN"/>
                    </w:rPr>
                    <w:t>5400</w:t>
                  </w:r>
                </w:p>
              </w:tc>
              <w:tc>
                <w:tcPr>
                  <w:tcW w:w="2260" w:type="dxa"/>
                  <w:noWrap w:val="0"/>
                  <w:vAlign w:val="center"/>
                </w:tcPr>
                <w:p w14:paraId="4FAF6D03">
                  <w:pPr>
                    <w:pStyle w:val="103"/>
                    <w:rPr>
                      <w:rFonts w:hint="eastAsia"/>
                      <w:color w:val="auto"/>
                      <w:szCs w:val="21"/>
                      <w:highlight w:val="none"/>
                      <w:lang w:val="en-US"/>
                    </w:rPr>
                  </w:pPr>
                  <w:r>
                    <w:rPr>
                      <w:rFonts w:hint="eastAsia"/>
                      <w:color w:val="auto"/>
                      <w:szCs w:val="21"/>
                      <w:highlight w:val="none"/>
                      <w:lang w:val="en-US"/>
                    </w:rPr>
                    <w:t>GB/T34422-2017</w:t>
                  </w:r>
                </w:p>
              </w:tc>
            </w:tr>
            <w:tr w14:paraId="05465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983" w:type="dxa"/>
                  <w:noWrap w:val="0"/>
                  <w:vAlign w:val="center"/>
                </w:tcPr>
                <w:p w14:paraId="698F2E24">
                  <w:pPr>
                    <w:pStyle w:val="103"/>
                    <w:rPr>
                      <w:rFonts w:hint="eastAsia"/>
                      <w:color w:val="auto"/>
                      <w:szCs w:val="21"/>
                      <w:highlight w:val="none"/>
                      <w:lang w:val="en-US"/>
                    </w:rPr>
                  </w:pPr>
                  <w:r>
                    <w:rPr>
                      <w:rFonts w:hint="eastAsia"/>
                      <w:color w:val="auto"/>
                      <w:szCs w:val="21"/>
                      <w:highlight w:val="none"/>
                      <w:lang w:val="en-US"/>
                    </w:rPr>
                    <w:t>2</w:t>
                  </w:r>
                </w:p>
              </w:tc>
              <w:tc>
                <w:tcPr>
                  <w:tcW w:w="1310" w:type="dxa"/>
                  <w:noWrap w:val="0"/>
                  <w:vAlign w:val="center"/>
                </w:tcPr>
                <w:p w14:paraId="3BF2D690">
                  <w:pPr>
                    <w:pStyle w:val="103"/>
                    <w:rPr>
                      <w:rFonts w:hint="eastAsia"/>
                      <w:color w:val="auto"/>
                      <w:szCs w:val="21"/>
                      <w:highlight w:val="none"/>
                    </w:rPr>
                  </w:pPr>
                  <w:r>
                    <w:rPr>
                      <w:rFonts w:hint="eastAsia"/>
                      <w:color w:val="auto"/>
                      <w:szCs w:val="21"/>
                      <w:highlight w:val="none"/>
                    </w:rPr>
                    <w:t>制动鼓</w:t>
                  </w:r>
                </w:p>
              </w:tc>
              <w:tc>
                <w:tcPr>
                  <w:tcW w:w="2073" w:type="dxa"/>
                  <w:vMerge w:val="continue"/>
                  <w:noWrap w:val="0"/>
                  <w:vAlign w:val="center"/>
                </w:tcPr>
                <w:p w14:paraId="75FFC3AA">
                  <w:pPr>
                    <w:pStyle w:val="103"/>
                    <w:rPr>
                      <w:color w:val="auto"/>
                      <w:szCs w:val="21"/>
                      <w:highlight w:val="none"/>
                      <w:lang w:val="en-US"/>
                    </w:rPr>
                  </w:pPr>
                </w:p>
              </w:tc>
              <w:tc>
                <w:tcPr>
                  <w:tcW w:w="1545" w:type="dxa"/>
                  <w:vMerge w:val="continue"/>
                  <w:noWrap w:val="0"/>
                  <w:vAlign w:val="center"/>
                </w:tcPr>
                <w:p w14:paraId="7993A509">
                  <w:pPr>
                    <w:pStyle w:val="103"/>
                    <w:rPr>
                      <w:rFonts w:hint="eastAsia"/>
                      <w:color w:val="auto"/>
                      <w:szCs w:val="21"/>
                      <w:highlight w:val="none"/>
                      <w:lang w:val="en-US"/>
                    </w:rPr>
                  </w:pPr>
                </w:p>
              </w:tc>
              <w:tc>
                <w:tcPr>
                  <w:tcW w:w="2260" w:type="dxa"/>
                  <w:noWrap w:val="0"/>
                  <w:vAlign w:val="center"/>
                </w:tcPr>
                <w:p w14:paraId="38A52574">
                  <w:pPr>
                    <w:pStyle w:val="103"/>
                    <w:rPr>
                      <w:rFonts w:hint="eastAsia"/>
                      <w:color w:val="auto"/>
                      <w:szCs w:val="21"/>
                      <w:highlight w:val="none"/>
                      <w:lang w:val="en-US"/>
                    </w:rPr>
                  </w:pPr>
                  <w:r>
                    <w:rPr>
                      <w:rFonts w:hint="eastAsia"/>
                      <w:color w:val="auto"/>
                      <w:szCs w:val="21"/>
                      <w:highlight w:val="none"/>
                      <w:lang w:val="en-US"/>
                    </w:rPr>
                    <w:t>GB/T37336-2019</w:t>
                  </w:r>
                </w:p>
              </w:tc>
            </w:tr>
          </w:tbl>
          <w:p w14:paraId="2F38F8FB">
            <w:pPr>
              <w:rPr>
                <w:rFonts w:hint="default"/>
                <w:lang w:val="en-US" w:eastAsia="zh-CN"/>
              </w:rPr>
            </w:pPr>
          </w:p>
          <w:p w14:paraId="4EEE85EA">
            <w:pPr>
              <w:spacing w:line="360" w:lineRule="auto"/>
              <w:ind w:firstLine="482" w:firstLineChars="200"/>
              <w:jc w:val="left"/>
              <w:rPr>
                <w:rFonts w:hint="default" w:eastAsia="宋体"/>
                <w:b/>
                <w:bCs/>
                <w:color w:val="000000" w:themeColor="text1"/>
                <w:sz w:val="24"/>
                <w:highlight w:val="none"/>
                <w:lang w:val="en-US" w:eastAsia="zh-CN"/>
                <w14:textFill>
                  <w14:solidFill>
                    <w14:schemeClr w14:val="tx1"/>
                  </w14:solidFill>
                </w14:textFill>
              </w:rPr>
            </w:pPr>
            <w:r>
              <w:rPr>
                <w:rFonts w:hint="eastAsia"/>
                <w:b/>
                <w:bCs/>
                <w:color w:val="000000" w:themeColor="text1"/>
                <w:sz w:val="24"/>
                <w:highlight w:val="none"/>
                <w:lang w:val="en-US" w:eastAsia="zh-CN"/>
                <w14:textFill>
                  <w14:solidFill>
                    <w14:schemeClr w14:val="tx1"/>
                  </w14:solidFill>
                </w14:textFill>
              </w:rPr>
              <w:t>5</w:t>
            </w:r>
            <w:r>
              <w:rPr>
                <w:b/>
                <w:bCs/>
                <w:color w:val="000000" w:themeColor="text1"/>
                <w:sz w:val="24"/>
                <w:highlight w:val="none"/>
                <w14:textFill>
                  <w14:solidFill>
                    <w14:schemeClr w14:val="tx1"/>
                  </w14:solidFill>
                </w14:textFill>
              </w:rPr>
              <w:t>、主要原辅材料</w:t>
            </w:r>
            <w:r>
              <w:rPr>
                <w:rFonts w:hint="eastAsia"/>
                <w:b/>
                <w:bCs/>
                <w:color w:val="000000" w:themeColor="text1"/>
                <w:sz w:val="24"/>
                <w:highlight w:val="none"/>
                <w:lang w:val="en-US" w:eastAsia="zh-CN"/>
                <w14:textFill>
                  <w14:solidFill>
                    <w14:schemeClr w14:val="tx1"/>
                  </w14:solidFill>
                </w14:textFill>
              </w:rPr>
              <w:t>及能源</w:t>
            </w:r>
          </w:p>
          <w:p w14:paraId="6C040087">
            <w:pPr>
              <w:spacing w:line="360" w:lineRule="auto"/>
              <w:ind w:firstLine="480" w:firstLineChars="200"/>
              <w:jc w:val="left"/>
              <w:rPr>
                <w:rFonts w:hint="eastAsia" w:cs="Times New Roman"/>
                <w:b w:val="0"/>
                <w:bCs w:val="0"/>
                <w:color w:val="auto"/>
                <w:sz w:val="24"/>
                <w:highlight w:val="none"/>
                <w:vertAlign w:val="baseline"/>
                <w:lang w:val="en-US" w:eastAsia="zh-CN"/>
              </w:rPr>
            </w:pPr>
            <w:bookmarkStart w:id="9" w:name="_Ref381859410"/>
            <w:r>
              <w:rPr>
                <w:rFonts w:hint="eastAsia" w:ascii="Times New Roman" w:hAnsi="Times New Roman" w:eastAsia="宋体" w:cs="Times New Roman"/>
                <w:b w:val="0"/>
                <w:bCs w:val="0"/>
                <w:color w:val="auto"/>
                <w:sz w:val="24"/>
                <w:highlight w:val="none"/>
                <w:lang w:val="en-US" w:eastAsia="zh-CN"/>
              </w:rPr>
              <w:t>技改项目主要原辅材料为清洗系统消耗</w:t>
            </w:r>
            <w:r>
              <w:rPr>
                <w:rFonts w:hint="eastAsia" w:cs="Times New Roman"/>
                <w:b w:val="0"/>
                <w:bCs w:val="0"/>
                <w:color w:val="auto"/>
                <w:sz w:val="24"/>
                <w:highlight w:val="none"/>
                <w:lang w:val="en-US" w:eastAsia="zh-CN"/>
              </w:rPr>
              <w:t>的</w:t>
            </w:r>
            <w:r>
              <w:rPr>
                <w:rFonts w:hint="eastAsia" w:ascii="Times New Roman" w:hAnsi="Times New Roman" w:eastAsia="宋体" w:cs="Times New Roman"/>
                <w:b w:val="0"/>
                <w:bCs w:val="0"/>
                <w:color w:val="auto"/>
                <w:sz w:val="24"/>
                <w:highlight w:val="none"/>
                <w:lang w:val="en-US" w:eastAsia="zh-CN"/>
              </w:rPr>
              <w:t>重油清洗剂、防锈剂及纯水机反渗透系统原辅材料消耗</w:t>
            </w:r>
            <w:r>
              <w:rPr>
                <w:rFonts w:hint="eastAsia" w:cs="Times New Roman"/>
                <w:b w:val="0"/>
                <w:bCs w:val="0"/>
                <w:color w:val="auto"/>
                <w:sz w:val="24"/>
                <w:highlight w:val="none"/>
                <w:lang w:val="en-US" w:eastAsia="zh-CN"/>
              </w:rPr>
              <w:t>等</w:t>
            </w:r>
            <w:r>
              <w:rPr>
                <w:rFonts w:hint="eastAsia" w:cs="Times New Roman"/>
                <w:b w:val="0"/>
                <w:bCs w:val="0"/>
                <w:color w:val="auto"/>
                <w:sz w:val="24"/>
                <w:highlight w:val="none"/>
                <w:vertAlign w:val="baseline"/>
                <w:lang w:val="en-US" w:eastAsia="zh-CN"/>
              </w:rPr>
              <w:t>。</w:t>
            </w:r>
          </w:p>
          <w:p w14:paraId="0C7C9F85">
            <w:pPr>
              <w:pStyle w:val="91"/>
              <w:numPr>
                <w:ilvl w:val="0"/>
                <w:numId w:val="0"/>
              </w:numPr>
              <w:spacing w:line="360" w:lineRule="auto"/>
              <w:jc w:val="center"/>
              <w:rPr>
                <w:bCs/>
                <w:color w:val="auto"/>
                <w:highlight w:val="none"/>
              </w:rPr>
            </w:pPr>
            <w:r>
              <w:rPr>
                <w:bCs/>
                <w:color w:val="auto"/>
                <w:highlight w:val="none"/>
              </w:rPr>
              <w:t>表2</w:t>
            </w:r>
            <w:r>
              <w:rPr>
                <w:rFonts w:hint="eastAsia"/>
                <w:bCs/>
                <w:color w:val="auto"/>
                <w:highlight w:val="none"/>
              </w:rPr>
              <w:t>-8</w:t>
            </w:r>
            <w:r>
              <w:rPr>
                <w:bCs/>
                <w:color w:val="auto"/>
                <w:highlight w:val="none"/>
              </w:rPr>
              <w:t xml:space="preserve">    </w:t>
            </w:r>
            <w:r>
              <w:rPr>
                <w:rFonts w:hint="eastAsia"/>
                <w:bCs/>
                <w:color w:val="auto"/>
                <w:highlight w:val="none"/>
              </w:rPr>
              <w:t>技改</w:t>
            </w:r>
            <w:r>
              <w:rPr>
                <w:bCs/>
                <w:color w:val="auto"/>
                <w:highlight w:val="none"/>
              </w:rPr>
              <w:t>项目主要原辅材料及用量表</w:t>
            </w:r>
          </w:p>
          <w:tbl>
            <w:tblPr>
              <w:tblStyle w:val="3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1790"/>
              <w:gridCol w:w="1595"/>
              <w:gridCol w:w="4094"/>
            </w:tblGrid>
            <w:tr w14:paraId="23B18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493" w:type="pct"/>
                  <w:noWrap w:val="0"/>
                  <w:vAlign w:val="center"/>
                </w:tcPr>
                <w:p w14:paraId="0F667137">
                  <w:pPr>
                    <w:widowControl/>
                    <w:jc w:val="center"/>
                    <w:rPr>
                      <w:b/>
                      <w:bCs/>
                      <w:color w:val="auto"/>
                      <w:kern w:val="0"/>
                      <w:szCs w:val="21"/>
                      <w:highlight w:val="none"/>
                    </w:rPr>
                  </w:pPr>
                  <w:r>
                    <w:rPr>
                      <w:b/>
                      <w:bCs/>
                      <w:color w:val="auto"/>
                      <w:kern w:val="0"/>
                      <w:szCs w:val="21"/>
                      <w:highlight w:val="none"/>
                    </w:rPr>
                    <w:t>序号</w:t>
                  </w:r>
                </w:p>
              </w:tc>
              <w:tc>
                <w:tcPr>
                  <w:tcW w:w="1079" w:type="pct"/>
                  <w:noWrap w:val="0"/>
                  <w:vAlign w:val="center"/>
                </w:tcPr>
                <w:p w14:paraId="7DA90C24">
                  <w:pPr>
                    <w:widowControl/>
                    <w:jc w:val="center"/>
                    <w:rPr>
                      <w:b/>
                      <w:bCs/>
                      <w:color w:val="auto"/>
                      <w:kern w:val="0"/>
                      <w:szCs w:val="21"/>
                      <w:highlight w:val="none"/>
                    </w:rPr>
                  </w:pPr>
                  <w:r>
                    <w:rPr>
                      <w:b/>
                      <w:bCs/>
                      <w:color w:val="auto"/>
                      <w:kern w:val="0"/>
                      <w:szCs w:val="21"/>
                      <w:highlight w:val="none"/>
                    </w:rPr>
                    <w:t>原材料名称</w:t>
                  </w:r>
                </w:p>
              </w:tc>
              <w:tc>
                <w:tcPr>
                  <w:tcW w:w="961" w:type="pct"/>
                  <w:noWrap w:val="0"/>
                  <w:vAlign w:val="center"/>
                </w:tcPr>
                <w:p w14:paraId="69F21001">
                  <w:pPr>
                    <w:widowControl/>
                    <w:jc w:val="center"/>
                    <w:rPr>
                      <w:rFonts w:hint="eastAsia"/>
                      <w:b/>
                      <w:bCs/>
                      <w:color w:val="auto"/>
                      <w:kern w:val="0"/>
                      <w:szCs w:val="21"/>
                      <w:highlight w:val="none"/>
                    </w:rPr>
                  </w:pPr>
                  <w:r>
                    <w:rPr>
                      <w:b/>
                      <w:bCs/>
                      <w:color w:val="auto"/>
                      <w:kern w:val="0"/>
                      <w:szCs w:val="21"/>
                      <w:highlight w:val="none"/>
                    </w:rPr>
                    <w:t>年</w:t>
                  </w:r>
                  <w:r>
                    <w:rPr>
                      <w:rFonts w:hint="eastAsia"/>
                      <w:b/>
                      <w:bCs/>
                      <w:color w:val="auto"/>
                      <w:kern w:val="0"/>
                      <w:szCs w:val="21"/>
                      <w:highlight w:val="none"/>
                    </w:rPr>
                    <w:t>用量</w:t>
                  </w:r>
                </w:p>
              </w:tc>
              <w:tc>
                <w:tcPr>
                  <w:tcW w:w="2466" w:type="pct"/>
                  <w:noWrap w:val="0"/>
                  <w:vAlign w:val="center"/>
                </w:tcPr>
                <w:p w14:paraId="5CBBA205">
                  <w:pPr>
                    <w:widowControl/>
                    <w:jc w:val="center"/>
                    <w:rPr>
                      <w:b/>
                      <w:bCs/>
                      <w:color w:val="auto"/>
                      <w:kern w:val="0"/>
                      <w:szCs w:val="21"/>
                      <w:highlight w:val="none"/>
                    </w:rPr>
                  </w:pPr>
                  <w:r>
                    <w:rPr>
                      <w:b/>
                      <w:bCs/>
                      <w:color w:val="auto"/>
                      <w:kern w:val="0"/>
                      <w:szCs w:val="21"/>
                      <w:highlight w:val="none"/>
                    </w:rPr>
                    <w:t>备注</w:t>
                  </w:r>
                </w:p>
              </w:tc>
            </w:tr>
            <w:tr w14:paraId="79019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5000" w:type="pct"/>
                  <w:gridSpan w:val="4"/>
                  <w:noWrap w:val="0"/>
                  <w:vAlign w:val="center"/>
                </w:tcPr>
                <w:p w14:paraId="12E26437">
                  <w:pPr>
                    <w:widowControl/>
                    <w:jc w:val="center"/>
                    <w:rPr>
                      <w:color w:val="auto"/>
                      <w:kern w:val="0"/>
                      <w:szCs w:val="21"/>
                      <w:highlight w:val="none"/>
                    </w:rPr>
                  </w:pPr>
                  <w:r>
                    <w:rPr>
                      <w:rFonts w:hint="eastAsia"/>
                      <w:color w:val="auto"/>
                      <w:kern w:val="0"/>
                      <w:szCs w:val="21"/>
                      <w:highlight w:val="none"/>
                    </w:rPr>
                    <w:t>清洗使用原辅材料</w:t>
                  </w:r>
                </w:p>
              </w:tc>
            </w:tr>
            <w:tr w14:paraId="58576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493" w:type="pct"/>
                  <w:noWrap w:val="0"/>
                  <w:vAlign w:val="center"/>
                </w:tcPr>
                <w:p w14:paraId="6FB4CA5A">
                  <w:pPr>
                    <w:pStyle w:val="81"/>
                    <w:spacing w:line="240" w:lineRule="auto"/>
                    <w:rPr>
                      <w:rFonts w:hint="eastAsia" w:eastAsia="宋体"/>
                      <w:color w:val="auto"/>
                      <w:highlight w:val="none"/>
                      <w:lang w:eastAsia="zh-CN"/>
                    </w:rPr>
                  </w:pPr>
                  <w:r>
                    <w:rPr>
                      <w:rFonts w:hint="eastAsia"/>
                      <w:color w:val="auto"/>
                      <w:highlight w:val="none"/>
                      <w:lang w:val="en-US" w:eastAsia="zh-CN"/>
                    </w:rPr>
                    <w:t>1</w:t>
                  </w:r>
                </w:p>
              </w:tc>
              <w:tc>
                <w:tcPr>
                  <w:tcW w:w="1079" w:type="pct"/>
                  <w:noWrap w:val="0"/>
                  <w:vAlign w:val="center"/>
                </w:tcPr>
                <w:p w14:paraId="1A23FADD">
                  <w:pPr>
                    <w:widowControl/>
                    <w:jc w:val="center"/>
                    <w:rPr>
                      <w:rFonts w:hint="eastAsia"/>
                      <w:bCs/>
                      <w:color w:val="auto"/>
                      <w:kern w:val="0"/>
                      <w:szCs w:val="21"/>
                      <w:highlight w:val="none"/>
                    </w:rPr>
                  </w:pPr>
                  <w:r>
                    <w:rPr>
                      <w:rFonts w:hint="eastAsia"/>
                      <w:bCs/>
                      <w:color w:val="auto"/>
                      <w:szCs w:val="21"/>
                      <w:highlight w:val="none"/>
                    </w:rPr>
                    <w:t>重油垢清洗剂</w:t>
                  </w:r>
                </w:p>
              </w:tc>
              <w:tc>
                <w:tcPr>
                  <w:tcW w:w="961" w:type="pct"/>
                  <w:noWrap w:val="0"/>
                  <w:vAlign w:val="center"/>
                </w:tcPr>
                <w:p w14:paraId="26E3CC53">
                  <w:pPr>
                    <w:widowControl/>
                    <w:jc w:val="center"/>
                    <w:rPr>
                      <w:rFonts w:hint="eastAsia"/>
                      <w:bCs/>
                      <w:color w:val="auto"/>
                      <w:kern w:val="0"/>
                      <w:szCs w:val="21"/>
                      <w:highlight w:val="none"/>
                    </w:rPr>
                  </w:pPr>
                  <w:r>
                    <w:rPr>
                      <w:rFonts w:hint="eastAsia"/>
                      <w:bCs/>
                      <w:color w:val="auto"/>
                      <w:kern w:val="0"/>
                      <w:szCs w:val="21"/>
                      <w:highlight w:val="none"/>
                    </w:rPr>
                    <w:t>1.9t/a</w:t>
                  </w:r>
                </w:p>
              </w:tc>
              <w:tc>
                <w:tcPr>
                  <w:tcW w:w="2466" w:type="pct"/>
                  <w:noWrap w:val="0"/>
                  <w:vAlign w:val="center"/>
                </w:tcPr>
                <w:p w14:paraId="574787A9">
                  <w:pPr>
                    <w:widowControl/>
                    <w:jc w:val="center"/>
                    <w:rPr>
                      <w:rFonts w:hint="eastAsia"/>
                      <w:bCs/>
                      <w:color w:val="auto"/>
                      <w:kern w:val="0"/>
                      <w:szCs w:val="21"/>
                      <w:highlight w:val="none"/>
                    </w:rPr>
                  </w:pPr>
                  <w:r>
                    <w:rPr>
                      <w:rFonts w:hint="eastAsia"/>
                      <w:color w:val="auto"/>
                      <w:kern w:val="0"/>
                      <w:szCs w:val="21"/>
                      <w:highlight w:val="none"/>
                    </w:rPr>
                    <w:t>液态、桶装、25kg/桶，桶内衬密封塑料袋，可承重25kg</w:t>
                  </w:r>
                </w:p>
              </w:tc>
            </w:tr>
            <w:tr w14:paraId="78514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93" w:type="pct"/>
                  <w:noWrap w:val="0"/>
                  <w:vAlign w:val="center"/>
                </w:tcPr>
                <w:p w14:paraId="3D54CB58">
                  <w:pPr>
                    <w:pStyle w:val="81"/>
                    <w:spacing w:line="240" w:lineRule="auto"/>
                    <w:rPr>
                      <w:rFonts w:hint="eastAsia" w:eastAsia="宋体"/>
                      <w:color w:val="auto"/>
                      <w:highlight w:val="none"/>
                      <w:lang w:eastAsia="zh-CN"/>
                    </w:rPr>
                  </w:pPr>
                  <w:r>
                    <w:rPr>
                      <w:rFonts w:hint="eastAsia"/>
                      <w:color w:val="auto"/>
                      <w:highlight w:val="none"/>
                      <w:lang w:val="en-US" w:eastAsia="zh-CN"/>
                    </w:rPr>
                    <w:t>2</w:t>
                  </w:r>
                </w:p>
              </w:tc>
              <w:tc>
                <w:tcPr>
                  <w:tcW w:w="1079" w:type="pct"/>
                  <w:noWrap w:val="0"/>
                  <w:vAlign w:val="center"/>
                </w:tcPr>
                <w:p w14:paraId="31679131">
                  <w:pPr>
                    <w:widowControl/>
                    <w:jc w:val="center"/>
                    <w:rPr>
                      <w:bCs/>
                      <w:color w:val="auto"/>
                      <w:kern w:val="0"/>
                      <w:szCs w:val="21"/>
                      <w:highlight w:val="none"/>
                    </w:rPr>
                  </w:pPr>
                  <w:r>
                    <w:rPr>
                      <w:rFonts w:hint="eastAsia"/>
                      <w:bCs/>
                      <w:color w:val="auto"/>
                      <w:szCs w:val="21"/>
                      <w:highlight w:val="none"/>
                    </w:rPr>
                    <w:t>多功能防锈剂</w:t>
                  </w:r>
                </w:p>
              </w:tc>
              <w:tc>
                <w:tcPr>
                  <w:tcW w:w="961" w:type="pct"/>
                  <w:noWrap w:val="0"/>
                  <w:vAlign w:val="center"/>
                </w:tcPr>
                <w:p w14:paraId="234D26C8">
                  <w:pPr>
                    <w:widowControl/>
                    <w:jc w:val="center"/>
                    <w:rPr>
                      <w:bCs/>
                      <w:color w:val="auto"/>
                      <w:kern w:val="0"/>
                      <w:szCs w:val="21"/>
                      <w:highlight w:val="none"/>
                    </w:rPr>
                  </w:pPr>
                  <w:r>
                    <w:rPr>
                      <w:rFonts w:hint="eastAsia"/>
                      <w:bCs/>
                      <w:color w:val="auto"/>
                      <w:kern w:val="0"/>
                      <w:szCs w:val="21"/>
                      <w:highlight w:val="none"/>
                    </w:rPr>
                    <w:t>1.6t/a</w:t>
                  </w:r>
                </w:p>
              </w:tc>
              <w:tc>
                <w:tcPr>
                  <w:tcW w:w="2466" w:type="pct"/>
                  <w:noWrap w:val="0"/>
                  <w:vAlign w:val="center"/>
                </w:tcPr>
                <w:p w14:paraId="7FFE616D">
                  <w:pPr>
                    <w:widowControl/>
                    <w:jc w:val="center"/>
                    <w:rPr>
                      <w:bCs/>
                      <w:color w:val="auto"/>
                      <w:kern w:val="0"/>
                      <w:szCs w:val="21"/>
                      <w:highlight w:val="none"/>
                    </w:rPr>
                  </w:pPr>
                  <w:r>
                    <w:rPr>
                      <w:rFonts w:hint="eastAsia"/>
                      <w:color w:val="auto"/>
                      <w:kern w:val="0"/>
                      <w:szCs w:val="21"/>
                      <w:highlight w:val="none"/>
                    </w:rPr>
                    <w:t>液态、桶装、25kg/桶，桶内衬密封塑料袋，可承重25kg</w:t>
                  </w:r>
                </w:p>
              </w:tc>
            </w:tr>
            <w:tr w14:paraId="3DC89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493" w:type="pct"/>
                  <w:noWrap w:val="0"/>
                  <w:vAlign w:val="center"/>
                </w:tcPr>
                <w:p w14:paraId="3CF82738">
                  <w:pPr>
                    <w:pStyle w:val="81"/>
                    <w:spacing w:line="240" w:lineRule="auto"/>
                    <w:rPr>
                      <w:rFonts w:hint="eastAsia" w:eastAsia="宋体"/>
                      <w:color w:val="auto"/>
                      <w:highlight w:val="none"/>
                      <w:lang w:eastAsia="zh-CN"/>
                    </w:rPr>
                  </w:pPr>
                  <w:r>
                    <w:rPr>
                      <w:rFonts w:hint="eastAsia"/>
                      <w:color w:val="auto"/>
                      <w:highlight w:val="none"/>
                      <w:lang w:val="en-US" w:eastAsia="zh-CN"/>
                    </w:rPr>
                    <w:t>3</w:t>
                  </w:r>
                </w:p>
              </w:tc>
              <w:tc>
                <w:tcPr>
                  <w:tcW w:w="1079" w:type="pct"/>
                  <w:noWrap w:val="0"/>
                  <w:vAlign w:val="center"/>
                </w:tcPr>
                <w:p w14:paraId="0AE81A77">
                  <w:pPr>
                    <w:widowControl/>
                    <w:jc w:val="center"/>
                    <w:rPr>
                      <w:bCs/>
                      <w:color w:val="auto"/>
                      <w:szCs w:val="21"/>
                      <w:highlight w:val="none"/>
                    </w:rPr>
                  </w:pPr>
                  <w:r>
                    <w:rPr>
                      <w:rFonts w:hint="eastAsia"/>
                      <w:bCs/>
                      <w:color w:val="auto"/>
                      <w:szCs w:val="21"/>
                      <w:highlight w:val="none"/>
                    </w:rPr>
                    <w:t>矿物油絮凝剂</w:t>
                  </w:r>
                </w:p>
              </w:tc>
              <w:tc>
                <w:tcPr>
                  <w:tcW w:w="961" w:type="pct"/>
                  <w:noWrap w:val="0"/>
                  <w:vAlign w:val="center"/>
                </w:tcPr>
                <w:p w14:paraId="0829278C">
                  <w:pPr>
                    <w:widowControl/>
                    <w:jc w:val="center"/>
                    <w:rPr>
                      <w:color w:val="auto"/>
                      <w:kern w:val="0"/>
                      <w:szCs w:val="21"/>
                      <w:highlight w:val="none"/>
                    </w:rPr>
                  </w:pPr>
                  <w:r>
                    <w:rPr>
                      <w:rFonts w:hint="eastAsia"/>
                      <w:color w:val="auto"/>
                      <w:kern w:val="0"/>
                      <w:szCs w:val="21"/>
                      <w:highlight w:val="none"/>
                    </w:rPr>
                    <w:t>0.05t/a</w:t>
                  </w:r>
                </w:p>
              </w:tc>
              <w:tc>
                <w:tcPr>
                  <w:tcW w:w="2466" w:type="pct"/>
                  <w:noWrap w:val="0"/>
                  <w:vAlign w:val="center"/>
                </w:tcPr>
                <w:p w14:paraId="71ED187E">
                  <w:pPr>
                    <w:widowControl/>
                    <w:jc w:val="center"/>
                    <w:rPr>
                      <w:color w:val="auto"/>
                      <w:kern w:val="0"/>
                      <w:szCs w:val="21"/>
                      <w:highlight w:val="none"/>
                    </w:rPr>
                  </w:pPr>
                  <w:r>
                    <w:rPr>
                      <w:rFonts w:hint="eastAsia"/>
                      <w:bCs/>
                      <w:color w:val="auto"/>
                      <w:kern w:val="0"/>
                      <w:szCs w:val="21"/>
                      <w:highlight w:val="none"/>
                    </w:rPr>
                    <w:t>固态，对</w:t>
                  </w:r>
                  <w:r>
                    <w:rPr>
                      <w:rFonts w:hint="eastAsia"/>
                      <w:bCs/>
                      <w:color w:val="auto"/>
                      <w:kern w:val="0"/>
                      <w:szCs w:val="21"/>
                      <w:highlight w:val="none"/>
                      <w:lang w:val="en-US" w:eastAsia="zh-CN"/>
                    </w:rPr>
                    <w:t>絮凝、</w:t>
                  </w:r>
                  <w:r>
                    <w:rPr>
                      <w:rFonts w:hint="eastAsia"/>
                      <w:bCs/>
                      <w:color w:val="auto"/>
                      <w:kern w:val="0"/>
                      <w:szCs w:val="21"/>
                      <w:highlight w:val="none"/>
                    </w:rPr>
                    <w:t>油类具有较好的处理能力</w:t>
                  </w:r>
                </w:p>
              </w:tc>
            </w:tr>
            <w:tr w14:paraId="4F8B8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5000" w:type="pct"/>
                  <w:gridSpan w:val="4"/>
                  <w:noWrap w:val="0"/>
                  <w:vAlign w:val="center"/>
                </w:tcPr>
                <w:p w14:paraId="6C072FAD">
                  <w:pPr>
                    <w:widowControl/>
                    <w:jc w:val="center"/>
                    <w:rPr>
                      <w:bCs/>
                      <w:color w:val="auto"/>
                      <w:szCs w:val="21"/>
                      <w:highlight w:val="none"/>
                    </w:rPr>
                  </w:pPr>
                  <w:r>
                    <w:rPr>
                      <w:rFonts w:hint="eastAsia"/>
                      <w:bCs/>
                      <w:color w:val="auto"/>
                      <w:szCs w:val="21"/>
                      <w:highlight w:val="none"/>
                    </w:rPr>
                    <w:t>能源</w:t>
                  </w:r>
                </w:p>
              </w:tc>
            </w:tr>
            <w:tr w14:paraId="45B90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493" w:type="pct"/>
                  <w:noWrap w:val="0"/>
                  <w:vAlign w:val="center"/>
                </w:tcPr>
                <w:p w14:paraId="66EE3A87">
                  <w:pPr>
                    <w:pStyle w:val="81"/>
                    <w:spacing w:line="240" w:lineRule="auto"/>
                    <w:rPr>
                      <w:rFonts w:hint="eastAsia" w:eastAsia="宋体"/>
                      <w:color w:val="auto"/>
                      <w:highlight w:val="none"/>
                      <w:lang w:eastAsia="zh-CN"/>
                    </w:rPr>
                  </w:pPr>
                  <w:r>
                    <w:rPr>
                      <w:rFonts w:hint="eastAsia"/>
                      <w:color w:val="auto"/>
                      <w:highlight w:val="none"/>
                      <w:lang w:val="en-US" w:eastAsia="zh-CN"/>
                    </w:rPr>
                    <w:t>4</w:t>
                  </w:r>
                </w:p>
              </w:tc>
              <w:tc>
                <w:tcPr>
                  <w:tcW w:w="1079" w:type="pct"/>
                  <w:noWrap w:val="0"/>
                  <w:vAlign w:val="center"/>
                </w:tcPr>
                <w:p w14:paraId="6F531BB8">
                  <w:pPr>
                    <w:widowControl/>
                    <w:jc w:val="center"/>
                    <w:rPr>
                      <w:color w:val="000000" w:themeColor="text1"/>
                      <w:kern w:val="0"/>
                      <w:szCs w:val="21"/>
                      <w:highlight w:val="none"/>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纯水</w:t>
                  </w:r>
                </w:p>
              </w:tc>
              <w:tc>
                <w:tcPr>
                  <w:tcW w:w="961" w:type="pct"/>
                  <w:noWrap w:val="0"/>
                  <w:vAlign w:val="center"/>
                </w:tcPr>
                <w:p w14:paraId="41FE721E">
                  <w:pPr>
                    <w:widowControl/>
                    <w:jc w:val="center"/>
                    <w:textAlignment w:val="center"/>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27.9</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kern w:val="0"/>
                      <w:szCs w:val="21"/>
                      <w:highlight w:val="none"/>
                      <w14:textFill>
                        <w14:solidFill>
                          <w14:schemeClr w14:val="tx1"/>
                        </w14:solidFill>
                      </w14:textFill>
                    </w:rPr>
                    <w:t>/a</w:t>
                  </w:r>
                </w:p>
              </w:tc>
              <w:tc>
                <w:tcPr>
                  <w:tcW w:w="2466" w:type="pct"/>
                  <w:noWrap w:val="0"/>
                  <w:vAlign w:val="center"/>
                </w:tcPr>
                <w:p w14:paraId="26A8088B">
                  <w:pPr>
                    <w:widowControl/>
                    <w:jc w:val="center"/>
                    <w:rPr>
                      <w:rFonts w:hint="default" w:eastAsia="宋体"/>
                      <w:bCs/>
                      <w:color w:val="auto"/>
                      <w:szCs w:val="21"/>
                      <w:highlight w:val="none"/>
                      <w:lang w:val="en-US" w:eastAsia="zh-CN"/>
                    </w:rPr>
                  </w:pPr>
                  <w:r>
                    <w:rPr>
                      <w:rFonts w:hint="eastAsia"/>
                      <w:color w:val="auto"/>
                      <w:szCs w:val="21"/>
                      <w:highlight w:val="none"/>
                      <w:lang w:val="en-US" w:eastAsia="zh-CN"/>
                    </w:rPr>
                    <w:t>外购方式</w:t>
                  </w:r>
                </w:p>
              </w:tc>
            </w:tr>
            <w:tr w14:paraId="59D1F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493" w:type="pct"/>
                  <w:noWrap w:val="0"/>
                  <w:vAlign w:val="center"/>
                </w:tcPr>
                <w:p w14:paraId="12176504">
                  <w:pPr>
                    <w:pStyle w:val="81"/>
                    <w:spacing w:line="240" w:lineRule="auto"/>
                    <w:rPr>
                      <w:rFonts w:hint="default" w:eastAsia="宋体"/>
                      <w:color w:val="auto"/>
                      <w:highlight w:val="none"/>
                      <w:lang w:val="en-US" w:eastAsia="zh-CN"/>
                    </w:rPr>
                  </w:pPr>
                  <w:r>
                    <w:rPr>
                      <w:rFonts w:hint="eastAsia"/>
                      <w:color w:val="auto"/>
                      <w:highlight w:val="none"/>
                      <w:lang w:val="en-US" w:eastAsia="zh-CN"/>
                    </w:rPr>
                    <w:t>5</w:t>
                  </w:r>
                </w:p>
              </w:tc>
              <w:tc>
                <w:tcPr>
                  <w:tcW w:w="1079" w:type="pct"/>
                  <w:noWrap w:val="0"/>
                  <w:vAlign w:val="center"/>
                </w:tcPr>
                <w:p w14:paraId="1BC4ECAB">
                  <w:pPr>
                    <w:widowControl/>
                    <w:jc w:val="center"/>
                    <w:rPr>
                      <w:color w:val="auto"/>
                      <w:kern w:val="0"/>
                      <w:szCs w:val="21"/>
                      <w:highlight w:val="none"/>
                    </w:rPr>
                  </w:pPr>
                  <w:r>
                    <w:rPr>
                      <w:rFonts w:hint="eastAsia"/>
                      <w:color w:val="auto"/>
                      <w:kern w:val="0"/>
                      <w:szCs w:val="21"/>
                      <w:highlight w:val="none"/>
                    </w:rPr>
                    <w:t>电</w:t>
                  </w:r>
                </w:p>
              </w:tc>
              <w:tc>
                <w:tcPr>
                  <w:tcW w:w="961" w:type="pct"/>
                  <w:noWrap w:val="0"/>
                  <w:vAlign w:val="center"/>
                </w:tcPr>
                <w:p w14:paraId="45035064">
                  <w:pPr>
                    <w:widowControl/>
                    <w:jc w:val="center"/>
                    <w:textAlignment w:val="center"/>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45</w:t>
                  </w:r>
                  <w:r>
                    <w:rPr>
                      <w:rFonts w:hint="eastAsia"/>
                      <w:color w:val="000000" w:themeColor="text1"/>
                      <w:kern w:val="0"/>
                      <w:szCs w:val="21"/>
                      <w:highlight w:val="none"/>
                      <w14:textFill>
                        <w14:solidFill>
                          <w14:schemeClr w14:val="tx1"/>
                        </w14:solidFill>
                      </w14:textFill>
                    </w:rPr>
                    <w:t>万kw</w:t>
                  </w:r>
                  <w:r>
                    <w:rPr>
                      <w:rFonts w:hint="eastAsia" w:ascii="宋体" w:hAnsi="宋体" w:cs="宋体"/>
                      <w:color w:val="000000" w:themeColor="text1"/>
                      <w:kern w:val="0"/>
                      <w:szCs w:val="21"/>
                      <w:highlight w:val="none"/>
                      <w14:textFill>
                        <w14:solidFill>
                          <w14:schemeClr w14:val="tx1"/>
                        </w14:solidFill>
                      </w14:textFill>
                    </w:rPr>
                    <w:t>·h/a</w:t>
                  </w:r>
                </w:p>
              </w:tc>
              <w:tc>
                <w:tcPr>
                  <w:tcW w:w="2466" w:type="pct"/>
                  <w:noWrap w:val="0"/>
                  <w:vAlign w:val="center"/>
                </w:tcPr>
                <w:p w14:paraId="51A777D2">
                  <w:pPr>
                    <w:widowControl/>
                    <w:jc w:val="center"/>
                    <w:rPr>
                      <w:rFonts w:hint="eastAsia"/>
                      <w:bCs/>
                      <w:color w:val="auto"/>
                      <w:szCs w:val="21"/>
                      <w:highlight w:val="none"/>
                    </w:rPr>
                  </w:pPr>
                  <w:r>
                    <w:rPr>
                      <w:rFonts w:hint="eastAsia"/>
                      <w:color w:val="auto"/>
                      <w:szCs w:val="21"/>
                      <w:highlight w:val="none"/>
                    </w:rPr>
                    <w:t>仍由</w:t>
                  </w:r>
                  <w:r>
                    <w:rPr>
                      <w:color w:val="auto"/>
                      <w:szCs w:val="21"/>
                      <w:highlight w:val="none"/>
                    </w:rPr>
                    <w:t>由行唐县供电总公司提供</w:t>
                  </w:r>
                </w:p>
              </w:tc>
            </w:tr>
            <w:bookmarkEnd w:id="9"/>
          </w:tbl>
          <w:p w14:paraId="1225B4E5">
            <w:pPr>
              <w:pStyle w:val="91"/>
              <w:numPr>
                <w:ilvl w:val="0"/>
                <w:numId w:val="0"/>
              </w:numPr>
              <w:spacing w:line="360" w:lineRule="auto"/>
              <w:jc w:val="center"/>
              <w:rPr>
                <w:rFonts w:hint="eastAsia"/>
                <w:bCs/>
                <w:color w:val="auto"/>
                <w:highlight w:val="none"/>
              </w:rPr>
            </w:pPr>
          </w:p>
          <w:p w14:paraId="5E97925D">
            <w:pPr>
              <w:pStyle w:val="91"/>
              <w:numPr>
                <w:ilvl w:val="0"/>
                <w:numId w:val="0"/>
              </w:numPr>
              <w:spacing w:line="360" w:lineRule="auto"/>
              <w:jc w:val="center"/>
              <w:rPr>
                <w:rFonts w:hint="eastAsia"/>
                <w:bCs/>
                <w:color w:val="auto"/>
                <w:highlight w:val="none"/>
              </w:rPr>
            </w:pPr>
            <w:r>
              <w:rPr>
                <w:rFonts w:hint="eastAsia"/>
                <w:bCs/>
                <w:color w:val="auto"/>
                <w:highlight w:val="none"/>
              </w:rPr>
              <w:t>表2-</w:t>
            </w:r>
            <w:r>
              <w:rPr>
                <w:rFonts w:hint="eastAsia"/>
                <w:bCs/>
                <w:color w:val="auto"/>
                <w:highlight w:val="none"/>
                <w:lang w:val="en-US" w:eastAsia="zh-CN"/>
              </w:rPr>
              <w:t>9</w:t>
            </w:r>
            <w:r>
              <w:rPr>
                <w:rFonts w:hint="eastAsia"/>
                <w:bCs/>
                <w:color w:val="auto"/>
                <w:highlight w:val="none"/>
              </w:rPr>
              <w:t>技改完成后原辅材料变化情况表</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8"/>
              <w:gridCol w:w="1594"/>
              <w:gridCol w:w="1384"/>
              <w:gridCol w:w="1271"/>
              <w:gridCol w:w="1153"/>
              <w:gridCol w:w="2346"/>
            </w:tblGrid>
            <w:tr w14:paraId="7B516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330" w:type="pct"/>
                  <w:noWrap w:val="0"/>
                  <w:vAlign w:val="center"/>
                </w:tcPr>
                <w:p w14:paraId="5F29FD23">
                  <w:pPr>
                    <w:pStyle w:val="59"/>
                    <w:widowControl w:val="0"/>
                    <w:adjustRightInd/>
                    <w:snapToGrid/>
                    <w:spacing w:before="24" w:after="24" w:line="240" w:lineRule="auto"/>
                    <w:rPr>
                      <w:rFonts w:ascii="Times New Roman"/>
                      <w:b/>
                      <w:bCs/>
                      <w:color w:val="auto"/>
                      <w:spacing w:val="-7"/>
                      <w:kern w:val="2"/>
                      <w:sz w:val="21"/>
                      <w:szCs w:val="21"/>
                      <w:highlight w:val="none"/>
                    </w:rPr>
                  </w:pPr>
                  <w:r>
                    <w:rPr>
                      <w:rFonts w:ascii="Times New Roman"/>
                      <w:b/>
                      <w:bCs/>
                      <w:color w:val="auto"/>
                      <w:spacing w:val="-7"/>
                      <w:kern w:val="2"/>
                      <w:sz w:val="21"/>
                      <w:szCs w:val="21"/>
                      <w:highlight w:val="none"/>
                    </w:rPr>
                    <w:t>序号</w:t>
                  </w:r>
                </w:p>
              </w:tc>
              <w:tc>
                <w:tcPr>
                  <w:tcW w:w="961" w:type="pct"/>
                  <w:noWrap w:val="0"/>
                  <w:vAlign w:val="center"/>
                </w:tcPr>
                <w:p w14:paraId="55CD8C07">
                  <w:pPr>
                    <w:pStyle w:val="59"/>
                    <w:widowControl w:val="0"/>
                    <w:adjustRightInd/>
                    <w:snapToGrid/>
                    <w:spacing w:before="24" w:after="24" w:line="240" w:lineRule="auto"/>
                    <w:rPr>
                      <w:rFonts w:ascii="Times New Roman"/>
                      <w:b/>
                      <w:bCs/>
                      <w:color w:val="auto"/>
                      <w:spacing w:val="-7"/>
                      <w:kern w:val="2"/>
                      <w:sz w:val="21"/>
                      <w:szCs w:val="21"/>
                      <w:highlight w:val="none"/>
                    </w:rPr>
                  </w:pPr>
                  <w:r>
                    <w:rPr>
                      <w:rFonts w:ascii="Times New Roman"/>
                      <w:b/>
                      <w:bCs/>
                      <w:color w:val="auto"/>
                      <w:spacing w:val="-7"/>
                      <w:kern w:val="2"/>
                      <w:sz w:val="21"/>
                      <w:szCs w:val="21"/>
                      <w:highlight w:val="none"/>
                    </w:rPr>
                    <w:t>名称</w:t>
                  </w:r>
                </w:p>
              </w:tc>
              <w:tc>
                <w:tcPr>
                  <w:tcW w:w="834" w:type="pct"/>
                  <w:noWrap w:val="0"/>
                  <w:vAlign w:val="center"/>
                </w:tcPr>
                <w:p w14:paraId="4E66C0D4">
                  <w:pPr>
                    <w:jc w:val="center"/>
                    <w:rPr>
                      <w:b/>
                      <w:bCs/>
                      <w:color w:val="auto"/>
                      <w:spacing w:val="-7"/>
                      <w:szCs w:val="21"/>
                      <w:highlight w:val="none"/>
                    </w:rPr>
                  </w:pPr>
                  <w:r>
                    <w:rPr>
                      <w:b/>
                      <w:bCs/>
                      <w:color w:val="auto"/>
                      <w:spacing w:val="-7"/>
                      <w:szCs w:val="21"/>
                      <w:highlight w:val="none"/>
                    </w:rPr>
                    <w:t>实际年用量</w:t>
                  </w:r>
                  <w:r>
                    <w:rPr>
                      <w:color w:val="auto"/>
                      <w:szCs w:val="21"/>
                      <w:highlight w:val="none"/>
                    </w:rPr>
                    <w:t>t/a</w:t>
                  </w:r>
                </w:p>
              </w:tc>
              <w:tc>
                <w:tcPr>
                  <w:tcW w:w="1459" w:type="pct"/>
                  <w:gridSpan w:val="2"/>
                  <w:noWrap w:val="0"/>
                  <w:vAlign w:val="center"/>
                </w:tcPr>
                <w:p w14:paraId="2866109F">
                  <w:pPr>
                    <w:pStyle w:val="59"/>
                    <w:widowControl w:val="0"/>
                    <w:adjustRightInd/>
                    <w:snapToGrid/>
                    <w:spacing w:before="24" w:after="24" w:line="240" w:lineRule="auto"/>
                    <w:rPr>
                      <w:rFonts w:hint="default" w:ascii="Times New Roman" w:eastAsia="宋体"/>
                      <w:b/>
                      <w:bCs/>
                      <w:color w:val="auto"/>
                      <w:spacing w:val="-7"/>
                      <w:kern w:val="2"/>
                      <w:sz w:val="21"/>
                      <w:szCs w:val="21"/>
                      <w:highlight w:val="none"/>
                      <w:lang w:val="en-US" w:eastAsia="zh-CN"/>
                    </w:rPr>
                  </w:pPr>
                  <w:r>
                    <w:rPr>
                      <w:rFonts w:hint="eastAsia" w:ascii="Times New Roman"/>
                      <w:b/>
                      <w:bCs/>
                      <w:color w:val="auto"/>
                      <w:spacing w:val="-7"/>
                      <w:kern w:val="2"/>
                      <w:sz w:val="21"/>
                      <w:szCs w:val="21"/>
                      <w:highlight w:val="none"/>
                      <w:lang w:val="en-US" w:eastAsia="zh-CN"/>
                    </w:rPr>
                    <w:t>变化情况</w:t>
                  </w:r>
                </w:p>
              </w:tc>
              <w:tc>
                <w:tcPr>
                  <w:tcW w:w="1413" w:type="pct"/>
                  <w:noWrap w:val="0"/>
                  <w:vAlign w:val="center"/>
                </w:tcPr>
                <w:p w14:paraId="18DD352F">
                  <w:pPr>
                    <w:pStyle w:val="59"/>
                    <w:widowControl w:val="0"/>
                    <w:adjustRightInd/>
                    <w:snapToGrid/>
                    <w:spacing w:before="24" w:after="24" w:line="240" w:lineRule="auto"/>
                    <w:rPr>
                      <w:rFonts w:hint="eastAsia" w:ascii="Times New Roman" w:eastAsia="宋体"/>
                      <w:b/>
                      <w:bCs/>
                      <w:color w:val="auto"/>
                      <w:sz w:val="21"/>
                      <w:szCs w:val="21"/>
                      <w:highlight w:val="none"/>
                      <w:lang w:val="en-US" w:eastAsia="zh-CN"/>
                    </w:rPr>
                  </w:pPr>
                  <w:r>
                    <w:rPr>
                      <w:rFonts w:hint="eastAsia" w:ascii="Times New Roman"/>
                      <w:b/>
                      <w:bCs/>
                      <w:color w:val="auto"/>
                      <w:sz w:val="21"/>
                      <w:szCs w:val="21"/>
                      <w:highlight w:val="none"/>
                      <w:lang w:val="en-US" w:eastAsia="zh-CN"/>
                    </w:rPr>
                    <w:t>备注</w:t>
                  </w:r>
                </w:p>
              </w:tc>
            </w:tr>
            <w:tr w14:paraId="4088E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jc w:val="center"/>
              </w:trPr>
              <w:tc>
                <w:tcPr>
                  <w:tcW w:w="5000" w:type="pct"/>
                  <w:gridSpan w:val="6"/>
                  <w:noWrap w:val="0"/>
                  <w:vAlign w:val="center"/>
                </w:tcPr>
                <w:p w14:paraId="6B4835F2">
                  <w:pPr>
                    <w:pStyle w:val="59"/>
                    <w:widowControl w:val="0"/>
                    <w:adjustRightInd/>
                    <w:snapToGrid/>
                    <w:spacing w:before="24" w:after="24" w:line="240" w:lineRule="auto"/>
                    <w:rPr>
                      <w:rFonts w:ascii="Times New Roman"/>
                      <w:b/>
                      <w:bCs/>
                      <w:color w:val="auto"/>
                      <w:sz w:val="21"/>
                      <w:szCs w:val="21"/>
                      <w:highlight w:val="none"/>
                    </w:rPr>
                  </w:pPr>
                  <w:r>
                    <w:rPr>
                      <w:rFonts w:ascii="Times New Roman"/>
                      <w:b/>
                      <w:bCs/>
                      <w:color w:val="auto"/>
                      <w:sz w:val="21"/>
                      <w:szCs w:val="21"/>
                      <w:highlight w:val="none"/>
                    </w:rPr>
                    <w:t>原材料消耗</w:t>
                  </w:r>
                </w:p>
              </w:tc>
            </w:tr>
            <w:tr w14:paraId="4DCD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30" w:type="pct"/>
                  <w:noWrap w:val="0"/>
                  <w:vAlign w:val="center"/>
                </w:tcPr>
                <w:p w14:paraId="129BA86A">
                  <w:pPr>
                    <w:pStyle w:val="103"/>
                    <w:ind w:left="21" w:leftChars="10" w:right="21" w:rightChars="10"/>
                    <w:rPr>
                      <w:color w:val="auto"/>
                      <w:szCs w:val="21"/>
                      <w:highlight w:val="none"/>
                      <w:lang w:val="en-US"/>
                    </w:rPr>
                  </w:pPr>
                </w:p>
              </w:tc>
              <w:tc>
                <w:tcPr>
                  <w:tcW w:w="961" w:type="pct"/>
                  <w:noWrap w:val="0"/>
                  <w:vAlign w:val="center"/>
                </w:tcPr>
                <w:p w14:paraId="0E2D8E7E">
                  <w:pPr>
                    <w:pStyle w:val="103"/>
                    <w:ind w:left="21" w:leftChars="10" w:right="21" w:rightChars="10"/>
                    <w:rPr>
                      <w:rFonts w:hint="eastAsia"/>
                      <w:color w:val="auto"/>
                      <w:szCs w:val="21"/>
                      <w:highlight w:val="none"/>
                      <w:lang w:val="en-US"/>
                    </w:rPr>
                  </w:pPr>
                  <w:r>
                    <w:rPr>
                      <w:rFonts w:hint="eastAsia"/>
                      <w:color w:val="auto"/>
                      <w:szCs w:val="21"/>
                      <w:highlight w:val="none"/>
                      <w:lang w:val="en-US"/>
                    </w:rPr>
                    <w:t>名称</w:t>
                  </w:r>
                </w:p>
              </w:tc>
              <w:tc>
                <w:tcPr>
                  <w:tcW w:w="834" w:type="pct"/>
                  <w:noWrap w:val="0"/>
                  <w:vAlign w:val="center"/>
                </w:tcPr>
                <w:p w14:paraId="08023578">
                  <w:pPr>
                    <w:pStyle w:val="103"/>
                    <w:ind w:left="21" w:leftChars="10" w:right="21" w:rightChars="10"/>
                    <w:rPr>
                      <w:b/>
                      <w:bCs/>
                      <w:color w:val="auto"/>
                      <w:szCs w:val="21"/>
                      <w:highlight w:val="none"/>
                      <w:lang w:val="en-US"/>
                    </w:rPr>
                  </w:pPr>
                  <w:r>
                    <w:rPr>
                      <w:rFonts w:hint="eastAsia"/>
                      <w:b/>
                      <w:bCs/>
                      <w:color w:val="auto"/>
                      <w:szCs w:val="21"/>
                      <w:highlight w:val="none"/>
                      <w:lang w:val="en-US"/>
                    </w:rPr>
                    <w:t>技改前</w:t>
                  </w:r>
                </w:p>
              </w:tc>
              <w:tc>
                <w:tcPr>
                  <w:tcW w:w="766" w:type="pct"/>
                  <w:noWrap w:val="0"/>
                  <w:vAlign w:val="center"/>
                </w:tcPr>
                <w:p w14:paraId="71F918E1">
                  <w:pPr>
                    <w:pStyle w:val="103"/>
                    <w:ind w:left="21" w:leftChars="10" w:right="21" w:rightChars="10"/>
                    <w:rPr>
                      <w:rFonts w:hint="eastAsia"/>
                      <w:b/>
                      <w:bCs/>
                      <w:color w:val="auto"/>
                      <w:szCs w:val="21"/>
                      <w:highlight w:val="none"/>
                      <w:lang w:val="en-US"/>
                    </w:rPr>
                  </w:pPr>
                  <w:r>
                    <w:rPr>
                      <w:rFonts w:hint="eastAsia"/>
                      <w:b/>
                      <w:bCs/>
                      <w:color w:val="auto"/>
                      <w:szCs w:val="21"/>
                      <w:highlight w:val="none"/>
                      <w:lang w:val="en-US"/>
                    </w:rPr>
                    <w:t>技改后</w:t>
                  </w:r>
                </w:p>
              </w:tc>
              <w:tc>
                <w:tcPr>
                  <w:tcW w:w="692" w:type="pct"/>
                  <w:noWrap w:val="0"/>
                  <w:vAlign w:val="center"/>
                </w:tcPr>
                <w:p w14:paraId="25AF686E">
                  <w:pPr>
                    <w:pStyle w:val="103"/>
                    <w:ind w:right="21" w:rightChars="10"/>
                    <w:jc w:val="both"/>
                    <w:rPr>
                      <w:rFonts w:hint="default" w:eastAsia="宋体"/>
                      <w:color w:val="auto"/>
                      <w:szCs w:val="21"/>
                      <w:highlight w:val="none"/>
                      <w:lang w:val="en-US" w:eastAsia="zh-CN"/>
                    </w:rPr>
                  </w:pPr>
                  <w:r>
                    <w:rPr>
                      <w:rFonts w:hint="eastAsia"/>
                      <w:color w:val="auto"/>
                      <w:szCs w:val="21"/>
                      <w:highlight w:val="none"/>
                      <w:lang w:val="en-US" w:eastAsia="zh-CN"/>
                    </w:rPr>
                    <w:t>变化情况</w:t>
                  </w:r>
                </w:p>
              </w:tc>
              <w:tc>
                <w:tcPr>
                  <w:tcW w:w="1413" w:type="pct"/>
                  <w:noWrap w:val="0"/>
                  <w:vAlign w:val="center"/>
                </w:tcPr>
                <w:p w14:paraId="3D5F4F57">
                  <w:pPr>
                    <w:pStyle w:val="103"/>
                    <w:ind w:left="21" w:leftChars="10" w:right="21" w:rightChars="10"/>
                    <w:rPr>
                      <w:rFonts w:hint="default" w:eastAsia="宋体"/>
                      <w:b/>
                      <w:bCs/>
                      <w:color w:val="auto"/>
                      <w:szCs w:val="21"/>
                      <w:highlight w:val="none"/>
                      <w:lang w:val="en-US" w:eastAsia="zh-CN"/>
                    </w:rPr>
                  </w:pPr>
                  <w:r>
                    <w:rPr>
                      <w:rFonts w:hint="eastAsia"/>
                      <w:b/>
                      <w:bCs/>
                      <w:color w:val="auto"/>
                      <w:szCs w:val="21"/>
                      <w:highlight w:val="none"/>
                      <w:lang w:val="en-US" w:eastAsia="zh-CN"/>
                    </w:rPr>
                    <w:t>--</w:t>
                  </w:r>
                </w:p>
              </w:tc>
            </w:tr>
            <w:tr w14:paraId="2CA10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30" w:type="pct"/>
                  <w:noWrap w:val="0"/>
                  <w:vAlign w:val="center"/>
                </w:tcPr>
                <w:p w14:paraId="206475EA">
                  <w:pPr>
                    <w:pStyle w:val="103"/>
                    <w:ind w:left="21" w:leftChars="10" w:right="21" w:rightChars="10"/>
                    <w:rPr>
                      <w:color w:val="auto"/>
                      <w:szCs w:val="21"/>
                      <w:highlight w:val="none"/>
                      <w:lang w:val="en-US"/>
                    </w:rPr>
                  </w:pPr>
                  <w:r>
                    <w:rPr>
                      <w:color w:val="auto"/>
                      <w:szCs w:val="21"/>
                      <w:highlight w:val="none"/>
                    </w:rPr>
                    <w:t>1</w:t>
                  </w:r>
                </w:p>
              </w:tc>
              <w:tc>
                <w:tcPr>
                  <w:tcW w:w="961" w:type="pct"/>
                  <w:noWrap w:val="0"/>
                  <w:vAlign w:val="center"/>
                </w:tcPr>
                <w:p w14:paraId="4FF61342">
                  <w:pPr>
                    <w:pStyle w:val="103"/>
                    <w:bidi w:val="0"/>
                    <w:spacing w:line="240" w:lineRule="auto"/>
                    <w:ind w:left="21" w:leftChars="10" w:right="21" w:rightChars="10"/>
                    <w:rPr>
                      <w:color w:val="FF0000"/>
                      <w:szCs w:val="21"/>
                      <w:highlight w:val="none"/>
                      <w:lang w:val="en-US"/>
                    </w:rPr>
                  </w:pPr>
                  <w:r>
                    <w:rPr>
                      <w:rFonts w:hint="default" w:ascii="Times New Roman" w:hAnsi="Times New Roman" w:eastAsia="宋体" w:cs="Times New Roman"/>
                      <w:color w:val="auto"/>
                      <w:sz w:val="21"/>
                      <w:szCs w:val="21"/>
                      <w:highlight w:val="none"/>
                      <w:lang w:val="en-US" w:eastAsia="zh-CN"/>
                    </w:rPr>
                    <w:t>生铁</w:t>
                  </w:r>
                </w:p>
              </w:tc>
              <w:tc>
                <w:tcPr>
                  <w:tcW w:w="834" w:type="pct"/>
                  <w:noWrap w:val="0"/>
                  <w:vAlign w:val="center"/>
                </w:tcPr>
                <w:p w14:paraId="3D7E7A37">
                  <w:pPr>
                    <w:pStyle w:val="103"/>
                    <w:bidi w:val="0"/>
                    <w:spacing w:line="240" w:lineRule="auto"/>
                    <w:ind w:left="21" w:leftChars="10" w:right="21" w:rightChars="10"/>
                    <w:rPr>
                      <w:rFonts w:hint="default" w:eastAsia="宋体"/>
                      <w:color w:val="FF0000"/>
                      <w:szCs w:val="21"/>
                      <w:highlight w:val="none"/>
                      <w:lang w:val="en-US" w:eastAsia="zh-CN"/>
                    </w:rPr>
                  </w:pPr>
                  <w:r>
                    <w:rPr>
                      <w:rFonts w:hint="default" w:ascii="Times New Roman" w:hAnsi="Times New Roman" w:eastAsia="宋体" w:cs="Times New Roman"/>
                      <w:color w:val="auto"/>
                      <w:sz w:val="21"/>
                      <w:szCs w:val="21"/>
                      <w:highlight w:val="none"/>
                      <w:lang w:val="en-US" w:eastAsia="zh-CN"/>
                    </w:rPr>
                    <w:t>2500</w:t>
                  </w:r>
                  <w:r>
                    <w:rPr>
                      <w:rFonts w:hint="default" w:ascii="Times New Roman" w:hAnsi="Times New Roman" w:eastAsia="宋体" w:cs="Times New Roman"/>
                      <w:color w:val="auto"/>
                      <w:sz w:val="21"/>
                      <w:szCs w:val="21"/>
                      <w:highlight w:val="none"/>
                    </w:rPr>
                    <w:t>t/a</w:t>
                  </w:r>
                </w:p>
              </w:tc>
              <w:tc>
                <w:tcPr>
                  <w:tcW w:w="766" w:type="pct"/>
                  <w:noWrap w:val="0"/>
                  <w:vAlign w:val="center"/>
                </w:tcPr>
                <w:p w14:paraId="24DAC01E">
                  <w:pPr>
                    <w:pStyle w:val="103"/>
                    <w:bidi w:val="0"/>
                    <w:spacing w:line="240" w:lineRule="auto"/>
                    <w:ind w:left="21" w:leftChars="10" w:right="21" w:rightChars="10"/>
                    <w:rPr>
                      <w:rFonts w:hint="default" w:eastAsia="宋体"/>
                      <w:color w:val="FF0000"/>
                      <w:szCs w:val="21"/>
                      <w:highlight w:val="none"/>
                      <w:lang w:val="en-US" w:eastAsia="zh-CN"/>
                    </w:rPr>
                  </w:pPr>
                  <w:r>
                    <w:rPr>
                      <w:rFonts w:hint="default" w:ascii="Times New Roman" w:hAnsi="Times New Roman" w:eastAsia="宋体" w:cs="Times New Roman"/>
                      <w:color w:val="auto"/>
                      <w:sz w:val="21"/>
                      <w:szCs w:val="21"/>
                      <w:highlight w:val="none"/>
                      <w:lang w:val="en-US" w:eastAsia="zh-CN"/>
                    </w:rPr>
                    <w:t>2500</w:t>
                  </w:r>
                  <w:r>
                    <w:rPr>
                      <w:rFonts w:hint="default" w:ascii="Times New Roman" w:hAnsi="Times New Roman" w:eastAsia="宋体" w:cs="Times New Roman"/>
                      <w:color w:val="auto"/>
                      <w:sz w:val="21"/>
                      <w:szCs w:val="21"/>
                      <w:highlight w:val="none"/>
                    </w:rPr>
                    <w:t>t/a</w:t>
                  </w:r>
                </w:p>
              </w:tc>
              <w:tc>
                <w:tcPr>
                  <w:tcW w:w="692" w:type="pct"/>
                  <w:noWrap w:val="0"/>
                  <w:vAlign w:val="center"/>
                </w:tcPr>
                <w:p w14:paraId="48A85EF2">
                  <w:pPr>
                    <w:pStyle w:val="103"/>
                    <w:ind w:left="21" w:leftChars="10" w:right="21" w:rightChars="10" w:firstLine="210" w:firstLineChars="100"/>
                    <w:jc w:val="both"/>
                    <w:rPr>
                      <w:rFonts w:hint="default" w:eastAsia="宋体"/>
                      <w:color w:val="FF0000"/>
                      <w:szCs w:val="21"/>
                      <w:highlight w:val="none"/>
                      <w:lang w:val="en-US" w:eastAsia="zh-CN"/>
                    </w:rPr>
                  </w:pPr>
                  <w:r>
                    <w:rPr>
                      <w:rFonts w:hint="eastAsia"/>
                      <w:color w:val="000000" w:themeColor="text1"/>
                      <w:szCs w:val="21"/>
                      <w:highlight w:val="none"/>
                      <w:lang w:val="en-US" w:eastAsia="zh-CN"/>
                      <w14:textFill>
                        <w14:solidFill>
                          <w14:schemeClr w14:val="tx1"/>
                        </w14:solidFill>
                      </w14:textFill>
                    </w:rPr>
                    <w:t>不变</w:t>
                  </w:r>
                </w:p>
              </w:tc>
              <w:tc>
                <w:tcPr>
                  <w:tcW w:w="1413" w:type="pct"/>
                  <w:noWrap w:val="0"/>
                  <w:vAlign w:val="center"/>
                </w:tcPr>
                <w:p w14:paraId="44D0047E">
                  <w:pPr>
                    <w:pStyle w:val="103"/>
                    <w:ind w:left="21" w:leftChars="10" w:right="21" w:rightChars="10"/>
                    <w:rPr>
                      <w:rFonts w:hint="eastAsia"/>
                      <w:color w:val="auto"/>
                      <w:szCs w:val="21"/>
                      <w:highlight w:val="none"/>
                      <w:lang w:val="en-US"/>
                    </w:rPr>
                  </w:pPr>
                </w:p>
              </w:tc>
            </w:tr>
            <w:tr w14:paraId="75B8B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330" w:type="pct"/>
                  <w:noWrap w:val="0"/>
                  <w:vAlign w:val="center"/>
                </w:tcPr>
                <w:p w14:paraId="49D52147">
                  <w:pPr>
                    <w:pStyle w:val="103"/>
                    <w:ind w:left="21" w:leftChars="10" w:right="21" w:rightChars="10"/>
                    <w:rPr>
                      <w:color w:val="auto"/>
                      <w:szCs w:val="21"/>
                      <w:highlight w:val="none"/>
                      <w:lang w:val="en-US"/>
                    </w:rPr>
                  </w:pPr>
                  <w:r>
                    <w:rPr>
                      <w:color w:val="auto"/>
                      <w:szCs w:val="21"/>
                      <w:highlight w:val="none"/>
                      <w:lang w:val="en-US"/>
                    </w:rPr>
                    <w:t>2</w:t>
                  </w:r>
                </w:p>
              </w:tc>
              <w:tc>
                <w:tcPr>
                  <w:tcW w:w="961" w:type="pct"/>
                  <w:noWrap w:val="0"/>
                  <w:vAlign w:val="center"/>
                </w:tcPr>
                <w:p w14:paraId="1A1CB25C">
                  <w:pPr>
                    <w:pStyle w:val="103"/>
                    <w:bidi w:val="0"/>
                    <w:spacing w:line="240" w:lineRule="auto"/>
                    <w:ind w:left="21" w:leftChars="10" w:right="21" w:rightChars="10"/>
                    <w:rPr>
                      <w:color w:val="auto"/>
                      <w:szCs w:val="21"/>
                      <w:highlight w:val="none"/>
                    </w:rPr>
                  </w:pPr>
                  <w:r>
                    <w:rPr>
                      <w:rFonts w:hint="eastAsia" w:cs="Times New Roman"/>
                      <w:color w:val="auto"/>
                      <w:sz w:val="21"/>
                      <w:szCs w:val="21"/>
                      <w:highlight w:val="none"/>
                      <w:lang w:val="en-US" w:eastAsia="zh-CN"/>
                    </w:rPr>
                    <w:t>废钢</w:t>
                  </w:r>
                </w:p>
              </w:tc>
              <w:tc>
                <w:tcPr>
                  <w:tcW w:w="834" w:type="pct"/>
                  <w:noWrap w:val="0"/>
                  <w:vAlign w:val="center"/>
                </w:tcPr>
                <w:p w14:paraId="7F798D2F">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1400</w:t>
                  </w:r>
                  <w:r>
                    <w:rPr>
                      <w:rFonts w:hint="default" w:ascii="Times New Roman" w:hAnsi="Times New Roman" w:eastAsia="宋体" w:cs="Times New Roman"/>
                      <w:color w:val="auto"/>
                      <w:sz w:val="21"/>
                      <w:szCs w:val="21"/>
                      <w:highlight w:val="none"/>
                    </w:rPr>
                    <w:t>t/a</w:t>
                  </w:r>
                </w:p>
              </w:tc>
              <w:tc>
                <w:tcPr>
                  <w:tcW w:w="766" w:type="pct"/>
                  <w:noWrap w:val="0"/>
                  <w:vAlign w:val="center"/>
                </w:tcPr>
                <w:p w14:paraId="432EAA30">
                  <w:pPr>
                    <w:pStyle w:val="103"/>
                    <w:bidi w:val="0"/>
                    <w:spacing w:line="240" w:lineRule="auto"/>
                    <w:ind w:left="21" w:leftChars="10" w:right="21" w:rightChars="10"/>
                    <w:rPr>
                      <w:rFonts w:hint="eastAsia"/>
                      <w:color w:val="auto"/>
                      <w:highlight w:val="none"/>
                      <w:lang w:val="en-US"/>
                    </w:rPr>
                  </w:pPr>
                  <w:r>
                    <w:rPr>
                      <w:rFonts w:hint="default" w:ascii="Times New Roman" w:hAnsi="Times New Roman" w:eastAsia="宋体" w:cs="Times New Roman"/>
                      <w:color w:val="auto"/>
                      <w:sz w:val="21"/>
                      <w:szCs w:val="21"/>
                      <w:highlight w:val="none"/>
                      <w:lang w:val="en-US" w:eastAsia="zh-CN"/>
                    </w:rPr>
                    <w:t>1400</w:t>
                  </w:r>
                  <w:r>
                    <w:rPr>
                      <w:rFonts w:hint="default" w:ascii="Times New Roman" w:hAnsi="Times New Roman" w:eastAsia="宋体" w:cs="Times New Roman"/>
                      <w:color w:val="auto"/>
                      <w:sz w:val="21"/>
                      <w:szCs w:val="21"/>
                      <w:highlight w:val="none"/>
                    </w:rPr>
                    <w:t>t/a</w:t>
                  </w:r>
                </w:p>
              </w:tc>
              <w:tc>
                <w:tcPr>
                  <w:tcW w:w="692" w:type="pct"/>
                  <w:noWrap w:val="0"/>
                  <w:vAlign w:val="center"/>
                </w:tcPr>
                <w:p w14:paraId="1B1C30D4">
                  <w:pPr>
                    <w:pStyle w:val="103"/>
                    <w:ind w:left="21" w:leftChars="10" w:right="21" w:rightChars="10"/>
                    <w:rPr>
                      <w:rFonts w:hint="eastAsia" w:eastAsia="宋体"/>
                      <w:color w:val="auto"/>
                      <w:szCs w:val="21"/>
                      <w:highlight w:val="none"/>
                      <w:lang w:val="en-US" w:eastAsia="zh-CN"/>
                    </w:rPr>
                  </w:pPr>
                  <w:r>
                    <w:rPr>
                      <w:rFonts w:hint="eastAsia"/>
                      <w:color w:val="auto"/>
                      <w:szCs w:val="21"/>
                      <w:highlight w:val="none"/>
                      <w:lang w:val="en-US"/>
                    </w:rPr>
                    <w:t>不变</w:t>
                  </w:r>
                </w:p>
              </w:tc>
              <w:tc>
                <w:tcPr>
                  <w:tcW w:w="1413" w:type="pct"/>
                  <w:noWrap w:val="0"/>
                  <w:vAlign w:val="center"/>
                </w:tcPr>
                <w:p w14:paraId="7437BE73">
                  <w:pPr>
                    <w:pStyle w:val="103"/>
                    <w:ind w:left="21" w:leftChars="10" w:right="21" w:rightChars="10"/>
                    <w:rPr>
                      <w:rFonts w:hint="eastAsia"/>
                      <w:color w:val="auto"/>
                      <w:highlight w:val="none"/>
                      <w:lang w:val="en-US"/>
                    </w:rPr>
                  </w:pPr>
                </w:p>
              </w:tc>
            </w:tr>
            <w:tr w14:paraId="0ED6A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30" w:type="pct"/>
                  <w:noWrap w:val="0"/>
                  <w:vAlign w:val="center"/>
                </w:tcPr>
                <w:p w14:paraId="1B2060D0">
                  <w:pPr>
                    <w:pStyle w:val="103"/>
                    <w:ind w:left="21" w:leftChars="10" w:right="21" w:rightChars="10"/>
                    <w:rPr>
                      <w:color w:val="auto"/>
                      <w:szCs w:val="21"/>
                      <w:highlight w:val="none"/>
                      <w:lang w:val="en-US"/>
                    </w:rPr>
                  </w:pPr>
                  <w:r>
                    <w:rPr>
                      <w:color w:val="auto"/>
                      <w:szCs w:val="21"/>
                      <w:highlight w:val="none"/>
                      <w:lang w:val="en-US"/>
                    </w:rPr>
                    <w:t>3</w:t>
                  </w:r>
                </w:p>
              </w:tc>
              <w:tc>
                <w:tcPr>
                  <w:tcW w:w="961" w:type="pct"/>
                  <w:noWrap w:val="0"/>
                  <w:vAlign w:val="center"/>
                </w:tcPr>
                <w:p w14:paraId="35C33755">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铁豆</w:t>
                  </w:r>
                </w:p>
              </w:tc>
              <w:tc>
                <w:tcPr>
                  <w:tcW w:w="834" w:type="pct"/>
                  <w:noWrap w:val="0"/>
                  <w:vAlign w:val="center"/>
                </w:tcPr>
                <w:p w14:paraId="34DD7963">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2000</w:t>
                  </w:r>
                  <w:r>
                    <w:rPr>
                      <w:rFonts w:hint="default" w:ascii="Times New Roman" w:hAnsi="Times New Roman" w:eastAsia="宋体" w:cs="Times New Roman"/>
                      <w:color w:val="auto"/>
                      <w:sz w:val="21"/>
                      <w:szCs w:val="21"/>
                      <w:highlight w:val="none"/>
                    </w:rPr>
                    <w:t>t/a</w:t>
                  </w:r>
                </w:p>
              </w:tc>
              <w:tc>
                <w:tcPr>
                  <w:tcW w:w="766" w:type="pct"/>
                  <w:noWrap w:val="0"/>
                  <w:vAlign w:val="center"/>
                </w:tcPr>
                <w:p w14:paraId="34097318">
                  <w:pPr>
                    <w:pStyle w:val="103"/>
                    <w:bidi w:val="0"/>
                    <w:spacing w:line="240" w:lineRule="auto"/>
                    <w:ind w:left="21" w:leftChars="10" w:right="21" w:rightChars="10"/>
                    <w:rPr>
                      <w:rFonts w:hint="eastAsia"/>
                      <w:color w:val="auto"/>
                      <w:szCs w:val="21"/>
                      <w:highlight w:val="none"/>
                      <w:lang w:val="en-US"/>
                    </w:rPr>
                  </w:pPr>
                  <w:r>
                    <w:rPr>
                      <w:rFonts w:hint="default" w:ascii="Times New Roman" w:hAnsi="Times New Roman" w:eastAsia="宋体" w:cs="Times New Roman"/>
                      <w:color w:val="auto"/>
                      <w:sz w:val="21"/>
                      <w:szCs w:val="21"/>
                      <w:highlight w:val="none"/>
                      <w:lang w:val="en-US" w:eastAsia="zh-CN"/>
                    </w:rPr>
                    <w:t>2000</w:t>
                  </w:r>
                  <w:r>
                    <w:rPr>
                      <w:rFonts w:hint="default" w:ascii="Times New Roman" w:hAnsi="Times New Roman" w:eastAsia="宋体" w:cs="Times New Roman"/>
                      <w:color w:val="auto"/>
                      <w:sz w:val="21"/>
                      <w:szCs w:val="21"/>
                      <w:highlight w:val="none"/>
                    </w:rPr>
                    <w:t>t/a</w:t>
                  </w:r>
                </w:p>
              </w:tc>
              <w:tc>
                <w:tcPr>
                  <w:tcW w:w="692" w:type="pct"/>
                  <w:noWrap w:val="0"/>
                  <w:vAlign w:val="center"/>
                </w:tcPr>
                <w:p w14:paraId="276D58B8">
                  <w:pPr>
                    <w:pStyle w:val="103"/>
                    <w:ind w:left="21" w:leftChars="10" w:right="21" w:rightChars="10"/>
                    <w:rPr>
                      <w:rFonts w:hint="eastAsia"/>
                      <w:color w:val="auto"/>
                      <w:szCs w:val="21"/>
                      <w:highlight w:val="none"/>
                      <w:lang w:val="en-US"/>
                    </w:rPr>
                  </w:pPr>
                  <w:r>
                    <w:rPr>
                      <w:rFonts w:hint="eastAsia"/>
                      <w:color w:val="auto"/>
                      <w:szCs w:val="21"/>
                      <w:highlight w:val="none"/>
                      <w:lang w:val="en-US"/>
                    </w:rPr>
                    <w:t>不变</w:t>
                  </w:r>
                </w:p>
              </w:tc>
              <w:tc>
                <w:tcPr>
                  <w:tcW w:w="1413" w:type="pct"/>
                  <w:noWrap w:val="0"/>
                  <w:vAlign w:val="center"/>
                </w:tcPr>
                <w:p w14:paraId="4EA1DC3F">
                  <w:pPr>
                    <w:ind w:left="21" w:leftChars="10" w:right="21" w:rightChars="10"/>
                    <w:rPr>
                      <w:rFonts w:hint="eastAsia"/>
                      <w:color w:val="auto"/>
                      <w:szCs w:val="21"/>
                      <w:highlight w:val="none"/>
                      <w:lang w:val="en-US"/>
                    </w:rPr>
                  </w:pPr>
                  <w:r>
                    <w:rPr>
                      <w:rFonts w:hint="eastAsia"/>
                      <w:b/>
                      <w:bCs/>
                      <w:color w:val="auto"/>
                      <w:szCs w:val="21"/>
                      <w:highlight w:val="none"/>
                      <w:lang w:val="en-US" w:eastAsia="zh-CN"/>
                    </w:rPr>
                    <w:t>--</w:t>
                  </w:r>
                </w:p>
              </w:tc>
            </w:tr>
            <w:tr w14:paraId="40002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330" w:type="pct"/>
                  <w:noWrap w:val="0"/>
                  <w:vAlign w:val="center"/>
                </w:tcPr>
                <w:p w14:paraId="7274BA80">
                  <w:pPr>
                    <w:pStyle w:val="103"/>
                    <w:ind w:left="21" w:leftChars="10" w:right="21" w:rightChars="10"/>
                    <w:rPr>
                      <w:color w:val="auto"/>
                      <w:szCs w:val="21"/>
                      <w:highlight w:val="none"/>
                      <w:lang w:val="en-US"/>
                    </w:rPr>
                  </w:pPr>
                  <w:r>
                    <w:rPr>
                      <w:color w:val="auto"/>
                      <w:szCs w:val="21"/>
                      <w:highlight w:val="none"/>
                      <w:lang w:val="en-US"/>
                    </w:rPr>
                    <w:t>4</w:t>
                  </w:r>
                </w:p>
              </w:tc>
              <w:tc>
                <w:tcPr>
                  <w:tcW w:w="961" w:type="pct"/>
                  <w:noWrap w:val="0"/>
                  <w:vAlign w:val="center"/>
                </w:tcPr>
                <w:p w14:paraId="2001CDDF">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硅铁</w:t>
                  </w:r>
                </w:p>
              </w:tc>
              <w:tc>
                <w:tcPr>
                  <w:tcW w:w="834" w:type="pct"/>
                  <w:noWrap w:val="0"/>
                  <w:vAlign w:val="center"/>
                </w:tcPr>
                <w:p w14:paraId="1380B10A">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120</w:t>
                  </w:r>
                  <w:r>
                    <w:rPr>
                      <w:rFonts w:hint="default" w:ascii="Times New Roman" w:hAnsi="Times New Roman" w:eastAsia="宋体" w:cs="Times New Roman"/>
                      <w:color w:val="auto"/>
                      <w:sz w:val="21"/>
                      <w:szCs w:val="21"/>
                      <w:highlight w:val="none"/>
                    </w:rPr>
                    <w:t>t/a</w:t>
                  </w:r>
                </w:p>
              </w:tc>
              <w:tc>
                <w:tcPr>
                  <w:tcW w:w="766" w:type="pct"/>
                  <w:noWrap w:val="0"/>
                  <w:vAlign w:val="center"/>
                </w:tcPr>
                <w:p w14:paraId="138865B9">
                  <w:pPr>
                    <w:pStyle w:val="103"/>
                    <w:bidi w:val="0"/>
                    <w:spacing w:line="240" w:lineRule="auto"/>
                    <w:ind w:left="21" w:leftChars="10" w:right="21" w:rightChars="10"/>
                    <w:rPr>
                      <w:rFonts w:hint="eastAsia"/>
                      <w:color w:val="auto"/>
                      <w:szCs w:val="21"/>
                      <w:highlight w:val="none"/>
                      <w:lang w:val="en-US"/>
                    </w:rPr>
                  </w:pPr>
                  <w:r>
                    <w:rPr>
                      <w:rFonts w:hint="default" w:ascii="Times New Roman" w:hAnsi="Times New Roman" w:eastAsia="宋体" w:cs="Times New Roman"/>
                      <w:color w:val="auto"/>
                      <w:sz w:val="21"/>
                      <w:szCs w:val="21"/>
                      <w:highlight w:val="none"/>
                      <w:lang w:val="en-US" w:eastAsia="zh-CN"/>
                    </w:rPr>
                    <w:t>120</w:t>
                  </w:r>
                  <w:r>
                    <w:rPr>
                      <w:rFonts w:hint="default" w:ascii="Times New Roman" w:hAnsi="Times New Roman" w:eastAsia="宋体" w:cs="Times New Roman"/>
                      <w:color w:val="auto"/>
                      <w:sz w:val="21"/>
                      <w:szCs w:val="21"/>
                      <w:highlight w:val="none"/>
                    </w:rPr>
                    <w:t>t/a</w:t>
                  </w:r>
                </w:p>
              </w:tc>
              <w:tc>
                <w:tcPr>
                  <w:tcW w:w="692" w:type="pct"/>
                  <w:noWrap w:val="0"/>
                  <w:vAlign w:val="center"/>
                </w:tcPr>
                <w:p w14:paraId="6F86DDCB">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06857803">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45B9C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330" w:type="pct"/>
                  <w:noWrap w:val="0"/>
                  <w:vAlign w:val="center"/>
                </w:tcPr>
                <w:p w14:paraId="04AB6E66">
                  <w:pPr>
                    <w:pStyle w:val="103"/>
                    <w:ind w:left="21" w:leftChars="10" w:right="21" w:rightChars="10"/>
                    <w:rPr>
                      <w:color w:val="auto"/>
                      <w:szCs w:val="21"/>
                      <w:highlight w:val="none"/>
                      <w:lang w:val="en-US"/>
                    </w:rPr>
                  </w:pPr>
                  <w:r>
                    <w:rPr>
                      <w:color w:val="auto"/>
                      <w:szCs w:val="21"/>
                      <w:highlight w:val="none"/>
                      <w:lang w:val="en-US"/>
                    </w:rPr>
                    <w:t>5</w:t>
                  </w:r>
                </w:p>
              </w:tc>
              <w:tc>
                <w:tcPr>
                  <w:tcW w:w="961" w:type="pct"/>
                  <w:noWrap w:val="0"/>
                  <w:vAlign w:val="center"/>
                </w:tcPr>
                <w:p w14:paraId="72FACC21">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锰铁</w:t>
                  </w:r>
                </w:p>
              </w:tc>
              <w:tc>
                <w:tcPr>
                  <w:tcW w:w="834" w:type="pct"/>
                  <w:noWrap w:val="0"/>
                  <w:vAlign w:val="center"/>
                </w:tcPr>
                <w:p w14:paraId="5DD1C21F">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rPr>
                    <w:t>t/a</w:t>
                  </w:r>
                </w:p>
              </w:tc>
              <w:tc>
                <w:tcPr>
                  <w:tcW w:w="766" w:type="pct"/>
                  <w:noWrap w:val="0"/>
                  <w:vAlign w:val="center"/>
                </w:tcPr>
                <w:p w14:paraId="2A04E92F">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rPr>
                    <w:t>t/a</w:t>
                  </w:r>
                </w:p>
              </w:tc>
              <w:tc>
                <w:tcPr>
                  <w:tcW w:w="692" w:type="pct"/>
                  <w:noWrap w:val="0"/>
                  <w:vAlign w:val="center"/>
                </w:tcPr>
                <w:p w14:paraId="46937A6D">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1AB1A1CF">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42997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330" w:type="pct"/>
                  <w:noWrap w:val="0"/>
                  <w:vAlign w:val="center"/>
                </w:tcPr>
                <w:p w14:paraId="7D73539C">
                  <w:pPr>
                    <w:pStyle w:val="103"/>
                    <w:ind w:left="21" w:leftChars="10" w:right="21" w:rightChars="10"/>
                    <w:rPr>
                      <w:color w:val="auto"/>
                      <w:szCs w:val="21"/>
                      <w:highlight w:val="none"/>
                      <w:lang w:val="en-US"/>
                    </w:rPr>
                  </w:pPr>
                  <w:r>
                    <w:rPr>
                      <w:color w:val="auto"/>
                      <w:szCs w:val="21"/>
                      <w:highlight w:val="none"/>
                      <w:lang w:val="en-US"/>
                    </w:rPr>
                    <w:t>6</w:t>
                  </w:r>
                </w:p>
              </w:tc>
              <w:tc>
                <w:tcPr>
                  <w:tcW w:w="961" w:type="pct"/>
                  <w:noWrap w:val="0"/>
                  <w:vAlign w:val="center"/>
                </w:tcPr>
                <w:p w14:paraId="10B21719">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钢丸</w:t>
                  </w:r>
                </w:p>
              </w:tc>
              <w:tc>
                <w:tcPr>
                  <w:tcW w:w="834" w:type="pct"/>
                  <w:noWrap w:val="0"/>
                  <w:vAlign w:val="center"/>
                </w:tcPr>
                <w:p w14:paraId="544703EE">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t/a</w:t>
                  </w:r>
                </w:p>
              </w:tc>
              <w:tc>
                <w:tcPr>
                  <w:tcW w:w="766" w:type="pct"/>
                  <w:noWrap w:val="0"/>
                  <w:vAlign w:val="center"/>
                </w:tcPr>
                <w:p w14:paraId="4D506E47">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t/a</w:t>
                  </w:r>
                </w:p>
              </w:tc>
              <w:tc>
                <w:tcPr>
                  <w:tcW w:w="692" w:type="pct"/>
                  <w:noWrap w:val="0"/>
                  <w:vAlign w:val="center"/>
                </w:tcPr>
                <w:p w14:paraId="3F690291">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58412619">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3B5A8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330" w:type="pct"/>
                  <w:noWrap w:val="0"/>
                  <w:vAlign w:val="center"/>
                </w:tcPr>
                <w:p w14:paraId="516FAADC">
                  <w:pPr>
                    <w:pStyle w:val="103"/>
                    <w:ind w:left="21" w:leftChars="10" w:right="21" w:rightChars="10"/>
                    <w:rPr>
                      <w:color w:val="auto"/>
                      <w:szCs w:val="21"/>
                      <w:highlight w:val="none"/>
                      <w:lang w:val="en-US"/>
                    </w:rPr>
                  </w:pPr>
                  <w:r>
                    <w:rPr>
                      <w:color w:val="auto"/>
                      <w:szCs w:val="21"/>
                      <w:highlight w:val="none"/>
                      <w:lang w:val="en-US"/>
                    </w:rPr>
                    <w:t>7</w:t>
                  </w:r>
                </w:p>
              </w:tc>
              <w:tc>
                <w:tcPr>
                  <w:tcW w:w="961" w:type="pct"/>
                  <w:noWrap w:val="0"/>
                  <w:vAlign w:val="center"/>
                </w:tcPr>
                <w:p w14:paraId="376BA20A">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膨润土</w:t>
                  </w:r>
                </w:p>
              </w:tc>
              <w:tc>
                <w:tcPr>
                  <w:tcW w:w="834" w:type="pct"/>
                  <w:noWrap w:val="0"/>
                  <w:vAlign w:val="center"/>
                </w:tcPr>
                <w:p w14:paraId="0077D2E4">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rPr>
                    <w:t>t/a</w:t>
                  </w:r>
                </w:p>
              </w:tc>
              <w:tc>
                <w:tcPr>
                  <w:tcW w:w="766" w:type="pct"/>
                  <w:noWrap w:val="0"/>
                  <w:vAlign w:val="center"/>
                </w:tcPr>
                <w:p w14:paraId="7B9C6BA1">
                  <w:pPr>
                    <w:pStyle w:val="103"/>
                    <w:bidi w:val="0"/>
                    <w:spacing w:line="240" w:lineRule="auto"/>
                    <w:ind w:left="21" w:leftChars="10" w:right="21" w:rightChars="10"/>
                    <w:rPr>
                      <w:color w:val="auto"/>
                      <w:szCs w:val="21"/>
                      <w:highlight w:val="none"/>
                    </w:rPr>
                  </w:pPr>
                  <w:r>
                    <w:rPr>
                      <w:rFonts w:hint="default" w:ascii="Times New Roman" w:hAnsi="Times New Roman" w:eastAsia="宋体"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rPr>
                    <w:t>t/a</w:t>
                  </w:r>
                </w:p>
              </w:tc>
              <w:tc>
                <w:tcPr>
                  <w:tcW w:w="692" w:type="pct"/>
                  <w:noWrap w:val="0"/>
                  <w:vAlign w:val="center"/>
                </w:tcPr>
                <w:p w14:paraId="507CD6E7">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4A477672">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0A65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330" w:type="pct"/>
                  <w:noWrap w:val="0"/>
                  <w:vAlign w:val="center"/>
                </w:tcPr>
                <w:p w14:paraId="422BAB29">
                  <w:pPr>
                    <w:pStyle w:val="103"/>
                    <w:ind w:left="21" w:leftChars="10" w:right="21" w:rightChars="10"/>
                    <w:rPr>
                      <w:color w:val="auto"/>
                      <w:szCs w:val="21"/>
                      <w:highlight w:val="none"/>
                      <w:lang w:val="en-US"/>
                    </w:rPr>
                  </w:pPr>
                  <w:r>
                    <w:rPr>
                      <w:color w:val="auto"/>
                      <w:szCs w:val="21"/>
                      <w:highlight w:val="none"/>
                      <w:lang w:val="en-US"/>
                    </w:rPr>
                    <w:t>8</w:t>
                  </w:r>
                </w:p>
              </w:tc>
              <w:tc>
                <w:tcPr>
                  <w:tcW w:w="961" w:type="pct"/>
                  <w:noWrap w:val="0"/>
                  <w:vAlign w:val="center"/>
                </w:tcPr>
                <w:p w14:paraId="08CAB733">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造型砂</w:t>
                  </w:r>
                </w:p>
              </w:tc>
              <w:tc>
                <w:tcPr>
                  <w:tcW w:w="834" w:type="pct"/>
                  <w:noWrap w:val="0"/>
                  <w:vAlign w:val="center"/>
                </w:tcPr>
                <w:p w14:paraId="085CADE5">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980</w:t>
                  </w:r>
                  <w:r>
                    <w:rPr>
                      <w:rFonts w:hint="default" w:ascii="Times New Roman" w:hAnsi="Times New Roman" w:eastAsia="宋体" w:cs="Times New Roman"/>
                      <w:color w:val="auto"/>
                      <w:sz w:val="21"/>
                      <w:szCs w:val="21"/>
                      <w:highlight w:val="none"/>
                    </w:rPr>
                    <w:t>t/a</w:t>
                  </w:r>
                </w:p>
              </w:tc>
              <w:tc>
                <w:tcPr>
                  <w:tcW w:w="766" w:type="pct"/>
                  <w:noWrap w:val="0"/>
                  <w:vAlign w:val="center"/>
                </w:tcPr>
                <w:p w14:paraId="37DE7BF1">
                  <w:pPr>
                    <w:pStyle w:val="103"/>
                    <w:bidi w:val="0"/>
                    <w:spacing w:line="240" w:lineRule="auto"/>
                    <w:ind w:left="21" w:leftChars="10" w:right="21" w:rightChars="10"/>
                    <w:rPr>
                      <w:color w:val="auto"/>
                      <w:szCs w:val="21"/>
                      <w:highlight w:val="none"/>
                    </w:rPr>
                  </w:pPr>
                  <w:r>
                    <w:rPr>
                      <w:rFonts w:hint="default" w:ascii="Times New Roman" w:hAnsi="Times New Roman" w:eastAsia="宋体" w:cs="Times New Roman"/>
                      <w:color w:val="auto"/>
                      <w:sz w:val="21"/>
                      <w:szCs w:val="21"/>
                      <w:highlight w:val="none"/>
                      <w:lang w:val="en-US" w:eastAsia="zh-CN"/>
                    </w:rPr>
                    <w:t>980</w:t>
                  </w:r>
                  <w:r>
                    <w:rPr>
                      <w:rFonts w:hint="default" w:ascii="Times New Roman" w:hAnsi="Times New Roman" w:eastAsia="宋体" w:cs="Times New Roman"/>
                      <w:color w:val="auto"/>
                      <w:sz w:val="21"/>
                      <w:szCs w:val="21"/>
                      <w:highlight w:val="none"/>
                    </w:rPr>
                    <w:t>t/a</w:t>
                  </w:r>
                </w:p>
              </w:tc>
              <w:tc>
                <w:tcPr>
                  <w:tcW w:w="692" w:type="pct"/>
                  <w:noWrap w:val="0"/>
                  <w:vAlign w:val="center"/>
                </w:tcPr>
                <w:p w14:paraId="7CA9B5C2">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0B1A1DE6">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53AE2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330" w:type="pct"/>
                  <w:noWrap w:val="0"/>
                  <w:vAlign w:val="center"/>
                </w:tcPr>
                <w:p w14:paraId="6EFB126D">
                  <w:pPr>
                    <w:pStyle w:val="103"/>
                    <w:ind w:left="21" w:leftChars="10" w:right="21" w:rightChars="10"/>
                    <w:rPr>
                      <w:color w:val="auto"/>
                      <w:szCs w:val="21"/>
                      <w:highlight w:val="none"/>
                      <w:lang w:val="en-US"/>
                    </w:rPr>
                  </w:pPr>
                  <w:r>
                    <w:rPr>
                      <w:color w:val="auto"/>
                      <w:szCs w:val="21"/>
                      <w:highlight w:val="none"/>
                      <w:lang w:val="en-US"/>
                    </w:rPr>
                    <w:t>9</w:t>
                  </w:r>
                </w:p>
              </w:tc>
              <w:tc>
                <w:tcPr>
                  <w:tcW w:w="961" w:type="pct"/>
                  <w:noWrap w:val="0"/>
                  <w:vAlign w:val="center"/>
                </w:tcPr>
                <w:p w14:paraId="22514D42">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润滑油</w:t>
                  </w:r>
                </w:p>
              </w:tc>
              <w:tc>
                <w:tcPr>
                  <w:tcW w:w="834" w:type="pct"/>
                  <w:noWrap w:val="0"/>
                  <w:vAlign w:val="center"/>
                </w:tcPr>
                <w:p w14:paraId="08BD7AA1">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0.02</w:t>
                  </w:r>
                  <w:r>
                    <w:rPr>
                      <w:rFonts w:hint="default" w:ascii="Times New Roman" w:hAnsi="Times New Roman" w:eastAsia="宋体" w:cs="Times New Roman"/>
                      <w:color w:val="auto"/>
                      <w:sz w:val="21"/>
                      <w:szCs w:val="21"/>
                      <w:highlight w:val="none"/>
                    </w:rPr>
                    <w:t>t/a</w:t>
                  </w:r>
                </w:p>
              </w:tc>
              <w:tc>
                <w:tcPr>
                  <w:tcW w:w="766" w:type="pct"/>
                  <w:noWrap w:val="0"/>
                  <w:vAlign w:val="center"/>
                </w:tcPr>
                <w:p w14:paraId="4F62D128">
                  <w:pPr>
                    <w:pStyle w:val="103"/>
                    <w:bidi w:val="0"/>
                    <w:spacing w:line="240" w:lineRule="auto"/>
                    <w:ind w:left="21" w:leftChars="10" w:right="21" w:rightChars="10"/>
                    <w:rPr>
                      <w:color w:val="auto"/>
                      <w:szCs w:val="21"/>
                      <w:highlight w:val="none"/>
                    </w:rPr>
                  </w:pPr>
                  <w:r>
                    <w:rPr>
                      <w:rFonts w:hint="default" w:ascii="Times New Roman" w:hAnsi="Times New Roman" w:eastAsia="宋体" w:cs="Times New Roman"/>
                      <w:color w:val="auto"/>
                      <w:sz w:val="21"/>
                      <w:szCs w:val="21"/>
                      <w:highlight w:val="none"/>
                      <w:lang w:val="en-US" w:eastAsia="zh-CN"/>
                    </w:rPr>
                    <w:t>0.02</w:t>
                  </w:r>
                  <w:r>
                    <w:rPr>
                      <w:rFonts w:hint="default" w:ascii="Times New Roman" w:hAnsi="Times New Roman" w:eastAsia="宋体" w:cs="Times New Roman"/>
                      <w:color w:val="auto"/>
                      <w:sz w:val="21"/>
                      <w:szCs w:val="21"/>
                      <w:highlight w:val="none"/>
                    </w:rPr>
                    <w:t>t/a</w:t>
                  </w:r>
                </w:p>
              </w:tc>
              <w:tc>
                <w:tcPr>
                  <w:tcW w:w="692" w:type="pct"/>
                  <w:noWrap w:val="0"/>
                  <w:vAlign w:val="center"/>
                </w:tcPr>
                <w:p w14:paraId="08B7A2EB">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06D9CD2C">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76E88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330" w:type="pct"/>
                  <w:noWrap w:val="0"/>
                  <w:vAlign w:val="center"/>
                </w:tcPr>
                <w:p w14:paraId="3D1652A3">
                  <w:pPr>
                    <w:pStyle w:val="103"/>
                    <w:ind w:left="21" w:leftChars="10" w:right="21" w:rightChars="10"/>
                    <w:rPr>
                      <w:color w:val="auto"/>
                      <w:szCs w:val="21"/>
                      <w:highlight w:val="none"/>
                      <w:lang w:val="en-US"/>
                    </w:rPr>
                  </w:pPr>
                  <w:r>
                    <w:rPr>
                      <w:color w:val="auto"/>
                      <w:szCs w:val="21"/>
                      <w:highlight w:val="none"/>
                      <w:lang w:val="en-US"/>
                    </w:rPr>
                    <w:t>10</w:t>
                  </w:r>
                </w:p>
              </w:tc>
              <w:tc>
                <w:tcPr>
                  <w:tcW w:w="961" w:type="pct"/>
                  <w:noWrap w:val="0"/>
                  <w:vAlign w:val="center"/>
                </w:tcPr>
                <w:p w14:paraId="578DEF44">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水性漆</w:t>
                  </w:r>
                </w:p>
              </w:tc>
              <w:tc>
                <w:tcPr>
                  <w:tcW w:w="834" w:type="pct"/>
                  <w:noWrap w:val="0"/>
                  <w:vAlign w:val="center"/>
                </w:tcPr>
                <w:p w14:paraId="023C2F64">
                  <w:pPr>
                    <w:pStyle w:val="103"/>
                    <w:bidi w:val="0"/>
                    <w:spacing w:line="240" w:lineRule="auto"/>
                    <w:ind w:left="21" w:leftChars="10" w:right="21" w:rightChars="10"/>
                    <w:rPr>
                      <w:color w:val="auto"/>
                      <w:szCs w:val="21"/>
                      <w:highlight w:val="none"/>
                      <w:lang w:val="en-US"/>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t/a</w:t>
                  </w:r>
                </w:p>
              </w:tc>
              <w:tc>
                <w:tcPr>
                  <w:tcW w:w="766" w:type="pct"/>
                  <w:noWrap w:val="0"/>
                  <w:vAlign w:val="center"/>
                </w:tcPr>
                <w:p w14:paraId="26700571">
                  <w:pPr>
                    <w:pStyle w:val="103"/>
                    <w:bidi w:val="0"/>
                    <w:spacing w:line="240" w:lineRule="auto"/>
                    <w:ind w:left="21" w:leftChars="10" w:right="21" w:rightChars="10"/>
                    <w:rPr>
                      <w:color w:val="auto"/>
                      <w:szCs w:val="21"/>
                      <w:highlight w:val="none"/>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t/a</w:t>
                  </w:r>
                </w:p>
              </w:tc>
              <w:tc>
                <w:tcPr>
                  <w:tcW w:w="692" w:type="pct"/>
                  <w:noWrap w:val="0"/>
                  <w:vAlign w:val="center"/>
                </w:tcPr>
                <w:p w14:paraId="43044BC8">
                  <w:pPr>
                    <w:ind w:left="21" w:leftChars="10" w:right="21" w:rightChars="10"/>
                    <w:jc w:val="center"/>
                    <w:rPr>
                      <w:color w:val="auto"/>
                      <w:kern w:val="0"/>
                      <w:szCs w:val="21"/>
                      <w:highlight w:val="none"/>
                    </w:rPr>
                  </w:pPr>
                  <w:r>
                    <w:rPr>
                      <w:rFonts w:hint="eastAsia"/>
                      <w:color w:val="auto"/>
                      <w:szCs w:val="21"/>
                      <w:highlight w:val="none"/>
                    </w:rPr>
                    <w:t>不变</w:t>
                  </w:r>
                </w:p>
              </w:tc>
              <w:tc>
                <w:tcPr>
                  <w:tcW w:w="1413" w:type="pct"/>
                  <w:noWrap w:val="0"/>
                  <w:vAlign w:val="center"/>
                </w:tcPr>
                <w:p w14:paraId="15B3A8E3">
                  <w:pPr>
                    <w:ind w:left="21" w:leftChars="10" w:right="21" w:rightChars="10"/>
                    <w:jc w:val="center"/>
                    <w:rPr>
                      <w:rFonts w:hint="eastAsia"/>
                      <w:color w:val="auto"/>
                      <w:szCs w:val="21"/>
                      <w:highlight w:val="none"/>
                    </w:rPr>
                  </w:pPr>
                  <w:r>
                    <w:rPr>
                      <w:rFonts w:hint="eastAsia"/>
                      <w:b/>
                      <w:bCs/>
                      <w:color w:val="auto"/>
                      <w:szCs w:val="21"/>
                      <w:highlight w:val="none"/>
                      <w:lang w:val="en-US" w:eastAsia="zh-CN"/>
                    </w:rPr>
                    <w:t>--</w:t>
                  </w:r>
                </w:p>
              </w:tc>
            </w:tr>
            <w:tr w14:paraId="4F052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0" w:type="pct"/>
                  <w:noWrap w:val="0"/>
                  <w:vAlign w:val="center"/>
                </w:tcPr>
                <w:p w14:paraId="3658152F">
                  <w:pPr>
                    <w:pStyle w:val="103"/>
                    <w:ind w:left="21" w:leftChars="10" w:right="21" w:rightChars="10"/>
                    <w:rPr>
                      <w:rFonts w:hint="eastAsia" w:eastAsia="宋体"/>
                      <w:color w:val="auto"/>
                      <w:szCs w:val="21"/>
                      <w:highlight w:val="none"/>
                      <w:lang w:val="en-US" w:eastAsia="zh-CN"/>
                    </w:rPr>
                  </w:pPr>
                  <w:r>
                    <w:rPr>
                      <w:rFonts w:hint="eastAsia"/>
                      <w:color w:val="auto"/>
                      <w:szCs w:val="21"/>
                      <w:highlight w:val="none"/>
                      <w:lang w:val="en-US"/>
                    </w:rPr>
                    <w:t>1</w:t>
                  </w:r>
                  <w:r>
                    <w:rPr>
                      <w:rFonts w:hint="eastAsia"/>
                      <w:color w:val="auto"/>
                      <w:szCs w:val="21"/>
                      <w:highlight w:val="none"/>
                      <w:lang w:val="en-US" w:eastAsia="zh-CN"/>
                    </w:rPr>
                    <w:t>1</w:t>
                  </w:r>
                </w:p>
              </w:tc>
              <w:tc>
                <w:tcPr>
                  <w:tcW w:w="961" w:type="pct"/>
                  <w:noWrap w:val="0"/>
                  <w:vAlign w:val="center"/>
                </w:tcPr>
                <w:p w14:paraId="3A16C0E2">
                  <w:pPr>
                    <w:widowControl/>
                    <w:jc w:val="center"/>
                    <w:rPr>
                      <w:b/>
                      <w:bCs/>
                      <w:color w:val="auto"/>
                      <w:kern w:val="0"/>
                      <w:szCs w:val="21"/>
                      <w:highlight w:val="none"/>
                    </w:rPr>
                  </w:pPr>
                  <w:r>
                    <w:rPr>
                      <w:rFonts w:hint="eastAsia"/>
                      <w:bCs/>
                      <w:color w:val="auto"/>
                      <w:szCs w:val="21"/>
                      <w:highlight w:val="none"/>
                    </w:rPr>
                    <w:t>重油垢清洗剂</w:t>
                  </w:r>
                </w:p>
              </w:tc>
              <w:tc>
                <w:tcPr>
                  <w:tcW w:w="834" w:type="pct"/>
                  <w:noWrap w:val="0"/>
                  <w:vAlign w:val="center"/>
                </w:tcPr>
                <w:p w14:paraId="520E4D52">
                  <w:pPr>
                    <w:widowControl/>
                    <w:jc w:val="center"/>
                    <w:rPr>
                      <w:rFonts w:hint="eastAsia" w:eastAsia="宋体"/>
                      <w:color w:val="auto"/>
                      <w:kern w:val="0"/>
                      <w:szCs w:val="21"/>
                      <w:highlight w:val="none"/>
                      <w:lang w:val="en-US" w:eastAsia="zh-CN"/>
                    </w:rPr>
                  </w:pPr>
                  <w:r>
                    <w:rPr>
                      <w:rFonts w:hint="eastAsia"/>
                      <w:color w:val="auto"/>
                      <w:kern w:val="0"/>
                      <w:szCs w:val="21"/>
                      <w:highlight w:val="none"/>
                      <w:lang w:val="en-US" w:eastAsia="zh-CN"/>
                    </w:rPr>
                    <w:t>0</w:t>
                  </w:r>
                </w:p>
              </w:tc>
              <w:tc>
                <w:tcPr>
                  <w:tcW w:w="766" w:type="pct"/>
                  <w:noWrap w:val="0"/>
                  <w:vAlign w:val="center"/>
                </w:tcPr>
                <w:p w14:paraId="004C7042">
                  <w:pPr>
                    <w:pStyle w:val="103"/>
                    <w:ind w:left="21" w:leftChars="10" w:right="21" w:rightChars="10"/>
                    <w:rPr>
                      <w:color w:val="auto"/>
                      <w:kern w:val="0"/>
                      <w:szCs w:val="21"/>
                      <w:highlight w:val="none"/>
                    </w:rPr>
                  </w:pPr>
                  <w:r>
                    <w:rPr>
                      <w:rFonts w:hint="eastAsia"/>
                      <w:color w:val="auto"/>
                      <w:kern w:val="0"/>
                      <w:szCs w:val="21"/>
                      <w:highlight w:val="none"/>
                    </w:rPr>
                    <w:t>1.9</w:t>
                  </w:r>
                </w:p>
              </w:tc>
              <w:tc>
                <w:tcPr>
                  <w:tcW w:w="692" w:type="pct"/>
                  <w:noWrap w:val="0"/>
                  <w:vAlign w:val="center"/>
                </w:tcPr>
                <w:p w14:paraId="5133BE2F">
                  <w:pPr>
                    <w:widowControl/>
                    <w:jc w:val="center"/>
                    <w:rPr>
                      <w:rFonts w:hint="eastAsia" w:eastAsia="宋体"/>
                      <w:color w:val="auto"/>
                      <w:kern w:val="0"/>
                      <w:szCs w:val="21"/>
                      <w:highlight w:val="none"/>
                      <w:lang w:val="en-US" w:eastAsia="zh-CN"/>
                    </w:rPr>
                  </w:pPr>
                  <w:r>
                    <w:rPr>
                      <w:rFonts w:hint="eastAsia"/>
                      <w:color w:val="auto"/>
                      <w:kern w:val="0"/>
                      <w:szCs w:val="21"/>
                      <w:highlight w:val="none"/>
                      <w:lang w:val="en-US" w:eastAsia="zh-CN"/>
                    </w:rPr>
                    <w:t>新增</w:t>
                  </w:r>
                </w:p>
              </w:tc>
              <w:tc>
                <w:tcPr>
                  <w:tcW w:w="1413" w:type="pct"/>
                  <w:noWrap w:val="0"/>
                  <w:vAlign w:val="center"/>
                </w:tcPr>
                <w:p w14:paraId="5BBF3A15">
                  <w:pPr>
                    <w:widowControl/>
                    <w:jc w:val="center"/>
                    <w:rPr>
                      <w:rFonts w:hint="eastAsia"/>
                      <w:color w:val="auto"/>
                      <w:kern w:val="0"/>
                      <w:sz w:val="21"/>
                      <w:szCs w:val="21"/>
                      <w:highlight w:val="none"/>
                      <w:lang w:val="en-US" w:eastAsia="zh-CN" w:bidi="ar-SA"/>
                    </w:rPr>
                  </w:pPr>
                  <w:r>
                    <w:rPr>
                      <w:rFonts w:hint="eastAsia"/>
                      <w:color w:val="auto"/>
                      <w:kern w:val="0"/>
                      <w:szCs w:val="21"/>
                      <w:highlight w:val="none"/>
                    </w:rPr>
                    <w:t>液态、桶装、25kg/桶，桶内衬密封塑料袋，可承重25kg</w:t>
                  </w:r>
                </w:p>
              </w:tc>
            </w:tr>
            <w:tr w14:paraId="402CB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0" w:type="pct"/>
                  <w:noWrap w:val="0"/>
                  <w:vAlign w:val="center"/>
                </w:tcPr>
                <w:p w14:paraId="7468B9C4">
                  <w:pPr>
                    <w:pStyle w:val="103"/>
                    <w:ind w:left="21" w:leftChars="10" w:right="21" w:rightChars="10"/>
                    <w:rPr>
                      <w:rFonts w:hint="eastAsia" w:eastAsia="宋体"/>
                      <w:color w:val="auto"/>
                      <w:szCs w:val="21"/>
                      <w:highlight w:val="none"/>
                      <w:lang w:val="en-US" w:eastAsia="zh-CN"/>
                    </w:rPr>
                  </w:pPr>
                  <w:r>
                    <w:rPr>
                      <w:rFonts w:hint="eastAsia"/>
                      <w:color w:val="auto"/>
                      <w:szCs w:val="21"/>
                      <w:highlight w:val="none"/>
                      <w:lang w:val="en-US"/>
                    </w:rPr>
                    <w:t>1</w:t>
                  </w:r>
                  <w:r>
                    <w:rPr>
                      <w:rFonts w:hint="eastAsia"/>
                      <w:color w:val="auto"/>
                      <w:szCs w:val="21"/>
                      <w:highlight w:val="none"/>
                      <w:lang w:val="en-US" w:eastAsia="zh-CN"/>
                    </w:rPr>
                    <w:t>2</w:t>
                  </w:r>
                </w:p>
              </w:tc>
              <w:tc>
                <w:tcPr>
                  <w:tcW w:w="961" w:type="pct"/>
                  <w:noWrap w:val="0"/>
                  <w:vAlign w:val="center"/>
                </w:tcPr>
                <w:p w14:paraId="4DAB2DCD">
                  <w:pPr>
                    <w:widowControl/>
                    <w:jc w:val="center"/>
                    <w:rPr>
                      <w:b/>
                      <w:bCs/>
                      <w:color w:val="auto"/>
                      <w:kern w:val="0"/>
                      <w:szCs w:val="21"/>
                      <w:highlight w:val="none"/>
                    </w:rPr>
                  </w:pPr>
                  <w:r>
                    <w:rPr>
                      <w:rFonts w:hint="eastAsia"/>
                      <w:bCs/>
                      <w:color w:val="auto"/>
                      <w:szCs w:val="21"/>
                      <w:highlight w:val="none"/>
                    </w:rPr>
                    <w:t>多功能防锈剂</w:t>
                  </w:r>
                </w:p>
              </w:tc>
              <w:tc>
                <w:tcPr>
                  <w:tcW w:w="834" w:type="pct"/>
                  <w:noWrap w:val="0"/>
                  <w:vAlign w:val="center"/>
                </w:tcPr>
                <w:p w14:paraId="35EEDFC7">
                  <w:pPr>
                    <w:widowControl/>
                    <w:jc w:val="center"/>
                    <w:rPr>
                      <w:rFonts w:hint="default" w:eastAsia="宋体"/>
                      <w:color w:val="auto"/>
                      <w:kern w:val="0"/>
                      <w:szCs w:val="21"/>
                      <w:highlight w:val="none"/>
                      <w:lang w:val="en-US" w:eastAsia="zh-CN"/>
                    </w:rPr>
                  </w:pPr>
                  <w:r>
                    <w:rPr>
                      <w:rFonts w:hint="eastAsia"/>
                      <w:color w:val="auto"/>
                      <w:kern w:val="0"/>
                      <w:szCs w:val="21"/>
                      <w:highlight w:val="none"/>
                      <w:lang w:val="en-US" w:eastAsia="zh-CN"/>
                    </w:rPr>
                    <w:t>0</w:t>
                  </w:r>
                </w:p>
              </w:tc>
              <w:tc>
                <w:tcPr>
                  <w:tcW w:w="766" w:type="pct"/>
                  <w:noWrap w:val="0"/>
                  <w:vAlign w:val="center"/>
                </w:tcPr>
                <w:p w14:paraId="7F474708">
                  <w:pPr>
                    <w:widowControl/>
                    <w:jc w:val="center"/>
                    <w:rPr>
                      <w:rFonts w:hint="eastAsia"/>
                      <w:color w:val="auto"/>
                      <w:kern w:val="0"/>
                      <w:szCs w:val="21"/>
                      <w:highlight w:val="none"/>
                    </w:rPr>
                  </w:pPr>
                  <w:r>
                    <w:rPr>
                      <w:rFonts w:hint="eastAsia"/>
                      <w:color w:val="auto"/>
                      <w:kern w:val="0"/>
                      <w:szCs w:val="21"/>
                      <w:highlight w:val="none"/>
                    </w:rPr>
                    <w:t>1.6</w:t>
                  </w:r>
                </w:p>
              </w:tc>
              <w:tc>
                <w:tcPr>
                  <w:tcW w:w="692" w:type="pct"/>
                  <w:noWrap w:val="0"/>
                  <w:vAlign w:val="center"/>
                </w:tcPr>
                <w:p w14:paraId="1CB2AC47">
                  <w:pPr>
                    <w:widowControl/>
                    <w:jc w:val="center"/>
                    <w:rPr>
                      <w:rFonts w:hint="eastAsia"/>
                      <w:color w:val="auto"/>
                      <w:kern w:val="0"/>
                      <w:szCs w:val="21"/>
                      <w:highlight w:val="none"/>
                    </w:rPr>
                  </w:pPr>
                  <w:r>
                    <w:rPr>
                      <w:rFonts w:hint="eastAsia"/>
                      <w:color w:val="auto"/>
                      <w:kern w:val="0"/>
                      <w:szCs w:val="21"/>
                      <w:highlight w:val="none"/>
                      <w:lang w:val="en-US" w:eastAsia="zh-CN"/>
                    </w:rPr>
                    <w:t>新增</w:t>
                  </w:r>
                </w:p>
              </w:tc>
              <w:tc>
                <w:tcPr>
                  <w:tcW w:w="1413" w:type="pct"/>
                  <w:noWrap w:val="0"/>
                  <w:vAlign w:val="center"/>
                </w:tcPr>
                <w:p w14:paraId="3710CA7D">
                  <w:pPr>
                    <w:widowControl/>
                    <w:jc w:val="center"/>
                    <w:rPr>
                      <w:rFonts w:hint="eastAsia"/>
                      <w:color w:val="auto"/>
                      <w:kern w:val="0"/>
                      <w:sz w:val="21"/>
                      <w:szCs w:val="21"/>
                      <w:highlight w:val="none"/>
                      <w:lang w:val="en-US" w:eastAsia="zh-CN" w:bidi="ar-SA"/>
                    </w:rPr>
                  </w:pPr>
                  <w:r>
                    <w:rPr>
                      <w:rFonts w:hint="eastAsia"/>
                      <w:color w:val="auto"/>
                      <w:kern w:val="0"/>
                      <w:szCs w:val="21"/>
                      <w:highlight w:val="none"/>
                    </w:rPr>
                    <w:t>液态、桶装、25kg/桶，桶内衬密封塑料袋，可承重25kg</w:t>
                  </w:r>
                </w:p>
              </w:tc>
            </w:tr>
            <w:tr w14:paraId="0A867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330" w:type="pct"/>
                  <w:noWrap w:val="0"/>
                  <w:vAlign w:val="center"/>
                </w:tcPr>
                <w:p w14:paraId="123EB0B5">
                  <w:pPr>
                    <w:pStyle w:val="103"/>
                    <w:ind w:left="21" w:leftChars="10" w:right="21" w:rightChars="10"/>
                    <w:rPr>
                      <w:rFonts w:hint="eastAsia" w:eastAsia="宋体"/>
                      <w:color w:val="auto"/>
                      <w:szCs w:val="21"/>
                      <w:highlight w:val="none"/>
                      <w:lang w:val="en-US" w:eastAsia="zh-CN"/>
                    </w:rPr>
                  </w:pPr>
                  <w:r>
                    <w:rPr>
                      <w:rFonts w:hint="eastAsia"/>
                      <w:color w:val="auto"/>
                      <w:szCs w:val="21"/>
                      <w:highlight w:val="none"/>
                      <w:lang w:val="en-US"/>
                    </w:rPr>
                    <w:t>1</w:t>
                  </w:r>
                  <w:r>
                    <w:rPr>
                      <w:rFonts w:hint="eastAsia"/>
                      <w:color w:val="auto"/>
                      <w:szCs w:val="21"/>
                      <w:highlight w:val="none"/>
                      <w:lang w:val="en-US" w:eastAsia="zh-CN"/>
                    </w:rPr>
                    <w:t>3</w:t>
                  </w:r>
                </w:p>
              </w:tc>
              <w:tc>
                <w:tcPr>
                  <w:tcW w:w="961" w:type="pct"/>
                  <w:noWrap w:val="0"/>
                  <w:vAlign w:val="center"/>
                </w:tcPr>
                <w:p w14:paraId="272BD80B">
                  <w:pPr>
                    <w:widowControl/>
                    <w:jc w:val="center"/>
                    <w:rPr>
                      <w:rFonts w:hint="eastAsia"/>
                      <w:bCs/>
                      <w:color w:val="auto"/>
                      <w:szCs w:val="21"/>
                      <w:highlight w:val="none"/>
                    </w:rPr>
                  </w:pPr>
                  <w:r>
                    <w:rPr>
                      <w:rFonts w:hint="eastAsia"/>
                      <w:bCs/>
                      <w:color w:val="auto"/>
                      <w:szCs w:val="21"/>
                      <w:highlight w:val="none"/>
                    </w:rPr>
                    <w:t>矿物油絮凝剂</w:t>
                  </w:r>
                </w:p>
              </w:tc>
              <w:tc>
                <w:tcPr>
                  <w:tcW w:w="834" w:type="pct"/>
                  <w:noWrap w:val="0"/>
                  <w:vAlign w:val="center"/>
                </w:tcPr>
                <w:p w14:paraId="0A10E8AF">
                  <w:pPr>
                    <w:widowControl/>
                    <w:jc w:val="center"/>
                    <w:rPr>
                      <w:rFonts w:hint="eastAsia" w:eastAsia="宋体"/>
                      <w:color w:val="auto"/>
                      <w:kern w:val="0"/>
                      <w:szCs w:val="21"/>
                      <w:highlight w:val="none"/>
                      <w:lang w:val="en-US" w:eastAsia="zh-CN"/>
                    </w:rPr>
                  </w:pPr>
                  <w:r>
                    <w:rPr>
                      <w:rFonts w:hint="eastAsia"/>
                      <w:color w:val="auto"/>
                      <w:kern w:val="0"/>
                      <w:szCs w:val="21"/>
                      <w:highlight w:val="none"/>
                      <w:lang w:val="en-US" w:eastAsia="zh-CN"/>
                    </w:rPr>
                    <w:t>0</w:t>
                  </w:r>
                </w:p>
              </w:tc>
              <w:tc>
                <w:tcPr>
                  <w:tcW w:w="766" w:type="pct"/>
                  <w:noWrap w:val="0"/>
                  <w:vAlign w:val="center"/>
                </w:tcPr>
                <w:p w14:paraId="122D8F20">
                  <w:pPr>
                    <w:widowControl/>
                    <w:jc w:val="center"/>
                    <w:rPr>
                      <w:rFonts w:hint="eastAsia"/>
                      <w:color w:val="auto"/>
                      <w:kern w:val="0"/>
                      <w:szCs w:val="21"/>
                      <w:highlight w:val="none"/>
                    </w:rPr>
                  </w:pPr>
                  <w:r>
                    <w:rPr>
                      <w:rFonts w:hint="eastAsia"/>
                      <w:color w:val="auto"/>
                      <w:kern w:val="0"/>
                      <w:szCs w:val="21"/>
                      <w:highlight w:val="none"/>
                    </w:rPr>
                    <w:t>0.05</w:t>
                  </w:r>
                </w:p>
              </w:tc>
              <w:tc>
                <w:tcPr>
                  <w:tcW w:w="692" w:type="pct"/>
                  <w:noWrap w:val="0"/>
                  <w:vAlign w:val="center"/>
                </w:tcPr>
                <w:p w14:paraId="3CDD3493">
                  <w:pPr>
                    <w:widowControl/>
                    <w:jc w:val="center"/>
                    <w:rPr>
                      <w:rFonts w:hint="eastAsia"/>
                      <w:color w:val="auto"/>
                      <w:kern w:val="0"/>
                      <w:szCs w:val="21"/>
                      <w:highlight w:val="none"/>
                    </w:rPr>
                  </w:pPr>
                  <w:r>
                    <w:rPr>
                      <w:rFonts w:hint="eastAsia"/>
                      <w:color w:val="auto"/>
                      <w:kern w:val="0"/>
                      <w:szCs w:val="21"/>
                      <w:highlight w:val="none"/>
                      <w:lang w:val="en-US" w:eastAsia="zh-CN"/>
                    </w:rPr>
                    <w:t>新增</w:t>
                  </w:r>
                </w:p>
              </w:tc>
              <w:tc>
                <w:tcPr>
                  <w:tcW w:w="1413" w:type="pct"/>
                  <w:noWrap w:val="0"/>
                  <w:vAlign w:val="center"/>
                </w:tcPr>
                <w:p w14:paraId="438EDAE8">
                  <w:pPr>
                    <w:widowControl/>
                    <w:jc w:val="center"/>
                    <w:rPr>
                      <w:rFonts w:hint="eastAsia"/>
                      <w:color w:val="auto"/>
                      <w:kern w:val="0"/>
                      <w:sz w:val="21"/>
                      <w:szCs w:val="21"/>
                      <w:highlight w:val="none"/>
                      <w:lang w:val="en-US" w:eastAsia="zh-CN" w:bidi="ar-SA"/>
                    </w:rPr>
                  </w:pPr>
                  <w:r>
                    <w:rPr>
                      <w:rFonts w:hint="eastAsia"/>
                      <w:bCs/>
                      <w:color w:val="auto"/>
                      <w:kern w:val="0"/>
                      <w:szCs w:val="21"/>
                      <w:highlight w:val="none"/>
                    </w:rPr>
                    <w:t>固态，对油类具有较好的处理能力</w:t>
                  </w:r>
                </w:p>
              </w:tc>
            </w:tr>
            <w:tr w14:paraId="3B2FB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3586" w:type="pct"/>
                  <w:gridSpan w:val="5"/>
                  <w:noWrap w:val="0"/>
                  <w:vAlign w:val="center"/>
                </w:tcPr>
                <w:p w14:paraId="5C7995AE">
                  <w:pPr>
                    <w:jc w:val="center"/>
                    <w:rPr>
                      <w:b/>
                      <w:bCs/>
                      <w:color w:val="auto"/>
                      <w:szCs w:val="21"/>
                      <w:highlight w:val="none"/>
                    </w:rPr>
                  </w:pPr>
                  <w:r>
                    <w:rPr>
                      <w:rFonts w:hint="eastAsia"/>
                      <w:b/>
                      <w:bCs/>
                      <w:color w:val="auto"/>
                      <w:szCs w:val="21"/>
                      <w:highlight w:val="none"/>
                      <w:lang w:val="en-US" w:eastAsia="zh-CN"/>
                    </w:rPr>
                    <w:t xml:space="preserve">       </w:t>
                  </w:r>
                  <w:r>
                    <w:rPr>
                      <w:b/>
                      <w:bCs/>
                      <w:color w:val="auto"/>
                      <w:szCs w:val="21"/>
                      <w:highlight w:val="none"/>
                    </w:rPr>
                    <w:t>能</w:t>
                  </w:r>
                  <w:r>
                    <w:rPr>
                      <w:rFonts w:hint="eastAsia"/>
                      <w:b/>
                      <w:bCs/>
                      <w:color w:val="auto"/>
                      <w:szCs w:val="21"/>
                      <w:highlight w:val="none"/>
                      <w:lang w:val="en-US" w:eastAsia="zh-CN"/>
                    </w:rPr>
                    <w:t xml:space="preserve">    </w:t>
                  </w:r>
                  <w:r>
                    <w:rPr>
                      <w:b/>
                      <w:bCs/>
                      <w:color w:val="auto"/>
                      <w:szCs w:val="21"/>
                      <w:highlight w:val="none"/>
                    </w:rPr>
                    <w:t>源</w:t>
                  </w:r>
                </w:p>
              </w:tc>
              <w:tc>
                <w:tcPr>
                  <w:tcW w:w="1413" w:type="pct"/>
                  <w:noWrap w:val="0"/>
                  <w:vAlign w:val="center"/>
                </w:tcPr>
                <w:p w14:paraId="35C67E98">
                  <w:pPr>
                    <w:jc w:val="center"/>
                    <w:rPr>
                      <w:b/>
                      <w:bCs/>
                      <w:color w:val="auto"/>
                      <w:szCs w:val="21"/>
                      <w:highlight w:val="none"/>
                    </w:rPr>
                  </w:pPr>
                </w:p>
              </w:tc>
            </w:tr>
            <w:tr w14:paraId="516D8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30" w:type="pct"/>
                  <w:noWrap w:val="0"/>
                  <w:vAlign w:val="center"/>
                </w:tcPr>
                <w:p w14:paraId="074107E8">
                  <w:pPr>
                    <w:pStyle w:val="109"/>
                    <w:spacing w:line="240" w:lineRule="auto"/>
                    <w:rPr>
                      <w:color w:val="auto"/>
                      <w:spacing w:val="-7"/>
                      <w:kern w:val="2"/>
                      <w:highlight w:val="none"/>
                    </w:rPr>
                  </w:pPr>
                  <w:r>
                    <w:rPr>
                      <w:color w:val="auto"/>
                      <w:spacing w:val="-7"/>
                      <w:kern w:val="2"/>
                      <w:highlight w:val="none"/>
                    </w:rPr>
                    <w:t>1</w:t>
                  </w:r>
                </w:p>
              </w:tc>
              <w:tc>
                <w:tcPr>
                  <w:tcW w:w="961" w:type="pct"/>
                  <w:noWrap w:val="0"/>
                  <w:vAlign w:val="center"/>
                </w:tcPr>
                <w:p w14:paraId="18BA4B58">
                  <w:pPr>
                    <w:pStyle w:val="103"/>
                    <w:ind w:left="21" w:leftChars="10" w:right="21" w:rightChars="10"/>
                    <w:rPr>
                      <w:color w:val="auto"/>
                      <w:szCs w:val="21"/>
                      <w:highlight w:val="none"/>
                      <w:lang w:val="en-US"/>
                    </w:rPr>
                  </w:pPr>
                  <w:r>
                    <w:rPr>
                      <w:color w:val="auto"/>
                      <w:szCs w:val="21"/>
                      <w:highlight w:val="none"/>
                      <w:lang w:val="en-US"/>
                    </w:rPr>
                    <w:t>新鲜</w:t>
                  </w:r>
                  <w:r>
                    <w:rPr>
                      <w:color w:val="auto"/>
                      <w:szCs w:val="21"/>
                      <w:highlight w:val="none"/>
                    </w:rPr>
                    <w:t>水</w:t>
                  </w:r>
                </w:p>
              </w:tc>
              <w:tc>
                <w:tcPr>
                  <w:tcW w:w="834" w:type="pct"/>
                  <w:noWrap w:val="0"/>
                  <w:vAlign w:val="center"/>
                </w:tcPr>
                <w:p w14:paraId="06059FA2">
                  <w:pPr>
                    <w:pStyle w:val="103"/>
                    <w:ind w:left="21" w:leftChars="10" w:right="21" w:rightChars="10"/>
                    <w:rPr>
                      <w:color w:val="auto"/>
                      <w:szCs w:val="21"/>
                      <w:highlight w:val="none"/>
                      <w:lang w:val="en-US"/>
                    </w:rPr>
                  </w:pPr>
                  <w:r>
                    <w:rPr>
                      <w:rFonts w:hint="default"/>
                      <w:color w:val="auto"/>
                      <w:szCs w:val="21"/>
                      <w:highlight w:val="none"/>
                      <w:lang w:val="en-US" w:eastAsia="zh-CN"/>
                    </w:rPr>
                    <w:t>294</w:t>
                  </w:r>
                  <w:r>
                    <w:rPr>
                      <w:rFonts w:hint="eastAsia"/>
                      <w:color w:val="auto"/>
                      <w:szCs w:val="21"/>
                      <w:highlight w:val="none"/>
                      <w:lang w:val="en-US" w:eastAsia="zh-CN"/>
                    </w:rPr>
                    <w:t>3.0</w:t>
                  </w:r>
                  <w:r>
                    <w:rPr>
                      <w:rFonts w:hint="default"/>
                      <w:color w:val="auto"/>
                      <w:szCs w:val="21"/>
                      <w:highlight w:val="none"/>
                      <w:lang w:val="en-US"/>
                    </w:rPr>
                    <w:t>m</w:t>
                  </w:r>
                  <w:r>
                    <w:rPr>
                      <w:rFonts w:hint="default"/>
                      <w:color w:val="auto"/>
                      <w:szCs w:val="21"/>
                      <w:highlight w:val="none"/>
                      <w:vertAlign w:val="superscript"/>
                      <w:lang w:val="en-US"/>
                    </w:rPr>
                    <w:t>3</w:t>
                  </w:r>
                  <w:r>
                    <w:rPr>
                      <w:rFonts w:hint="default"/>
                      <w:color w:val="auto"/>
                      <w:szCs w:val="21"/>
                      <w:highlight w:val="none"/>
                      <w:lang w:val="en-US"/>
                    </w:rPr>
                    <w:t>/a</w:t>
                  </w:r>
                </w:p>
              </w:tc>
              <w:tc>
                <w:tcPr>
                  <w:tcW w:w="766" w:type="pct"/>
                  <w:noWrap w:val="0"/>
                  <w:vAlign w:val="center"/>
                </w:tcPr>
                <w:p w14:paraId="31DC9076">
                  <w:pPr>
                    <w:pStyle w:val="103"/>
                    <w:ind w:left="21" w:leftChars="10" w:right="21" w:rightChars="10"/>
                    <w:rPr>
                      <w:rFonts w:hint="default" w:eastAsia="宋体"/>
                      <w:color w:val="auto"/>
                      <w:szCs w:val="21"/>
                      <w:highlight w:val="none"/>
                      <w:lang w:val="en-US" w:eastAsia="zh-CN"/>
                    </w:rPr>
                  </w:pPr>
                  <w:r>
                    <w:rPr>
                      <w:rFonts w:hint="eastAsia"/>
                      <w:color w:val="auto"/>
                      <w:szCs w:val="21"/>
                      <w:highlight w:val="none"/>
                      <w:lang w:val="en-US" w:eastAsia="zh-CN"/>
                    </w:rPr>
                    <w:t>2943.0m</w:t>
                  </w:r>
                  <w:r>
                    <w:rPr>
                      <w:rFonts w:hint="eastAsia"/>
                      <w:color w:val="auto"/>
                      <w:szCs w:val="21"/>
                      <w:highlight w:val="none"/>
                      <w:vertAlign w:val="superscript"/>
                      <w:lang w:val="en-US" w:eastAsia="zh-CN"/>
                    </w:rPr>
                    <w:t>3</w:t>
                  </w:r>
                  <w:r>
                    <w:rPr>
                      <w:rFonts w:hint="eastAsia"/>
                      <w:color w:val="auto"/>
                      <w:szCs w:val="21"/>
                      <w:highlight w:val="none"/>
                      <w:lang w:val="en-US" w:eastAsia="zh-CN"/>
                    </w:rPr>
                    <w:t>/a</w:t>
                  </w:r>
                </w:p>
              </w:tc>
              <w:tc>
                <w:tcPr>
                  <w:tcW w:w="692" w:type="pct"/>
                  <w:noWrap w:val="0"/>
                  <w:vAlign w:val="center"/>
                </w:tcPr>
                <w:p w14:paraId="2348E27F">
                  <w:pPr>
                    <w:pStyle w:val="103"/>
                    <w:ind w:left="21" w:leftChars="10" w:right="21" w:rightChars="10"/>
                    <w:rPr>
                      <w:rFonts w:hint="default" w:eastAsia="宋体"/>
                      <w:color w:val="auto"/>
                      <w:szCs w:val="21"/>
                      <w:highlight w:val="none"/>
                      <w:lang w:val="en-US" w:eastAsia="zh-CN"/>
                    </w:rPr>
                  </w:pPr>
                  <w:r>
                    <w:rPr>
                      <w:rFonts w:hint="eastAsia"/>
                      <w:color w:val="auto"/>
                      <w:szCs w:val="21"/>
                      <w:highlight w:val="none"/>
                      <w:lang w:val="en-US" w:eastAsia="zh-CN"/>
                    </w:rPr>
                    <w:t>不变</w:t>
                  </w:r>
                </w:p>
              </w:tc>
              <w:tc>
                <w:tcPr>
                  <w:tcW w:w="1413" w:type="pct"/>
                  <w:noWrap w:val="0"/>
                  <w:vAlign w:val="center"/>
                </w:tcPr>
                <w:p w14:paraId="52C1830F">
                  <w:pPr>
                    <w:pStyle w:val="103"/>
                    <w:ind w:left="21" w:leftChars="10" w:right="21" w:rightChars="10"/>
                    <w:rPr>
                      <w:rFonts w:hint="default" w:eastAsia="宋体"/>
                      <w:color w:val="auto"/>
                      <w:szCs w:val="21"/>
                      <w:highlight w:val="none"/>
                      <w:lang w:val="en-US" w:eastAsia="zh-CN"/>
                    </w:rPr>
                  </w:pPr>
                  <w:r>
                    <w:rPr>
                      <w:rFonts w:hint="eastAsia"/>
                      <w:color w:val="auto"/>
                      <w:szCs w:val="21"/>
                      <w:highlight w:val="none"/>
                      <w:lang w:val="en-US" w:eastAsia="zh-CN"/>
                    </w:rPr>
                    <w:t>园区管道供水</w:t>
                  </w:r>
                </w:p>
              </w:tc>
            </w:tr>
            <w:tr w14:paraId="0492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30" w:type="pct"/>
                  <w:noWrap w:val="0"/>
                  <w:vAlign w:val="center"/>
                </w:tcPr>
                <w:p w14:paraId="58EFF76B">
                  <w:pPr>
                    <w:pStyle w:val="109"/>
                    <w:spacing w:line="240" w:lineRule="auto"/>
                    <w:rPr>
                      <w:color w:val="auto"/>
                      <w:spacing w:val="-7"/>
                      <w:kern w:val="2"/>
                      <w:highlight w:val="none"/>
                    </w:rPr>
                  </w:pPr>
                </w:p>
              </w:tc>
              <w:tc>
                <w:tcPr>
                  <w:tcW w:w="961" w:type="pct"/>
                  <w:noWrap w:val="0"/>
                  <w:vAlign w:val="center"/>
                </w:tcPr>
                <w:p w14:paraId="62A049B8">
                  <w:pPr>
                    <w:pStyle w:val="103"/>
                    <w:ind w:left="21" w:leftChars="10" w:right="21" w:rightChars="10"/>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纯水</w:t>
                  </w:r>
                </w:p>
              </w:tc>
              <w:tc>
                <w:tcPr>
                  <w:tcW w:w="834" w:type="pct"/>
                  <w:noWrap w:val="0"/>
                  <w:vAlign w:val="center"/>
                </w:tcPr>
                <w:p w14:paraId="564BE815">
                  <w:pPr>
                    <w:pStyle w:val="103"/>
                    <w:ind w:left="21" w:leftChars="10" w:right="21" w:rightChars="10"/>
                    <w:rPr>
                      <w:rFonts w:hint="default"/>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0</w:t>
                  </w:r>
                </w:p>
              </w:tc>
              <w:tc>
                <w:tcPr>
                  <w:tcW w:w="766" w:type="pct"/>
                  <w:noWrap w:val="0"/>
                  <w:vAlign w:val="center"/>
                </w:tcPr>
                <w:p w14:paraId="31516101">
                  <w:pPr>
                    <w:pStyle w:val="103"/>
                    <w:ind w:left="21" w:leftChars="10" w:right="21" w:rightChars="10"/>
                    <w:rPr>
                      <w:rFonts w:hint="eastAsia"/>
                      <w:color w:val="000000" w:themeColor="text1"/>
                      <w:szCs w:val="21"/>
                      <w:highlight w:val="none"/>
                      <w:lang w:val="en-US" w:eastAsia="zh-CN"/>
                      <w14:textFill>
                        <w14:solidFill>
                          <w14:schemeClr w14:val="tx1"/>
                        </w14:solidFill>
                      </w14:textFill>
                    </w:rPr>
                  </w:pPr>
                  <w:r>
                    <w:rPr>
                      <w:rFonts w:hint="eastAsia"/>
                      <w:color w:val="000000" w:themeColor="text1"/>
                      <w:kern w:val="0"/>
                      <w:szCs w:val="21"/>
                      <w:highlight w:val="none"/>
                      <w:lang w:val="en-US" w:eastAsia="zh-CN"/>
                      <w14:textFill>
                        <w14:solidFill>
                          <w14:schemeClr w14:val="tx1"/>
                        </w14:solidFill>
                      </w14:textFill>
                    </w:rPr>
                    <w:t>27.9</w:t>
                  </w:r>
                  <w:r>
                    <w:rPr>
                      <w:rFonts w:hint="eastAsia"/>
                      <w:color w:val="000000" w:themeColor="text1"/>
                      <w:kern w:val="0"/>
                      <w:szCs w:val="21"/>
                      <w:highlight w:val="none"/>
                      <w14:textFill>
                        <w14:solidFill>
                          <w14:schemeClr w14:val="tx1"/>
                        </w14:solidFill>
                      </w14:textFill>
                    </w:rPr>
                    <w:t>m</w:t>
                  </w:r>
                  <w:r>
                    <w:rPr>
                      <w:rFonts w:hint="eastAsia"/>
                      <w:color w:val="000000" w:themeColor="text1"/>
                      <w:kern w:val="0"/>
                      <w:szCs w:val="21"/>
                      <w:highlight w:val="none"/>
                      <w:vertAlign w:val="superscript"/>
                      <w14:textFill>
                        <w14:solidFill>
                          <w14:schemeClr w14:val="tx1"/>
                        </w14:solidFill>
                      </w14:textFill>
                    </w:rPr>
                    <w:t>3</w:t>
                  </w:r>
                  <w:r>
                    <w:rPr>
                      <w:rFonts w:hint="eastAsia"/>
                      <w:color w:val="000000" w:themeColor="text1"/>
                      <w:kern w:val="0"/>
                      <w:szCs w:val="21"/>
                      <w:highlight w:val="none"/>
                      <w14:textFill>
                        <w14:solidFill>
                          <w14:schemeClr w14:val="tx1"/>
                        </w14:solidFill>
                      </w14:textFill>
                    </w:rPr>
                    <w:t>/a</w:t>
                  </w:r>
                </w:p>
              </w:tc>
              <w:tc>
                <w:tcPr>
                  <w:tcW w:w="692" w:type="pct"/>
                  <w:noWrap w:val="0"/>
                  <w:vAlign w:val="center"/>
                </w:tcPr>
                <w:p w14:paraId="78511FB8">
                  <w:pPr>
                    <w:pStyle w:val="103"/>
                    <w:ind w:left="21" w:leftChars="10" w:right="21" w:rightChars="10"/>
                    <w:rPr>
                      <w:rFonts w:hint="eastAsia"/>
                      <w:color w:val="auto"/>
                      <w:szCs w:val="21"/>
                      <w:highlight w:val="none"/>
                      <w:lang w:val="en-US" w:eastAsia="zh-CN"/>
                    </w:rPr>
                  </w:pPr>
                  <w:r>
                    <w:rPr>
                      <w:rFonts w:hint="eastAsia"/>
                      <w:color w:val="auto"/>
                      <w:szCs w:val="21"/>
                      <w:highlight w:val="none"/>
                      <w:lang w:val="en-US" w:eastAsia="zh-CN"/>
                    </w:rPr>
                    <w:t>增加</w:t>
                  </w:r>
                </w:p>
              </w:tc>
              <w:tc>
                <w:tcPr>
                  <w:tcW w:w="1413" w:type="pct"/>
                  <w:noWrap w:val="0"/>
                  <w:vAlign w:val="center"/>
                </w:tcPr>
                <w:p w14:paraId="59343F5D">
                  <w:pPr>
                    <w:pStyle w:val="103"/>
                    <w:ind w:left="21" w:leftChars="10" w:right="21" w:rightChars="10"/>
                    <w:rPr>
                      <w:rFonts w:hint="default"/>
                      <w:color w:val="auto"/>
                      <w:szCs w:val="21"/>
                      <w:highlight w:val="none"/>
                      <w:lang w:val="en-US" w:eastAsia="zh-CN"/>
                    </w:rPr>
                  </w:pPr>
                  <w:r>
                    <w:rPr>
                      <w:rFonts w:hint="eastAsia"/>
                      <w:color w:val="auto"/>
                      <w:szCs w:val="21"/>
                      <w:highlight w:val="none"/>
                      <w:lang w:val="en-US" w:eastAsia="zh-CN"/>
                    </w:rPr>
                    <w:t>采用外购方式</w:t>
                  </w:r>
                </w:p>
              </w:tc>
            </w:tr>
            <w:tr w14:paraId="39213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330" w:type="pct"/>
                  <w:noWrap w:val="0"/>
                  <w:vAlign w:val="center"/>
                </w:tcPr>
                <w:p w14:paraId="28381FDC">
                  <w:pPr>
                    <w:pStyle w:val="109"/>
                    <w:spacing w:line="240" w:lineRule="auto"/>
                    <w:rPr>
                      <w:rFonts w:hint="eastAsia" w:eastAsia="宋体"/>
                      <w:color w:val="000000" w:themeColor="text1"/>
                      <w:spacing w:val="-7"/>
                      <w:kern w:val="2"/>
                      <w:highlight w:val="none"/>
                      <w:lang w:eastAsia="zh-CN"/>
                      <w14:textFill>
                        <w14:solidFill>
                          <w14:schemeClr w14:val="tx1"/>
                        </w14:solidFill>
                      </w14:textFill>
                    </w:rPr>
                  </w:pPr>
                  <w:r>
                    <w:rPr>
                      <w:rFonts w:hint="eastAsia"/>
                      <w:color w:val="000000" w:themeColor="text1"/>
                      <w:spacing w:val="-7"/>
                      <w:kern w:val="2"/>
                      <w:highlight w:val="none"/>
                      <w:lang w:val="en-US" w:eastAsia="zh-CN"/>
                      <w14:textFill>
                        <w14:solidFill>
                          <w14:schemeClr w14:val="tx1"/>
                        </w14:solidFill>
                      </w14:textFill>
                    </w:rPr>
                    <w:t>2</w:t>
                  </w:r>
                </w:p>
              </w:tc>
              <w:tc>
                <w:tcPr>
                  <w:tcW w:w="961" w:type="pct"/>
                  <w:noWrap w:val="0"/>
                  <w:vAlign w:val="center"/>
                </w:tcPr>
                <w:p w14:paraId="350E87BB">
                  <w:pPr>
                    <w:pStyle w:val="103"/>
                    <w:ind w:left="21" w:leftChars="10" w:right="21" w:rightChars="10"/>
                    <w:rPr>
                      <w:color w:val="000000" w:themeColor="text1"/>
                      <w:szCs w:val="21"/>
                      <w:highlight w:val="none"/>
                      <w:lang w:val="en-US"/>
                      <w14:textFill>
                        <w14:solidFill>
                          <w14:schemeClr w14:val="tx1"/>
                        </w14:solidFill>
                      </w14:textFill>
                    </w:rPr>
                  </w:pPr>
                  <w:r>
                    <w:rPr>
                      <w:color w:val="000000" w:themeColor="text1"/>
                      <w:szCs w:val="21"/>
                      <w:highlight w:val="none"/>
                      <w14:textFill>
                        <w14:solidFill>
                          <w14:schemeClr w14:val="tx1"/>
                        </w14:solidFill>
                      </w14:textFill>
                    </w:rPr>
                    <w:t>电</w:t>
                  </w:r>
                </w:p>
              </w:tc>
              <w:tc>
                <w:tcPr>
                  <w:tcW w:w="834" w:type="pct"/>
                  <w:noWrap w:val="0"/>
                  <w:vAlign w:val="center"/>
                </w:tcPr>
                <w:p w14:paraId="3D1BE5AC">
                  <w:pPr>
                    <w:pStyle w:val="103"/>
                    <w:ind w:left="21" w:leftChars="10" w:right="21" w:rightChars="10"/>
                    <w:rPr>
                      <w:color w:val="000000" w:themeColor="text1"/>
                      <w:szCs w:val="21"/>
                      <w:highlight w:val="none"/>
                      <w:lang w:val="en-US"/>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380</w:t>
                  </w:r>
                  <w:r>
                    <w:rPr>
                      <w:color w:val="000000" w:themeColor="text1"/>
                      <w:szCs w:val="21"/>
                      <w:highlight w:val="none"/>
                      <w14:textFill>
                        <w14:solidFill>
                          <w14:schemeClr w14:val="tx1"/>
                        </w14:solidFill>
                      </w14:textFill>
                    </w:rPr>
                    <w:t>万</w:t>
                  </w:r>
                  <w:r>
                    <w:rPr>
                      <w:color w:val="000000" w:themeColor="text1"/>
                      <w:szCs w:val="21"/>
                      <w:highlight w:val="none"/>
                      <w:lang w:val="en-US"/>
                      <w14:textFill>
                        <w14:solidFill>
                          <w14:schemeClr w14:val="tx1"/>
                        </w14:solidFill>
                      </w14:textFill>
                    </w:rPr>
                    <w:t>Kw·h/a</w:t>
                  </w:r>
                </w:p>
              </w:tc>
              <w:tc>
                <w:tcPr>
                  <w:tcW w:w="766" w:type="pct"/>
                  <w:noWrap w:val="0"/>
                  <w:vAlign w:val="center"/>
                </w:tcPr>
                <w:p w14:paraId="45A602CC">
                  <w:pPr>
                    <w:pStyle w:val="103"/>
                    <w:ind w:left="21" w:leftChars="10" w:right="21" w:rightChars="10"/>
                    <w:jc w:val="center"/>
                    <w:rPr>
                      <w:color w:val="000000" w:themeColor="text1"/>
                      <w:szCs w:val="21"/>
                      <w:highlight w:val="none"/>
                      <w:lang w:val="en-US"/>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425</w:t>
                  </w:r>
                  <w:r>
                    <w:rPr>
                      <w:color w:val="000000" w:themeColor="text1"/>
                      <w:szCs w:val="21"/>
                      <w:highlight w:val="none"/>
                      <w14:textFill>
                        <w14:solidFill>
                          <w14:schemeClr w14:val="tx1"/>
                        </w14:solidFill>
                      </w14:textFill>
                    </w:rPr>
                    <w:t>万</w:t>
                  </w:r>
                  <w:r>
                    <w:rPr>
                      <w:color w:val="000000" w:themeColor="text1"/>
                      <w:szCs w:val="21"/>
                      <w:highlight w:val="none"/>
                      <w:lang w:val="en-US"/>
                      <w14:textFill>
                        <w14:solidFill>
                          <w14:schemeClr w14:val="tx1"/>
                        </w14:solidFill>
                      </w14:textFill>
                    </w:rPr>
                    <w:t>Kw·h/a</w:t>
                  </w:r>
                </w:p>
              </w:tc>
              <w:tc>
                <w:tcPr>
                  <w:tcW w:w="692" w:type="pct"/>
                  <w:noWrap w:val="0"/>
                  <w:vAlign w:val="center"/>
                </w:tcPr>
                <w:p w14:paraId="7AFAFBC0">
                  <w:pPr>
                    <w:pStyle w:val="103"/>
                    <w:ind w:left="21" w:leftChars="10" w:right="21" w:rightChars="10"/>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增加</w:t>
                  </w:r>
                </w:p>
              </w:tc>
              <w:tc>
                <w:tcPr>
                  <w:tcW w:w="1413" w:type="pct"/>
                  <w:noWrap w:val="0"/>
                  <w:vAlign w:val="center"/>
                </w:tcPr>
                <w:p w14:paraId="3E4809F5">
                  <w:pPr>
                    <w:pStyle w:val="103"/>
                    <w:ind w:left="21" w:leftChars="10" w:right="21" w:rightChars="10"/>
                    <w:rPr>
                      <w:rFonts w:ascii="Times New Roman" w:hAnsi="Times New Roman" w:eastAsia="宋体"/>
                      <w:color w:val="000000" w:themeColor="text1"/>
                      <w:kern w:val="0"/>
                      <w:sz w:val="21"/>
                      <w:szCs w:val="21"/>
                      <w:highlight w:val="none"/>
                      <w:lang w:val="en-US" w:eastAsia="zh-CN" w:bidi="ar-SA"/>
                      <w14:textFill>
                        <w14:solidFill>
                          <w14:schemeClr w14:val="tx1"/>
                        </w14:solidFill>
                      </w14:textFill>
                    </w:rPr>
                  </w:pPr>
                  <w:r>
                    <w:rPr>
                      <w:color w:val="000000" w:themeColor="text1"/>
                      <w:szCs w:val="21"/>
                      <w:highlight w:val="none"/>
                      <w:lang w:val="en-US"/>
                      <w14:textFill>
                        <w14:solidFill>
                          <w14:schemeClr w14:val="tx1"/>
                        </w14:solidFill>
                      </w14:textFill>
                    </w:rPr>
                    <w:t>园区供电线路</w:t>
                  </w:r>
                </w:p>
              </w:tc>
            </w:tr>
            <w:tr w14:paraId="67BB2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330" w:type="pct"/>
                  <w:noWrap w:val="0"/>
                  <w:vAlign w:val="center"/>
                </w:tcPr>
                <w:p w14:paraId="0626FA2B">
                  <w:pPr>
                    <w:pStyle w:val="109"/>
                    <w:spacing w:line="240" w:lineRule="auto"/>
                    <w:rPr>
                      <w:rFonts w:hint="eastAsia" w:eastAsia="宋体"/>
                      <w:strike/>
                      <w:dstrike w:val="0"/>
                      <w:color w:val="auto"/>
                      <w:spacing w:val="-7"/>
                      <w:kern w:val="2"/>
                      <w:highlight w:val="none"/>
                      <w:lang w:val="en-US" w:eastAsia="zh-CN"/>
                    </w:rPr>
                  </w:pPr>
                  <w:r>
                    <w:rPr>
                      <w:rFonts w:hint="eastAsia"/>
                      <w:strike w:val="0"/>
                      <w:dstrike w:val="0"/>
                      <w:color w:val="auto"/>
                      <w:spacing w:val="-7"/>
                      <w:kern w:val="2"/>
                      <w:highlight w:val="none"/>
                      <w:lang w:val="en-US" w:eastAsia="zh-CN"/>
                    </w:rPr>
                    <w:t>3</w:t>
                  </w:r>
                </w:p>
              </w:tc>
              <w:tc>
                <w:tcPr>
                  <w:tcW w:w="961" w:type="pct"/>
                  <w:noWrap w:val="0"/>
                  <w:vAlign w:val="center"/>
                </w:tcPr>
                <w:p w14:paraId="6B070BAA">
                  <w:pPr>
                    <w:pStyle w:val="103"/>
                    <w:ind w:left="21" w:leftChars="10" w:right="21" w:rightChars="10"/>
                    <w:rPr>
                      <w:rFonts w:hint="eastAsia" w:eastAsia="宋体"/>
                      <w:strike w:val="0"/>
                      <w:dstrike w:val="0"/>
                      <w:color w:val="auto"/>
                      <w:szCs w:val="21"/>
                      <w:highlight w:val="none"/>
                      <w:lang w:val="en-US" w:eastAsia="zh-CN"/>
                    </w:rPr>
                  </w:pPr>
                  <w:r>
                    <w:rPr>
                      <w:rFonts w:hint="eastAsia"/>
                      <w:strike w:val="0"/>
                      <w:dstrike w:val="0"/>
                      <w:color w:val="auto"/>
                      <w:szCs w:val="21"/>
                      <w:highlight w:val="none"/>
                      <w:lang w:val="en-US" w:eastAsia="zh-CN"/>
                    </w:rPr>
                    <w:t>天然气</w:t>
                  </w:r>
                </w:p>
              </w:tc>
              <w:tc>
                <w:tcPr>
                  <w:tcW w:w="834" w:type="pct"/>
                  <w:noWrap w:val="0"/>
                  <w:vAlign w:val="center"/>
                </w:tcPr>
                <w:p w14:paraId="4890B3A2">
                  <w:pPr>
                    <w:pStyle w:val="103"/>
                    <w:ind w:left="21" w:leftChars="10" w:right="21" w:rightChars="10"/>
                    <w:rPr>
                      <w:rFonts w:hint="default" w:eastAsia="宋体"/>
                      <w:strike w:val="0"/>
                      <w:dstrike w:val="0"/>
                      <w:color w:val="auto"/>
                      <w:szCs w:val="21"/>
                      <w:highlight w:val="none"/>
                      <w:lang w:val="en-US" w:eastAsia="zh-CN"/>
                    </w:rPr>
                  </w:pPr>
                  <w:r>
                    <w:rPr>
                      <w:rFonts w:hint="eastAsia"/>
                      <w:strike w:val="0"/>
                      <w:dstrike w:val="0"/>
                      <w:color w:val="auto"/>
                      <w:szCs w:val="21"/>
                      <w:highlight w:val="none"/>
                      <w:lang w:val="en-US" w:eastAsia="zh-CN"/>
                    </w:rPr>
                    <w:t>43000</w:t>
                  </w:r>
                  <w:r>
                    <w:rPr>
                      <w:strike w:val="0"/>
                      <w:dstrike w:val="0"/>
                      <w:color w:val="auto"/>
                      <w:szCs w:val="21"/>
                      <w:highlight w:val="none"/>
                      <w:lang w:val="en-US"/>
                    </w:rPr>
                    <w:t>m</w:t>
                  </w:r>
                  <w:r>
                    <w:rPr>
                      <w:strike w:val="0"/>
                      <w:dstrike w:val="0"/>
                      <w:color w:val="auto"/>
                      <w:szCs w:val="21"/>
                      <w:highlight w:val="none"/>
                      <w:vertAlign w:val="superscript"/>
                      <w:lang w:val="en-US"/>
                    </w:rPr>
                    <w:t>3</w:t>
                  </w:r>
                  <w:r>
                    <w:rPr>
                      <w:strike w:val="0"/>
                      <w:dstrike w:val="0"/>
                      <w:color w:val="auto"/>
                      <w:szCs w:val="21"/>
                      <w:highlight w:val="none"/>
                      <w:lang w:val="en-US"/>
                    </w:rPr>
                    <w:t>/a</w:t>
                  </w:r>
                </w:p>
              </w:tc>
              <w:tc>
                <w:tcPr>
                  <w:tcW w:w="766" w:type="pct"/>
                  <w:noWrap w:val="0"/>
                  <w:vAlign w:val="center"/>
                </w:tcPr>
                <w:p w14:paraId="1BA6BE89">
                  <w:pPr>
                    <w:pStyle w:val="103"/>
                    <w:ind w:left="21" w:leftChars="10" w:right="21" w:rightChars="10"/>
                    <w:jc w:val="center"/>
                    <w:rPr>
                      <w:rFonts w:hint="eastAsia"/>
                      <w:strike w:val="0"/>
                      <w:dstrike w:val="0"/>
                      <w:color w:val="auto"/>
                      <w:szCs w:val="21"/>
                      <w:highlight w:val="none"/>
                      <w:lang w:val="en-US"/>
                    </w:rPr>
                  </w:pPr>
                  <w:r>
                    <w:rPr>
                      <w:rFonts w:hint="eastAsia"/>
                      <w:strike w:val="0"/>
                      <w:dstrike w:val="0"/>
                      <w:color w:val="auto"/>
                      <w:szCs w:val="21"/>
                      <w:highlight w:val="none"/>
                      <w:lang w:val="en-US" w:eastAsia="zh-CN"/>
                    </w:rPr>
                    <w:t>43000</w:t>
                  </w:r>
                  <w:r>
                    <w:rPr>
                      <w:strike w:val="0"/>
                      <w:dstrike w:val="0"/>
                      <w:color w:val="auto"/>
                      <w:szCs w:val="21"/>
                      <w:highlight w:val="none"/>
                      <w:lang w:val="en-US"/>
                    </w:rPr>
                    <w:t>m</w:t>
                  </w:r>
                  <w:r>
                    <w:rPr>
                      <w:strike w:val="0"/>
                      <w:dstrike w:val="0"/>
                      <w:color w:val="auto"/>
                      <w:szCs w:val="21"/>
                      <w:highlight w:val="none"/>
                      <w:vertAlign w:val="superscript"/>
                      <w:lang w:val="en-US"/>
                    </w:rPr>
                    <w:t>3</w:t>
                  </w:r>
                  <w:r>
                    <w:rPr>
                      <w:strike w:val="0"/>
                      <w:dstrike w:val="0"/>
                      <w:color w:val="auto"/>
                      <w:szCs w:val="21"/>
                      <w:highlight w:val="none"/>
                      <w:lang w:val="en-US"/>
                    </w:rPr>
                    <w:t>/a</w:t>
                  </w:r>
                </w:p>
              </w:tc>
              <w:tc>
                <w:tcPr>
                  <w:tcW w:w="692" w:type="pct"/>
                  <w:noWrap w:val="0"/>
                  <w:vAlign w:val="center"/>
                </w:tcPr>
                <w:p w14:paraId="2E7BDEE1">
                  <w:pPr>
                    <w:pStyle w:val="103"/>
                    <w:ind w:left="21" w:leftChars="10" w:right="21" w:rightChars="10"/>
                    <w:rPr>
                      <w:rFonts w:hint="eastAsia"/>
                      <w:strike w:val="0"/>
                      <w:dstrike w:val="0"/>
                      <w:color w:val="auto"/>
                      <w:szCs w:val="21"/>
                      <w:highlight w:val="none"/>
                      <w:lang w:val="en-US" w:eastAsia="zh-CN"/>
                    </w:rPr>
                  </w:pPr>
                  <w:r>
                    <w:rPr>
                      <w:rFonts w:hint="eastAsia"/>
                      <w:strike w:val="0"/>
                      <w:dstrike w:val="0"/>
                      <w:color w:val="auto"/>
                      <w:szCs w:val="21"/>
                      <w:highlight w:val="none"/>
                      <w:lang w:val="en-US"/>
                    </w:rPr>
                    <w:t>不变</w:t>
                  </w:r>
                </w:p>
              </w:tc>
              <w:tc>
                <w:tcPr>
                  <w:tcW w:w="1413" w:type="pct"/>
                  <w:noWrap w:val="0"/>
                  <w:vAlign w:val="center"/>
                </w:tcPr>
                <w:p w14:paraId="1B9313EE">
                  <w:pPr>
                    <w:pStyle w:val="103"/>
                    <w:ind w:left="21" w:leftChars="10" w:right="21" w:rightChars="10"/>
                    <w:rPr>
                      <w:rFonts w:hint="default" w:eastAsia="宋体"/>
                      <w:strike w:val="0"/>
                      <w:dstrike w:val="0"/>
                      <w:color w:val="auto"/>
                      <w:szCs w:val="21"/>
                      <w:highlight w:val="none"/>
                      <w:lang w:val="en-US" w:eastAsia="zh-CN"/>
                    </w:rPr>
                  </w:pPr>
                  <w:r>
                    <w:rPr>
                      <w:rFonts w:hint="eastAsia"/>
                      <w:strike w:val="0"/>
                      <w:dstrike w:val="0"/>
                      <w:color w:val="auto"/>
                      <w:szCs w:val="21"/>
                      <w:highlight w:val="none"/>
                      <w:lang w:val="en-US" w:eastAsia="zh-CN"/>
                    </w:rPr>
                    <w:t>园区管道供气</w:t>
                  </w:r>
                </w:p>
              </w:tc>
            </w:tr>
          </w:tbl>
          <w:p w14:paraId="048E5ECF">
            <w:pPr>
              <w:pStyle w:val="6"/>
              <w:spacing w:line="360" w:lineRule="auto"/>
              <w:ind w:firstLine="480"/>
              <w:rPr>
                <w:rFonts w:hint="eastAsia" w:ascii="Times New Roman" w:hAnsi="Times New Roman" w:eastAsia="宋体" w:cs="Times New Roman"/>
                <w:b w:val="0"/>
                <w:bCs w:val="0"/>
                <w:color w:val="auto"/>
                <w:kern w:val="2"/>
                <w:sz w:val="24"/>
                <w:szCs w:val="24"/>
                <w:highlight w:val="none"/>
                <w:lang w:val="en-US" w:eastAsia="zh-CN" w:bidi="ar-SA"/>
              </w:rPr>
            </w:pPr>
          </w:p>
          <w:p w14:paraId="66EAB8B8">
            <w:pPr>
              <w:pStyle w:val="6"/>
              <w:spacing w:line="360" w:lineRule="auto"/>
              <w:ind w:firstLine="480"/>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kern w:val="2"/>
                <w:sz w:val="24"/>
                <w:szCs w:val="24"/>
                <w:highlight w:val="none"/>
                <w:lang w:val="en-US" w:eastAsia="zh-CN" w:bidi="ar-SA"/>
                <w14:textFill>
                  <w14:solidFill>
                    <w14:schemeClr w14:val="tx1"/>
                  </w14:solidFill>
                </w14:textFill>
              </w:rPr>
              <w:t>（1）重油垢清洗剂：</w:t>
            </w:r>
          </w:p>
          <w:p w14:paraId="57E6667B">
            <w:pPr>
              <w:pStyle w:val="6"/>
              <w:spacing w:line="360" w:lineRule="auto"/>
              <w:ind w:firstLine="480"/>
              <w:rPr>
                <w:rFonts w:hint="eastAsia"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重油垢清洗剂为混合物，无色至淡黄色液体</w:t>
            </w:r>
            <w:r>
              <w:rPr>
                <w:rFonts w:hint="eastAsia" w:cs="Times New Roman"/>
                <w:b w:val="0"/>
                <w:bCs w:val="0"/>
                <w:color w:val="auto"/>
                <w:kern w:val="2"/>
                <w:sz w:val="24"/>
                <w:szCs w:val="24"/>
                <w:highlight w:val="none"/>
                <w:lang w:val="en-US" w:eastAsia="zh-CN" w:bidi="ar-SA"/>
              </w:rPr>
              <w:t>；原液ph值10-13，沸点＞98℃，任意比例溶于水。</w:t>
            </w:r>
            <w:r>
              <w:rPr>
                <w:rFonts w:hint="eastAsia" w:ascii="Times New Roman" w:hAnsi="Times New Roman" w:eastAsia="宋体" w:cs="Times New Roman"/>
                <w:b w:val="0"/>
                <w:bCs w:val="0"/>
                <w:color w:val="auto"/>
                <w:kern w:val="2"/>
                <w:sz w:val="24"/>
                <w:szCs w:val="24"/>
                <w:highlight w:val="none"/>
                <w:lang w:val="en-US" w:eastAsia="zh-CN" w:bidi="ar-SA"/>
              </w:rPr>
              <w:t>可用于清洗钢件、铸铁件、铝合金件并有短期防锈作用</w:t>
            </w:r>
            <w:r>
              <w:rPr>
                <w:rFonts w:hint="eastAsia" w:cs="Times New Roman"/>
                <w:b w:val="0"/>
                <w:bCs w:val="0"/>
                <w:color w:val="auto"/>
                <w:kern w:val="2"/>
                <w:sz w:val="24"/>
                <w:szCs w:val="24"/>
                <w:highlight w:val="none"/>
                <w:lang w:val="en-US" w:eastAsia="zh-CN" w:bidi="ar-SA"/>
              </w:rPr>
              <w:t>，</w:t>
            </w:r>
            <w:r>
              <w:rPr>
                <w:rFonts w:hint="eastAsia" w:ascii="Times New Roman" w:hAnsi="Times New Roman" w:eastAsia="宋体" w:cs="Times New Roman"/>
                <w:b w:val="0"/>
                <w:bCs w:val="0"/>
                <w:color w:val="auto"/>
                <w:kern w:val="2"/>
                <w:sz w:val="24"/>
                <w:szCs w:val="24"/>
                <w:highlight w:val="none"/>
                <w:lang w:val="en-US" w:eastAsia="zh-CN" w:bidi="ar-SA"/>
              </w:rPr>
              <w:t>无色无刺激性气味液体，本品属弱碱性化学品，稳定遇水无反应，无燃爆危险。其组分见下表。</w:t>
            </w:r>
          </w:p>
          <w:p w14:paraId="3C9C3125">
            <w:pPr>
              <w:pStyle w:val="91"/>
              <w:numPr>
                <w:ilvl w:val="0"/>
                <w:numId w:val="0"/>
              </w:numPr>
              <w:spacing w:line="360" w:lineRule="auto"/>
              <w:jc w:val="center"/>
              <w:rPr>
                <w:bCs/>
                <w:color w:val="auto"/>
                <w:highlight w:val="none"/>
              </w:rPr>
            </w:pPr>
            <w:r>
              <w:rPr>
                <w:bCs/>
                <w:color w:val="auto"/>
                <w:highlight w:val="none"/>
              </w:rPr>
              <w:t>表2</w:t>
            </w:r>
            <w:r>
              <w:rPr>
                <w:rFonts w:hint="eastAsia"/>
                <w:bCs/>
                <w:color w:val="auto"/>
                <w:highlight w:val="none"/>
              </w:rPr>
              <w:t>-</w:t>
            </w:r>
            <w:r>
              <w:rPr>
                <w:rFonts w:hint="eastAsia"/>
                <w:bCs/>
                <w:color w:val="auto"/>
                <w:highlight w:val="none"/>
                <w:lang w:val="en-US" w:eastAsia="zh-CN"/>
              </w:rPr>
              <w:t>10</w:t>
            </w:r>
            <w:r>
              <w:rPr>
                <w:bCs/>
                <w:color w:val="auto"/>
                <w:highlight w:val="none"/>
              </w:rPr>
              <w:t xml:space="preserve">    </w:t>
            </w:r>
            <w:r>
              <w:rPr>
                <w:rFonts w:hint="eastAsia"/>
                <w:color w:val="auto"/>
                <w:highlight w:val="none"/>
              </w:rPr>
              <w:t>重油垢清洗剂组成成分表</w:t>
            </w:r>
          </w:p>
          <w:tbl>
            <w:tblPr>
              <w:tblStyle w:val="3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79"/>
              <w:gridCol w:w="1791"/>
              <w:gridCol w:w="1730"/>
              <w:gridCol w:w="1396"/>
            </w:tblGrid>
            <w:tr w14:paraId="29922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2036" w:type="pct"/>
                  <w:noWrap w:val="0"/>
                  <w:vAlign w:val="center"/>
                </w:tcPr>
                <w:p w14:paraId="165458F3">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组分</w:t>
                  </w:r>
                </w:p>
              </w:tc>
              <w:tc>
                <w:tcPr>
                  <w:tcW w:w="1079" w:type="pct"/>
                  <w:noWrap w:val="0"/>
                  <w:vAlign w:val="center"/>
                </w:tcPr>
                <w:p w14:paraId="125CE3F7">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质量分数%</w:t>
                  </w:r>
                </w:p>
              </w:tc>
              <w:tc>
                <w:tcPr>
                  <w:tcW w:w="1042" w:type="pct"/>
                  <w:noWrap w:val="0"/>
                  <w:vAlign w:val="center"/>
                </w:tcPr>
                <w:p w14:paraId="1A0B7A03">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CAS NO.</w:t>
                  </w:r>
                </w:p>
              </w:tc>
              <w:tc>
                <w:tcPr>
                  <w:tcW w:w="841" w:type="pct"/>
                  <w:noWrap w:val="0"/>
                  <w:vAlign w:val="center"/>
                </w:tcPr>
                <w:p w14:paraId="1A9F00DF">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备注</w:t>
                  </w:r>
                </w:p>
              </w:tc>
            </w:tr>
            <w:tr w14:paraId="55138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2036" w:type="pct"/>
                  <w:noWrap w:val="0"/>
                  <w:vAlign w:val="center"/>
                </w:tcPr>
                <w:p w14:paraId="330593D8">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脂肪醇聚氧乙烯醚</w:t>
                  </w:r>
                </w:p>
              </w:tc>
              <w:tc>
                <w:tcPr>
                  <w:tcW w:w="1079" w:type="pct"/>
                  <w:noWrap w:val="0"/>
                  <w:vAlign w:val="center"/>
                </w:tcPr>
                <w:p w14:paraId="05FA6291">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10-15</w:t>
                  </w:r>
                </w:p>
              </w:tc>
              <w:tc>
                <w:tcPr>
                  <w:tcW w:w="1042" w:type="pct"/>
                  <w:noWrap w:val="0"/>
                  <w:vAlign w:val="center"/>
                </w:tcPr>
                <w:p w14:paraId="0CB19ACD">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41" w:type="pct"/>
                  <w:noWrap w:val="0"/>
                  <w:vAlign w:val="center"/>
                </w:tcPr>
                <w:p w14:paraId="05D3CC2E">
                  <w:pPr>
                    <w:pStyle w:val="30"/>
                    <w:spacing w:before="0" w:beforeAutospacing="0" w:after="0" w:afterAutospacing="0"/>
                    <w:jc w:val="center"/>
                    <w:rPr>
                      <w:rFonts w:hint="eastAsia" w:ascii="Times New Roman" w:hAnsi="Times New Roman"/>
                      <w:color w:val="auto"/>
                      <w:sz w:val="21"/>
                      <w:szCs w:val="21"/>
                      <w:highlight w:val="none"/>
                      <w:shd w:val="clear" w:color="auto" w:fill="FFFFFF"/>
                    </w:rPr>
                  </w:pPr>
                </w:p>
              </w:tc>
            </w:tr>
            <w:tr w14:paraId="01D91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2036" w:type="pct"/>
                  <w:noWrap w:val="0"/>
                  <w:vAlign w:val="center"/>
                </w:tcPr>
                <w:p w14:paraId="6F8273AE">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脂肪胺</w:t>
                  </w:r>
                </w:p>
              </w:tc>
              <w:tc>
                <w:tcPr>
                  <w:tcW w:w="1079" w:type="pct"/>
                  <w:noWrap w:val="0"/>
                  <w:vAlign w:val="center"/>
                </w:tcPr>
                <w:p w14:paraId="392A5E87">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10-15</w:t>
                  </w:r>
                </w:p>
              </w:tc>
              <w:tc>
                <w:tcPr>
                  <w:tcW w:w="1042" w:type="pct"/>
                  <w:noWrap w:val="0"/>
                  <w:vAlign w:val="center"/>
                </w:tcPr>
                <w:p w14:paraId="6AEC5763">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41" w:type="pct"/>
                  <w:noWrap w:val="0"/>
                  <w:vAlign w:val="center"/>
                </w:tcPr>
                <w:p w14:paraId="008334A5">
                  <w:pPr>
                    <w:pStyle w:val="30"/>
                    <w:spacing w:before="0" w:beforeAutospacing="0" w:after="0" w:afterAutospacing="0"/>
                    <w:jc w:val="center"/>
                    <w:rPr>
                      <w:rFonts w:ascii="Times New Roman" w:hAnsi="Times New Roman"/>
                      <w:color w:val="auto"/>
                      <w:sz w:val="21"/>
                      <w:szCs w:val="21"/>
                      <w:highlight w:val="none"/>
                      <w:shd w:val="clear" w:color="auto" w:fill="FFFFFF"/>
                    </w:rPr>
                  </w:pPr>
                </w:p>
              </w:tc>
            </w:tr>
            <w:tr w14:paraId="65B9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2036" w:type="pct"/>
                  <w:noWrap w:val="0"/>
                  <w:vAlign w:val="center"/>
                </w:tcPr>
                <w:p w14:paraId="0EA112E0">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苯骈三氮唑</w:t>
                  </w:r>
                </w:p>
              </w:tc>
              <w:tc>
                <w:tcPr>
                  <w:tcW w:w="1079" w:type="pct"/>
                  <w:noWrap w:val="0"/>
                  <w:vAlign w:val="center"/>
                </w:tcPr>
                <w:p w14:paraId="3EE4FAFC">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3-5</w:t>
                  </w:r>
                </w:p>
              </w:tc>
              <w:tc>
                <w:tcPr>
                  <w:tcW w:w="1042" w:type="pct"/>
                  <w:noWrap w:val="0"/>
                  <w:vAlign w:val="center"/>
                </w:tcPr>
                <w:p w14:paraId="77D099FE">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95-14-7</w:t>
                  </w:r>
                </w:p>
              </w:tc>
              <w:tc>
                <w:tcPr>
                  <w:tcW w:w="841" w:type="pct"/>
                  <w:noWrap w:val="0"/>
                  <w:vAlign w:val="center"/>
                </w:tcPr>
                <w:p w14:paraId="152D2372">
                  <w:pPr>
                    <w:pStyle w:val="30"/>
                    <w:spacing w:before="0" w:beforeAutospacing="0" w:after="0" w:afterAutospacing="0"/>
                    <w:jc w:val="center"/>
                    <w:rPr>
                      <w:rFonts w:ascii="Times New Roman" w:hAnsi="Times New Roman"/>
                      <w:color w:val="auto"/>
                      <w:sz w:val="21"/>
                      <w:szCs w:val="21"/>
                      <w:highlight w:val="none"/>
                      <w:shd w:val="clear" w:color="auto" w:fill="FFFFFF"/>
                    </w:rPr>
                  </w:pPr>
                </w:p>
              </w:tc>
            </w:tr>
            <w:tr w14:paraId="2E4A9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36" w:type="pct"/>
                  <w:noWrap w:val="0"/>
                  <w:vAlign w:val="center"/>
                </w:tcPr>
                <w:p w14:paraId="560DBFDA">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添加剂</w:t>
                  </w:r>
                </w:p>
              </w:tc>
              <w:tc>
                <w:tcPr>
                  <w:tcW w:w="1079" w:type="pct"/>
                  <w:noWrap w:val="0"/>
                  <w:vAlign w:val="center"/>
                </w:tcPr>
                <w:p w14:paraId="0B2985AF">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3-5</w:t>
                  </w:r>
                </w:p>
              </w:tc>
              <w:tc>
                <w:tcPr>
                  <w:tcW w:w="1042" w:type="pct"/>
                  <w:noWrap w:val="0"/>
                  <w:vAlign w:val="center"/>
                </w:tcPr>
                <w:p w14:paraId="6801EADA">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41" w:type="pct"/>
                  <w:noWrap w:val="0"/>
                  <w:vAlign w:val="center"/>
                </w:tcPr>
                <w:p w14:paraId="02853514">
                  <w:pPr>
                    <w:pStyle w:val="30"/>
                    <w:spacing w:before="0" w:beforeAutospacing="0" w:after="0" w:afterAutospacing="0"/>
                    <w:jc w:val="center"/>
                    <w:rPr>
                      <w:rFonts w:ascii="Times New Roman" w:hAnsi="Times New Roman"/>
                      <w:color w:val="auto"/>
                      <w:sz w:val="21"/>
                      <w:szCs w:val="21"/>
                      <w:highlight w:val="none"/>
                      <w:shd w:val="clear" w:color="auto" w:fill="FFFFFF"/>
                    </w:rPr>
                  </w:pPr>
                </w:p>
              </w:tc>
            </w:tr>
            <w:tr w14:paraId="45D65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36" w:type="pct"/>
                  <w:noWrap w:val="0"/>
                  <w:vAlign w:val="center"/>
                </w:tcPr>
                <w:p w14:paraId="2A1BB100">
                  <w:pPr>
                    <w:pStyle w:val="30"/>
                    <w:spacing w:before="0" w:beforeAutospacing="0" w:after="0" w:afterAutospacing="0"/>
                    <w:jc w:val="center"/>
                    <w:rPr>
                      <w:rFonts w:hint="eastAsia"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水</w:t>
                  </w:r>
                </w:p>
              </w:tc>
              <w:tc>
                <w:tcPr>
                  <w:tcW w:w="1079" w:type="pct"/>
                  <w:noWrap w:val="0"/>
                  <w:vAlign w:val="center"/>
                </w:tcPr>
                <w:p w14:paraId="6FCB7F1E">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60-74</w:t>
                  </w:r>
                </w:p>
              </w:tc>
              <w:tc>
                <w:tcPr>
                  <w:tcW w:w="1042" w:type="pct"/>
                  <w:noWrap w:val="0"/>
                  <w:vAlign w:val="center"/>
                </w:tcPr>
                <w:p w14:paraId="71D28CAC">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41" w:type="pct"/>
                  <w:noWrap w:val="0"/>
                  <w:vAlign w:val="center"/>
                </w:tcPr>
                <w:p w14:paraId="18B3C34B">
                  <w:pPr>
                    <w:pStyle w:val="30"/>
                    <w:spacing w:before="0" w:beforeAutospacing="0" w:after="0" w:afterAutospacing="0"/>
                    <w:jc w:val="center"/>
                    <w:rPr>
                      <w:rFonts w:ascii="Times New Roman" w:hAnsi="Times New Roman"/>
                      <w:color w:val="auto"/>
                      <w:sz w:val="21"/>
                      <w:szCs w:val="21"/>
                      <w:highlight w:val="none"/>
                      <w:shd w:val="clear" w:color="auto" w:fill="FFFFFF"/>
                    </w:rPr>
                  </w:pPr>
                </w:p>
              </w:tc>
            </w:tr>
          </w:tbl>
          <w:p w14:paraId="4FE3FD69">
            <w:pPr>
              <w:pStyle w:val="6"/>
              <w:spacing w:line="360" w:lineRule="auto"/>
              <w:ind w:firstLine="480"/>
              <w:rPr>
                <w:rFonts w:hint="eastAsia" w:ascii="Times New Roman" w:hAnsi="Times New Roman" w:eastAsia="宋体" w:cs="Times New Roman"/>
                <w:b w:val="0"/>
                <w:bCs w:val="0"/>
                <w:color w:val="auto"/>
                <w:kern w:val="2"/>
                <w:sz w:val="24"/>
                <w:szCs w:val="24"/>
                <w:highlight w:val="none"/>
                <w:lang w:val="en-US" w:eastAsia="zh-CN" w:bidi="ar-SA"/>
              </w:rPr>
            </w:pPr>
          </w:p>
          <w:p w14:paraId="5DE0104C">
            <w:pPr>
              <w:pStyle w:val="6"/>
              <w:spacing w:line="360" w:lineRule="auto"/>
              <w:ind w:firstLine="480"/>
              <w:rPr>
                <w:rFonts w:hint="eastAsia" w:ascii="Times New Roman" w:hAnsi="Times New Roman" w:eastAsia="宋体" w:cs="Times New Roman"/>
                <w:b w:val="0"/>
                <w:bCs w:val="0"/>
                <w:color w:val="auto"/>
                <w:kern w:val="2"/>
                <w:sz w:val="24"/>
                <w:szCs w:val="24"/>
                <w:highlight w:val="none"/>
                <w:lang w:val="en-US" w:eastAsia="zh-CN" w:bidi="ar-SA"/>
              </w:rPr>
            </w:pPr>
            <w:r>
              <w:rPr>
                <w:rFonts w:hint="eastAsia" w:ascii="Times New Roman" w:hAnsi="Times New Roman" w:eastAsia="宋体" w:cs="Times New Roman"/>
                <w:b w:val="0"/>
                <w:bCs w:val="0"/>
                <w:color w:val="auto"/>
                <w:kern w:val="2"/>
                <w:sz w:val="24"/>
                <w:szCs w:val="24"/>
                <w:highlight w:val="none"/>
                <w:lang w:val="en-US" w:eastAsia="zh-CN" w:bidi="ar-SA"/>
              </w:rPr>
              <w:t>（2）多功能防锈剂</w:t>
            </w:r>
          </w:p>
          <w:p w14:paraId="2D9CE8C1">
            <w:pPr>
              <w:pStyle w:val="6"/>
              <w:spacing w:line="360" w:lineRule="auto"/>
              <w:ind w:firstLine="480"/>
              <w:rPr>
                <w:rFonts w:hint="eastAsia"/>
                <w:color w:val="auto"/>
                <w:kern w:val="0"/>
                <w:sz w:val="24"/>
                <w:highlight w:val="none"/>
                <w:shd w:val="clear" w:color="auto" w:fill="FFFFFF"/>
              </w:rPr>
            </w:pPr>
            <w:r>
              <w:rPr>
                <w:rFonts w:hint="eastAsia" w:ascii="Times New Roman" w:hAnsi="Times New Roman" w:eastAsia="宋体" w:cs="Times New Roman"/>
                <w:b w:val="0"/>
                <w:bCs w:val="0"/>
                <w:color w:val="auto"/>
                <w:kern w:val="2"/>
                <w:sz w:val="24"/>
                <w:szCs w:val="24"/>
                <w:highlight w:val="none"/>
                <w:lang w:val="en-US" w:eastAsia="zh-CN" w:bidi="ar-SA"/>
              </w:rPr>
              <w:t>多功能防锈剂为混合物</w:t>
            </w:r>
            <w:r>
              <w:rPr>
                <w:rFonts w:hint="eastAsia" w:cs="Times New Roman"/>
                <w:b w:val="0"/>
                <w:bCs w:val="0"/>
                <w:color w:val="auto"/>
                <w:kern w:val="2"/>
                <w:sz w:val="24"/>
                <w:szCs w:val="24"/>
                <w:highlight w:val="none"/>
                <w:lang w:val="en-US" w:eastAsia="zh-CN" w:bidi="ar-SA"/>
              </w:rPr>
              <w:t>(又名</w:t>
            </w:r>
            <w:r>
              <w:rPr>
                <w:rFonts w:hint="eastAsia" w:ascii="Times New Roman" w:hAnsi="Times New Roman" w:eastAsia="宋体" w:cs="Times New Roman"/>
                <w:b w:val="0"/>
                <w:bCs w:val="0"/>
                <w:color w:val="auto"/>
                <w:kern w:val="2"/>
                <w:sz w:val="24"/>
                <w:szCs w:val="24"/>
                <w:highlight w:val="none"/>
                <w:lang w:val="en-US" w:eastAsia="zh-CN" w:bidi="ar-SA"/>
              </w:rPr>
              <w:t>水溶性复合防锈剂</w:t>
            </w:r>
            <w:r>
              <w:rPr>
                <w:rFonts w:hint="eastAsia" w:cs="Times New Roman"/>
                <w:b w:val="0"/>
                <w:bCs w:val="0"/>
                <w:color w:val="auto"/>
                <w:kern w:val="2"/>
                <w:sz w:val="24"/>
                <w:szCs w:val="24"/>
                <w:highlight w:val="none"/>
                <w:lang w:val="en-US" w:eastAsia="zh-CN" w:bidi="ar-SA"/>
              </w:rPr>
              <w:t>）</w:t>
            </w:r>
            <w:r>
              <w:rPr>
                <w:rFonts w:hint="eastAsia" w:ascii="Times New Roman" w:hAnsi="Times New Roman" w:eastAsia="宋体" w:cs="Times New Roman"/>
                <w:b w:val="0"/>
                <w:bCs w:val="0"/>
                <w:color w:val="auto"/>
                <w:kern w:val="2"/>
                <w:sz w:val="24"/>
                <w:szCs w:val="24"/>
                <w:highlight w:val="none"/>
                <w:lang w:val="en-US" w:eastAsia="zh-CN" w:bidi="ar-SA"/>
              </w:rPr>
              <w:t>，黄色无刺激性气味液体，无闪点，</w:t>
            </w:r>
            <w:r>
              <w:rPr>
                <w:rFonts w:hint="eastAsia" w:cs="Times New Roman"/>
                <w:b w:val="0"/>
                <w:bCs w:val="0"/>
                <w:color w:val="auto"/>
                <w:kern w:val="2"/>
                <w:sz w:val="24"/>
                <w:szCs w:val="24"/>
                <w:highlight w:val="none"/>
                <w:lang w:val="en-US" w:eastAsia="zh-CN" w:bidi="ar-SA"/>
              </w:rPr>
              <w:t>原液</w:t>
            </w:r>
            <w:r>
              <w:rPr>
                <w:rFonts w:hint="eastAsia" w:ascii="Times New Roman" w:hAnsi="Times New Roman" w:eastAsia="宋体" w:cs="Times New Roman"/>
                <w:b w:val="0"/>
                <w:bCs w:val="0"/>
                <w:color w:val="auto"/>
                <w:kern w:val="2"/>
                <w:sz w:val="24"/>
                <w:szCs w:val="24"/>
                <w:highlight w:val="none"/>
                <w:lang w:val="en-US" w:eastAsia="zh-CN" w:bidi="ar-SA"/>
              </w:rPr>
              <w:t>pH</w:t>
            </w:r>
            <w:r>
              <w:rPr>
                <w:rFonts w:hint="eastAsia" w:cs="Times New Roman"/>
                <w:b w:val="0"/>
                <w:bCs w:val="0"/>
                <w:color w:val="auto"/>
                <w:kern w:val="2"/>
                <w:sz w:val="24"/>
                <w:szCs w:val="24"/>
                <w:highlight w:val="none"/>
                <w:lang w:val="en-US" w:eastAsia="zh-CN" w:bidi="ar-SA"/>
              </w:rPr>
              <w:t>7.5-8.5</w:t>
            </w:r>
            <w:r>
              <w:rPr>
                <w:rFonts w:hint="eastAsia" w:ascii="Times New Roman" w:hAnsi="Times New Roman" w:eastAsia="宋体" w:cs="Times New Roman"/>
                <w:b w:val="0"/>
                <w:bCs w:val="0"/>
                <w:color w:val="auto"/>
                <w:kern w:val="2"/>
                <w:sz w:val="24"/>
                <w:szCs w:val="24"/>
                <w:highlight w:val="none"/>
                <w:lang w:val="en-US" w:eastAsia="zh-CN" w:bidi="ar-SA"/>
              </w:rPr>
              <w:t>，沸点＞98℃，任意比例溶于水</w:t>
            </w:r>
            <w:r>
              <w:rPr>
                <w:rFonts w:hint="eastAsia" w:cs="Times New Roman"/>
                <w:b w:val="0"/>
                <w:bCs w:val="0"/>
                <w:color w:val="auto"/>
                <w:kern w:val="2"/>
                <w:sz w:val="24"/>
                <w:szCs w:val="24"/>
                <w:highlight w:val="none"/>
                <w:lang w:val="en-US" w:eastAsia="zh-CN" w:bidi="ar-SA"/>
              </w:rPr>
              <w:t>，</w:t>
            </w:r>
            <w:r>
              <w:rPr>
                <w:rFonts w:hint="eastAsia" w:ascii="Times New Roman" w:hAnsi="Times New Roman" w:eastAsia="宋体" w:cs="Times New Roman"/>
                <w:b w:val="0"/>
                <w:bCs w:val="0"/>
                <w:color w:val="auto"/>
                <w:kern w:val="2"/>
                <w:sz w:val="24"/>
                <w:szCs w:val="24"/>
                <w:highlight w:val="none"/>
                <w:lang w:val="en-US" w:eastAsia="zh-CN" w:bidi="ar-SA"/>
              </w:rPr>
              <w:t>本品属弱碱性化学品，稳定，遇水无反应，无燃爆危险。广泛用于钢、铸铁、粉末冶金</w:t>
            </w:r>
            <w:r>
              <w:rPr>
                <w:rFonts w:hint="eastAsia" w:cs="Times New Roman"/>
                <w:b w:val="0"/>
                <w:bCs w:val="0"/>
                <w:color w:val="auto"/>
                <w:kern w:val="2"/>
                <w:sz w:val="24"/>
                <w:szCs w:val="24"/>
                <w:highlight w:val="none"/>
                <w:lang w:val="en-US" w:eastAsia="zh-CN" w:bidi="ar-SA"/>
              </w:rPr>
              <w:t>等</w:t>
            </w:r>
            <w:r>
              <w:rPr>
                <w:rFonts w:hint="eastAsia" w:ascii="Times New Roman" w:hAnsi="Times New Roman" w:eastAsia="宋体" w:cs="Times New Roman"/>
                <w:b w:val="0"/>
                <w:bCs w:val="0"/>
                <w:color w:val="auto"/>
                <w:kern w:val="2"/>
                <w:sz w:val="24"/>
                <w:szCs w:val="24"/>
                <w:highlight w:val="none"/>
                <w:lang w:val="en-US" w:eastAsia="zh-CN" w:bidi="ar-SA"/>
              </w:rPr>
              <w:t>多种黑色金属及各种机械制造的防锈处理。</w:t>
            </w:r>
            <w:r>
              <w:rPr>
                <w:rFonts w:hint="eastAsia"/>
                <w:color w:val="auto"/>
                <w:kern w:val="0"/>
                <w:sz w:val="24"/>
                <w:highlight w:val="none"/>
                <w:shd w:val="clear" w:color="auto" w:fill="FFFFFF"/>
              </w:rPr>
              <w:t>其组分见下表。</w:t>
            </w:r>
          </w:p>
          <w:p w14:paraId="0DFDD0C9">
            <w:pPr>
              <w:pStyle w:val="91"/>
              <w:numPr>
                <w:ilvl w:val="0"/>
                <w:numId w:val="0"/>
              </w:numPr>
              <w:spacing w:line="360" w:lineRule="auto"/>
              <w:jc w:val="center"/>
              <w:rPr>
                <w:bCs/>
                <w:color w:val="auto"/>
                <w:highlight w:val="none"/>
              </w:rPr>
            </w:pPr>
            <w:r>
              <w:rPr>
                <w:bCs/>
                <w:color w:val="auto"/>
                <w:highlight w:val="none"/>
              </w:rPr>
              <w:t>表2</w:t>
            </w:r>
            <w:r>
              <w:rPr>
                <w:rFonts w:hint="eastAsia"/>
                <w:bCs/>
                <w:color w:val="auto"/>
                <w:highlight w:val="none"/>
              </w:rPr>
              <w:t>-</w:t>
            </w:r>
            <w:r>
              <w:rPr>
                <w:rFonts w:hint="eastAsia"/>
                <w:bCs/>
                <w:color w:val="auto"/>
                <w:highlight w:val="none"/>
                <w:lang w:val="en-US" w:eastAsia="zh-CN"/>
              </w:rPr>
              <w:t>11</w:t>
            </w:r>
            <w:r>
              <w:rPr>
                <w:bCs/>
                <w:color w:val="auto"/>
                <w:highlight w:val="none"/>
              </w:rPr>
              <w:t xml:space="preserve">   </w:t>
            </w:r>
            <w:r>
              <w:rPr>
                <w:rFonts w:hint="eastAsia"/>
                <w:color w:val="auto"/>
                <w:highlight w:val="none"/>
                <w:shd w:val="clear" w:color="auto" w:fill="FFFFFF"/>
              </w:rPr>
              <w:t>多功能防锈剂组成成分表</w:t>
            </w:r>
          </w:p>
          <w:tbl>
            <w:tblPr>
              <w:tblStyle w:val="3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61"/>
              <w:gridCol w:w="2020"/>
              <w:gridCol w:w="1829"/>
              <w:gridCol w:w="1487"/>
            </w:tblGrid>
            <w:tr w14:paraId="245EC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1784" w:type="pct"/>
                  <w:noWrap w:val="0"/>
                  <w:vAlign w:val="center"/>
                </w:tcPr>
                <w:p w14:paraId="65C49D98">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组分</w:t>
                  </w:r>
                </w:p>
              </w:tc>
              <w:tc>
                <w:tcPr>
                  <w:tcW w:w="1217" w:type="pct"/>
                  <w:noWrap w:val="0"/>
                  <w:vAlign w:val="center"/>
                </w:tcPr>
                <w:p w14:paraId="6C4A66BE">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质量分数%</w:t>
                  </w:r>
                </w:p>
              </w:tc>
              <w:tc>
                <w:tcPr>
                  <w:tcW w:w="1102" w:type="pct"/>
                  <w:noWrap w:val="0"/>
                  <w:vAlign w:val="center"/>
                </w:tcPr>
                <w:p w14:paraId="4CAE9F71">
                  <w:pPr>
                    <w:pStyle w:val="30"/>
                    <w:spacing w:before="0" w:beforeAutospacing="0" w:after="0" w:afterAutospacing="0"/>
                    <w:jc w:val="center"/>
                    <w:rPr>
                      <w:rFonts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CAS NO.</w:t>
                  </w:r>
                </w:p>
              </w:tc>
              <w:tc>
                <w:tcPr>
                  <w:tcW w:w="895" w:type="pct"/>
                  <w:noWrap w:val="0"/>
                  <w:vAlign w:val="center"/>
                </w:tcPr>
                <w:p w14:paraId="55FFC119">
                  <w:pPr>
                    <w:pStyle w:val="30"/>
                    <w:spacing w:before="0" w:beforeAutospacing="0" w:after="0" w:afterAutospacing="0"/>
                    <w:jc w:val="center"/>
                    <w:rPr>
                      <w:rFonts w:hint="eastAsia" w:ascii="Times New Roman" w:hAnsi="Times New Roman"/>
                      <w:b/>
                      <w:bCs/>
                      <w:color w:val="auto"/>
                      <w:sz w:val="21"/>
                      <w:szCs w:val="21"/>
                      <w:highlight w:val="none"/>
                      <w:shd w:val="clear" w:color="auto" w:fill="FFFFFF"/>
                    </w:rPr>
                  </w:pPr>
                  <w:r>
                    <w:rPr>
                      <w:rFonts w:hint="eastAsia" w:ascii="Times New Roman" w:hAnsi="Times New Roman"/>
                      <w:b/>
                      <w:bCs/>
                      <w:color w:val="auto"/>
                      <w:sz w:val="21"/>
                      <w:szCs w:val="21"/>
                      <w:highlight w:val="none"/>
                      <w:shd w:val="clear" w:color="auto" w:fill="FFFFFF"/>
                    </w:rPr>
                    <w:t>备注</w:t>
                  </w:r>
                </w:p>
              </w:tc>
            </w:tr>
            <w:tr w14:paraId="6D392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1784" w:type="pct"/>
                  <w:noWrap w:val="0"/>
                  <w:vAlign w:val="center"/>
                </w:tcPr>
                <w:p w14:paraId="77A9E222">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多聚酸胺</w:t>
                  </w:r>
                </w:p>
              </w:tc>
              <w:tc>
                <w:tcPr>
                  <w:tcW w:w="1217" w:type="pct"/>
                  <w:noWrap w:val="0"/>
                  <w:vAlign w:val="center"/>
                </w:tcPr>
                <w:p w14:paraId="7AE0DEDD">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5-35</w:t>
                  </w:r>
                </w:p>
              </w:tc>
              <w:tc>
                <w:tcPr>
                  <w:tcW w:w="1102" w:type="pct"/>
                  <w:noWrap w:val="0"/>
                  <w:vAlign w:val="center"/>
                </w:tcPr>
                <w:p w14:paraId="330ACA7F">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95" w:type="pct"/>
                  <w:noWrap w:val="0"/>
                  <w:vAlign w:val="center"/>
                </w:tcPr>
                <w:p w14:paraId="6D853711">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w:t>
                  </w:r>
                </w:p>
              </w:tc>
            </w:tr>
            <w:tr w14:paraId="50B06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1784" w:type="pct"/>
                  <w:noWrap w:val="0"/>
                  <w:vAlign w:val="center"/>
                </w:tcPr>
                <w:p w14:paraId="7DFFE818">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三乙醇胺</w:t>
                  </w:r>
                </w:p>
              </w:tc>
              <w:tc>
                <w:tcPr>
                  <w:tcW w:w="1217" w:type="pct"/>
                  <w:noWrap w:val="0"/>
                  <w:vAlign w:val="center"/>
                </w:tcPr>
                <w:p w14:paraId="683C0C0A">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10-30</w:t>
                  </w:r>
                </w:p>
              </w:tc>
              <w:tc>
                <w:tcPr>
                  <w:tcW w:w="1102" w:type="pct"/>
                  <w:noWrap w:val="0"/>
                  <w:vAlign w:val="center"/>
                </w:tcPr>
                <w:p w14:paraId="520F4500">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102-71-6</w:t>
                  </w:r>
                </w:p>
              </w:tc>
              <w:tc>
                <w:tcPr>
                  <w:tcW w:w="895" w:type="pct"/>
                  <w:noWrap w:val="0"/>
                  <w:vAlign w:val="center"/>
                </w:tcPr>
                <w:p w14:paraId="0940AA85">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r>
            <w:tr w14:paraId="741A1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1784" w:type="pct"/>
                  <w:noWrap w:val="0"/>
                  <w:vAlign w:val="center"/>
                </w:tcPr>
                <w:p w14:paraId="116AC6D6">
                  <w:pPr>
                    <w:pStyle w:val="30"/>
                    <w:spacing w:before="0" w:beforeAutospacing="0" w:after="0" w:afterAutospacing="0"/>
                    <w:jc w:val="center"/>
                    <w:rPr>
                      <w:rFonts w:hint="eastAsia" w:ascii="Times New Roman" w:hAnsi="Times New Roman" w:eastAsia="宋体"/>
                      <w:color w:val="auto"/>
                      <w:sz w:val="21"/>
                      <w:szCs w:val="21"/>
                      <w:highlight w:val="none"/>
                      <w:shd w:val="clear" w:color="auto" w:fill="FFFFFF"/>
                      <w:lang w:eastAsia="zh-CN"/>
                    </w:rPr>
                  </w:pPr>
                  <w:r>
                    <w:rPr>
                      <w:rFonts w:hint="eastAsia" w:ascii="Times New Roman" w:hAnsi="Times New Roman"/>
                      <w:color w:val="auto"/>
                      <w:sz w:val="21"/>
                      <w:szCs w:val="21"/>
                      <w:highlight w:val="none"/>
                      <w:shd w:val="clear" w:color="auto" w:fill="FFFFFF"/>
                      <w:lang w:val="en-US" w:eastAsia="zh-CN"/>
                    </w:rPr>
                    <w:t>螯合剂</w:t>
                  </w:r>
                </w:p>
              </w:tc>
              <w:tc>
                <w:tcPr>
                  <w:tcW w:w="1217" w:type="pct"/>
                  <w:noWrap w:val="0"/>
                  <w:vAlign w:val="center"/>
                </w:tcPr>
                <w:p w14:paraId="1A886C7E">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1-5</w:t>
                  </w:r>
                </w:p>
              </w:tc>
              <w:tc>
                <w:tcPr>
                  <w:tcW w:w="1102" w:type="pct"/>
                  <w:noWrap w:val="0"/>
                  <w:vAlign w:val="center"/>
                </w:tcPr>
                <w:p w14:paraId="24806A11">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95" w:type="pct"/>
                  <w:noWrap w:val="0"/>
                  <w:vAlign w:val="center"/>
                </w:tcPr>
                <w:p w14:paraId="3EE11A62">
                  <w:pPr>
                    <w:pStyle w:val="30"/>
                    <w:spacing w:before="0" w:beforeAutospacing="0" w:after="0" w:afterAutospacing="0"/>
                    <w:jc w:val="center"/>
                    <w:rPr>
                      <w:rFonts w:ascii="Times New Roman" w:hAnsi="Times New Roman"/>
                      <w:color w:val="auto"/>
                      <w:sz w:val="21"/>
                      <w:szCs w:val="21"/>
                      <w:highlight w:val="none"/>
                      <w:shd w:val="clear" w:color="auto" w:fill="FFFFFF"/>
                    </w:rPr>
                  </w:pPr>
                  <w:r>
                    <w:rPr>
                      <w:rFonts w:hint="eastAsia" w:ascii="Times New Roman" w:hAnsi="Times New Roman"/>
                      <w:color w:val="auto"/>
                      <w:sz w:val="21"/>
                      <w:szCs w:val="21"/>
                      <w:highlight w:val="none"/>
                      <w:shd w:val="clear" w:color="auto" w:fill="FFFFFF"/>
                    </w:rPr>
                    <w:t>--</w:t>
                  </w:r>
                </w:p>
              </w:tc>
            </w:tr>
            <w:tr w14:paraId="548A7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1784" w:type="pct"/>
                  <w:noWrap w:val="0"/>
                  <w:vAlign w:val="center"/>
                </w:tcPr>
                <w:p w14:paraId="7A8F6515">
                  <w:pPr>
                    <w:pStyle w:val="30"/>
                    <w:spacing w:before="0" w:beforeAutospacing="0" w:after="0" w:afterAutospacing="0"/>
                    <w:jc w:val="center"/>
                    <w:rPr>
                      <w:rFonts w:hint="default" w:ascii="Times New Roman" w:hAnsi="Times New Roman"/>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水</w:t>
                  </w:r>
                </w:p>
              </w:tc>
              <w:tc>
                <w:tcPr>
                  <w:tcW w:w="1217" w:type="pct"/>
                  <w:noWrap w:val="0"/>
                  <w:vAlign w:val="center"/>
                </w:tcPr>
                <w:p w14:paraId="7D3172BF">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30-84</w:t>
                  </w:r>
                </w:p>
              </w:tc>
              <w:tc>
                <w:tcPr>
                  <w:tcW w:w="1102" w:type="pct"/>
                  <w:noWrap w:val="0"/>
                  <w:vAlign w:val="center"/>
                </w:tcPr>
                <w:p w14:paraId="27CC838E">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c>
                <w:tcPr>
                  <w:tcW w:w="895" w:type="pct"/>
                  <w:noWrap w:val="0"/>
                  <w:vAlign w:val="center"/>
                </w:tcPr>
                <w:p w14:paraId="03020933">
                  <w:pPr>
                    <w:pStyle w:val="30"/>
                    <w:spacing w:before="0" w:beforeAutospacing="0" w:after="0" w:afterAutospacing="0"/>
                    <w:jc w:val="center"/>
                    <w:rPr>
                      <w:rFonts w:hint="default" w:ascii="Times New Roman" w:hAnsi="Times New Roman" w:eastAsia="宋体"/>
                      <w:color w:val="auto"/>
                      <w:sz w:val="21"/>
                      <w:szCs w:val="21"/>
                      <w:highlight w:val="none"/>
                      <w:shd w:val="clear" w:color="auto" w:fill="FFFFFF"/>
                      <w:lang w:val="en-US" w:eastAsia="zh-CN"/>
                    </w:rPr>
                  </w:pPr>
                  <w:r>
                    <w:rPr>
                      <w:rFonts w:hint="eastAsia" w:ascii="Times New Roman" w:hAnsi="Times New Roman"/>
                      <w:color w:val="auto"/>
                      <w:sz w:val="21"/>
                      <w:szCs w:val="21"/>
                      <w:highlight w:val="none"/>
                      <w:shd w:val="clear" w:color="auto" w:fill="FFFFFF"/>
                      <w:lang w:val="en-US" w:eastAsia="zh-CN"/>
                    </w:rPr>
                    <w:t>--</w:t>
                  </w:r>
                </w:p>
              </w:tc>
            </w:tr>
          </w:tbl>
          <w:p w14:paraId="0F6C26C4">
            <w:pPr>
              <w:pStyle w:val="6"/>
              <w:spacing w:line="360" w:lineRule="auto"/>
              <w:ind w:left="0" w:leftChars="0" w:firstLine="480" w:firstLineChars="200"/>
              <w:rPr>
                <w:rFonts w:hint="eastAsia" w:cs="Times New Roman"/>
                <w:b w:val="0"/>
                <w:bCs w:val="0"/>
                <w:color w:val="auto"/>
                <w:kern w:val="2"/>
                <w:sz w:val="24"/>
                <w:szCs w:val="24"/>
                <w:highlight w:val="none"/>
                <w:lang w:val="en-US" w:eastAsia="zh-CN" w:bidi="ar-SA"/>
              </w:rPr>
            </w:pPr>
          </w:p>
          <w:p w14:paraId="2BAB762E">
            <w:pPr>
              <w:pStyle w:val="6"/>
              <w:spacing w:line="360" w:lineRule="auto"/>
              <w:ind w:left="0" w:leftChars="0" w:firstLine="480" w:firstLineChars="200"/>
              <w:rPr>
                <w:rFonts w:hint="eastAsia" w:ascii="Times New Roman" w:hAnsi="Times New Roman" w:eastAsia="宋体" w:cs="Times New Roman"/>
                <w:b w:val="0"/>
                <w:bCs w:val="0"/>
                <w:color w:val="auto"/>
                <w:kern w:val="2"/>
                <w:sz w:val="24"/>
                <w:szCs w:val="24"/>
                <w:highlight w:val="none"/>
                <w:lang w:val="en-US" w:eastAsia="zh-CN" w:bidi="ar-SA"/>
              </w:rPr>
            </w:pPr>
            <w:r>
              <w:rPr>
                <w:rFonts w:hint="eastAsia" w:cs="Times New Roman"/>
                <w:b w:val="0"/>
                <w:bCs w:val="0"/>
                <w:color w:val="auto"/>
                <w:kern w:val="2"/>
                <w:sz w:val="24"/>
                <w:szCs w:val="24"/>
                <w:highlight w:val="none"/>
                <w:lang w:val="en-US" w:eastAsia="zh-CN" w:bidi="ar-SA"/>
              </w:rPr>
              <w:t>（3）</w:t>
            </w:r>
            <w:r>
              <w:rPr>
                <w:rFonts w:hint="eastAsia" w:ascii="Times New Roman" w:hAnsi="Times New Roman" w:eastAsia="宋体" w:cs="Times New Roman"/>
                <w:b w:val="0"/>
                <w:bCs w:val="0"/>
                <w:color w:val="auto"/>
                <w:kern w:val="2"/>
                <w:sz w:val="24"/>
                <w:szCs w:val="24"/>
                <w:highlight w:val="none"/>
                <w:lang w:val="en-US" w:eastAsia="zh-CN" w:bidi="ar-SA"/>
              </w:rPr>
              <w:t>矿物油絮凝剂</w:t>
            </w:r>
          </w:p>
          <w:p w14:paraId="5767FB8B">
            <w:pPr>
              <w:pStyle w:val="6"/>
              <w:spacing w:line="360" w:lineRule="auto"/>
              <w:ind w:firstLine="480"/>
              <w:rPr>
                <w:rFonts w:hint="eastAsia"/>
                <w:bCs w:val="0"/>
                <w:color w:val="auto"/>
                <w:szCs w:val="24"/>
                <w:highlight w:val="none"/>
                <w:lang w:val="en-US" w:eastAsia="zh-CN"/>
              </w:rPr>
            </w:pPr>
            <w:r>
              <w:rPr>
                <w:rFonts w:hint="eastAsia" w:ascii="Times New Roman" w:hAnsi="Times New Roman" w:eastAsia="宋体" w:cs="Times New Roman"/>
                <w:b w:val="0"/>
                <w:bCs w:val="0"/>
                <w:color w:val="auto"/>
                <w:kern w:val="2"/>
                <w:sz w:val="24"/>
                <w:szCs w:val="24"/>
                <w:highlight w:val="none"/>
                <w:lang w:val="en-US" w:eastAsia="zh-CN" w:bidi="ar-SA"/>
              </w:rPr>
              <w:t>企业絮凝剂主要成份为丙烯酰胺与丙烯酸盐（丙烯酸钠）共聚高分子，分子量600万–1800万，白色/微黄色粉末无臭，水溶性高分子；中性常温稳定，高温（＞120℃）易降解、分子量下降、失效；0.1% 水溶液呈弱中性～弱碱性；pH 6～9 絮凝效果最佳；不属于易燃易爆品，无毒</w:t>
            </w:r>
            <w:r>
              <w:rPr>
                <w:rFonts w:hint="eastAsia" w:cs="Times New Roman"/>
                <w:b w:val="0"/>
                <w:bCs w:val="0"/>
                <w:color w:val="auto"/>
                <w:kern w:val="2"/>
                <w:sz w:val="24"/>
                <w:szCs w:val="24"/>
                <w:highlight w:val="none"/>
                <w:lang w:val="en-US" w:eastAsia="zh-CN" w:bidi="ar-SA"/>
              </w:rPr>
              <w:t>无</w:t>
            </w:r>
            <w:r>
              <w:rPr>
                <w:rFonts w:hint="eastAsia" w:ascii="Times New Roman" w:hAnsi="Times New Roman" w:eastAsia="宋体" w:cs="Times New Roman"/>
                <w:b w:val="0"/>
                <w:bCs w:val="0"/>
                <w:color w:val="auto"/>
                <w:kern w:val="2"/>
                <w:sz w:val="24"/>
                <w:szCs w:val="24"/>
                <w:highlight w:val="none"/>
                <w:lang w:val="en-US" w:eastAsia="zh-CN" w:bidi="ar-SA"/>
              </w:rPr>
              <w:t>腐蚀性</w:t>
            </w:r>
            <w:r>
              <w:rPr>
                <w:rFonts w:hint="eastAsia" w:cs="Times New Roman"/>
                <w:b w:val="0"/>
                <w:bCs w:val="0"/>
                <w:color w:val="auto"/>
                <w:kern w:val="2"/>
                <w:sz w:val="24"/>
                <w:szCs w:val="24"/>
                <w:highlight w:val="none"/>
                <w:lang w:val="en-US" w:eastAsia="zh-CN" w:bidi="ar-SA"/>
              </w:rPr>
              <w:t>。</w:t>
            </w:r>
          </w:p>
          <w:p w14:paraId="72003E69">
            <w:pPr>
              <w:pStyle w:val="8"/>
              <w:spacing w:line="360" w:lineRule="auto"/>
              <w:ind w:firstLine="482"/>
              <w:rPr>
                <w:rFonts w:ascii="Times New Roman" w:hAnsi="Times New Roman" w:eastAsia="宋体" w:cs="Times New Roman"/>
                <w:b w:val="0"/>
                <w:bCs w:val="0"/>
                <w:color w:val="auto"/>
                <w:szCs w:val="24"/>
                <w:highlight w:val="none"/>
              </w:rPr>
            </w:pPr>
            <w:r>
              <w:rPr>
                <w:rFonts w:hint="eastAsia"/>
                <w:bCs w:val="0"/>
                <w:color w:val="auto"/>
                <w:szCs w:val="24"/>
                <w:highlight w:val="none"/>
                <w:lang w:val="en-US" w:eastAsia="zh-CN"/>
              </w:rPr>
              <w:t>6</w:t>
            </w:r>
            <w:r>
              <w:rPr>
                <w:bCs w:val="0"/>
                <w:color w:val="auto"/>
                <w:szCs w:val="24"/>
                <w:highlight w:val="none"/>
              </w:rPr>
              <w:t>、平面布置</w:t>
            </w:r>
          </w:p>
          <w:p w14:paraId="35B0C4A4">
            <w:pPr>
              <w:pStyle w:val="6"/>
              <w:spacing w:line="360" w:lineRule="auto"/>
              <w:ind w:firstLine="480"/>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技改项目清洗烘干位于现有项目喷漆烘干间内，与喷漆工序衔接，同时节约空间。</w:t>
            </w:r>
          </w:p>
          <w:p w14:paraId="406972DD">
            <w:pPr>
              <w:pStyle w:val="8"/>
              <w:numPr>
                <w:ilvl w:val="0"/>
                <w:numId w:val="9"/>
              </w:numPr>
              <w:spacing w:line="360" w:lineRule="auto"/>
              <w:ind w:firstLine="482"/>
              <w:rPr>
                <w:rFonts w:hint="eastAsia" w:ascii="Times New Roman" w:hAnsi="Times New Roman" w:eastAsia="宋体" w:cs="Times New Roman"/>
                <w:bCs/>
                <w:color w:val="auto"/>
                <w:szCs w:val="24"/>
                <w:highlight w:val="none"/>
                <w:lang w:val="en-US" w:eastAsia="zh-CN"/>
              </w:rPr>
            </w:pPr>
            <w:r>
              <w:rPr>
                <w:rFonts w:hint="eastAsia" w:ascii="Times New Roman" w:hAnsi="Times New Roman" w:eastAsia="宋体" w:cs="Times New Roman"/>
                <w:bCs/>
                <w:color w:val="auto"/>
                <w:szCs w:val="24"/>
                <w:highlight w:val="none"/>
                <w:lang w:val="en-US" w:eastAsia="zh-CN"/>
              </w:rPr>
              <w:t xml:space="preserve">劳动定员及工作制度  </w:t>
            </w:r>
          </w:p>
          <w:p w14:paraId="581F7D4F">
            <w:pPr>
              <w:pStyle w:val="6"/>
              <w:spacing w:line="360" w:lineRule="auto"/>
              <w:ind w:firstLine="480"/>
              <w:rPr>
                <w:rFonts w:hint="default"/>
                <w:color w:val="auto"/>
                <w:sz w:val="24"/>
                <w:highlight w:val="none"/>
                <w:lang w:val="en-US"/>
              </w:rPr>
            </w:pPr>
            <w:r>
              <w:rPr>
                <w:rFonts w:hint="eastAsia" w:cs="Times New Roman"/>
                <w:b w:val="0"/>
                <w:bCs w:val="0"/>
                <w:color w:val="auto"/>
                <w:kern w:val="2"/>
                <w:sz w:val="24"/>
                <w:szCs w:val="24"/>
                <w:highlight w:val="none"/>
                <w:lang w:val="en-US" w:eastAsia="zh-CN" w:bidi="ar-SA"/>
              </w:rPr>
              <w:t>技改</w:t>
            </w:r>
            <w:r>
              <w:rPr>
                <w:rFonts w:hint="eastAsia" w:ascii="Times New Roman" w:hAnsi="Times New Roman" w:eastAsia="宋体" w:cs="Times New Roman"/>
                <w:b w:val="0"/>
                <w:bCs w:val="0"/>
                <w:color w:val="auto"/>
                <w:kern w:val="2"/>
                <w:sz w:val="24"/>
                <w:szCs w:val="24"/>
                <w:highlight w:val="none"/>
                <w:lang w:val="en-US" w:eastAsia="zh-CN" w:bidi="ar-SA"/>
              </w:rPr>
              <w:t>后，劳动定员及班次不变。</w:t>
            </w:r>
            <w:r>
              <w:rPr>
                <w:rFonts w:hint="eastAsia" w:cs="Times New Roman"/>
                <w:b w:val="0"/>
                <w:bCs w:val="0"/>
                <w:color w:val="auto"/>
                <w:kern w:val="2"/>
                <w:sz w:val="24"/>
                <w:szCs w:val="24"/>
                <w:highlight w:val="none"/>
                <w:lang w:val="en-US" w:eastAsia="zh-CN" w:bidi="ar-SA"/>
              </w:rPr>
              <w:t>全厂劳动定员仍为</w:t>
            </w:r>
            <w:r>
              <w:rPr>
                <w:rFonts w:hint="eastAsia"/>
                <w:color w:val="auto"/>
                <w:highlight w:val="none"/>
                <w:lang w:val="en-US" w:eastAsia="zh-CN"/>
              </w:rPr>
              <w:t>53人</w:t>
            </w:r>
            <w:r>
              <w:rPr>
                <w:rFonts w:hint="default"/>
                <w:color w:val="auto"/>
                <w:highlight w:val="none"/>
                <w:lang w:eastAsia="zh-CN"/>
              </w:rPr>
              <w:t>，年生产300天，</w:t>
            </w:r>
            <w:r>
              <w:rPr>
                <w:rFonts w:hint="eastAsia"/>
                <w:color w:val="auto"/>
                <w:highlight w:val="none"/>
                <w:lang w:val="en-US" w:eastAsia="zh-CN"/>
              </w:rPr>
              <w:t>两</w:t>
            </w:r>
            <w:r>
              <w:rPr>
                <w:rFonts w:hint="default"/>
                <w:color w:val="auto"/>
                <w:highlight w:val="none"/>
                <w:lang w:eastAsia="zh-CN"/>
              </w:rPr>
              <w:t>班制，每班8小时</w:t>
            </w:r>
            <w:r>
              <w:rPr>
                <w:rFonts w:hint="eastAsia"/>
                <w:color w:val="auto"/>
                <w:highlight w:val="none"/>
                <w:lang w:eastAsia="zh-CN"/>
              </w:rPr>
              <w:t>；</w:t>
            </w:r>
            <w:r>
              <w:rPr>
                <w:rFonts w:hint="eastAsia"/>
                <w:color w:val="000000" w:themeColor="text1"/>
                <w:highlight w:val="none"/>
                <w:lang w:val="en-US" w:eastAsia="zh-CN"/>
                <w14:textFill>
                  <w14:solidFill>
                    <w14:schemeClr w14:val="tx1"/>
                  </w14:solidFill>
                </w14:textFill>
              </w:rPr>
              <w:t>清洗工序每天工作6h，年工作时间为1800h/a（重污染管控期间，清洗工序白天停产，不用调至夜班生产；通过非管控期间白天调整设备清洗速度，增加清洗工件量，日清洗工件量能够满足公司后序生产节拍）。</w:t>
            </w:r>
          </w:p>
          <w:p w14:paraId="77431E2A">
            <w:pPr>
              <w:pStyle w:val="8"/>
              <w:keepNext w:val="0"/>
              <w:keepLines w:val="0"/>
              <w:pageBreakBefore w:val="0"/>
              <w:kinsoku/>
              <w:wordWrap/>
              <w:overflowPunct/>
              <w:topLinePunct w:val="0"/>
              <w:bidi w:val="0"/>
              <w:spacing w:line="360" w:lineRule="auto"/>
              <w:ind w:right="0" w:firstLine="482" w:firstLineChars="200"/>
              <w:textAlignment w:val="auto"/>
              <w:rPr>
                <w:rFonts w:hint="eastAsia" w:ascii="Times New Roman" w:hAnsi="Times New Roman" w:eastAsia="宋体" w:cs="Times New Roman"/>
                <w:bCs/>
                <w:color w:val="auto"/>
                <w:szCs w:val="24"/>
                <w:highlight w:val="none"/>
                <w:lang w:val="en-US" w:eastAsia="zh-CN"/>
              </w:rPr>
            </w:pPr>
            <w:r>
              <w:rPr>
                <w:rFonts w:hint="eastAsia" w:ascii="Times New Roman" w:hAnsi="Times New Roman" w:eastAsia="宋体" w:cs="Times New Roman"/>
                <w:bCs/>
                <w:color w:val="auto"/>
                <w:szCs w:val="24"/>
                <w:highlight w:val="none"/>
                <w:lang w:val="en-US" w:eastAsia="zh-CN"/>
              </w:rPr>
              <w:t>8、公用工程</w:t>
            </w:r>
          </w:p>
          <w:p w14:paraId="3B98D956">
            <w:pPr>
              <w:pStyle w:val="6"/>
              <w:spacing w:line="360" w:lineRule="auto"/>
              <w:ind w:firstLine="480"/>
              <w:rPr>
                <w:rFonts w:hint="eastAsia"/>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（1）技改项目给排水情况</w:t>
            </w:r>
          </w:p>
          <w:p w14:paraId="706B1D92">
            <w:pPr>
              <w:pStyle w:val="6"/>
              <w:spacing w:line="360" w:lineRule="auto"/>
              <w:ind w:firstLine="480"/>
              <w:rPr>
                <w:rFonts w:hint="eastAsia"/>
                <w:color w:val="auto"/>
                <w:highlight w:val="none"/>
              </w:rPr>
            </w:pPr>
            <w:r>
              <w:rPr>
                <w:rFonts w:hint="eastAsia" w:asciiTheme="minorEastAsia" w:hAnsiTheme="minorEastAsia" w:eastAsiaTheme="minorEastAsia" w:cstheme="minorEastAsia"/>
                <w:color w:val="auto"/>
                <w:highlight w:val="none"/>
              </w:rPr>
              <w:t>①</w:t>
            </w:r>
            <w:r>
              <w:rPr>
                <w:color w:val="auto"/>
                <w:highlight w:val="none"/>
              </w:rPr>
              <w:t>清洗线由</w:t>
            </w:r>
            <w:r>
              <w:rPr>
                <w:rFonts w:hint="eastAsia"/>
                <w:color w:val="auto"/>
                <w:highlight w:val="none"/>
                <w:lang w:val="en-US" w:eastAsia="zh-CN"/>
              </w:rPr>
              <w:t>预</w:t>
            </w:r>
            <w:r>
              <w:rPr>
                <w:color w:val="auto"/>
                <w:highlight w:val="none"/>
              </w:rPr>
              <w:t>脱脂清洗喷淋系统水槽、</w:t>
            </w:r>
            <w:r>
              <w:rPr>
                <w:rFonts w:hint="eastAsia"/>
                <w:color w:val="auto"/>
                <w:highlight w:val="none"/>
              </w:rPr>
              <w:t>主脱脂清洗喷淋系统水槽、水洗喷淋系统水槽、水洗防锈喷淋系统水槽共</w:t>
            </w:r>
            <w:r>
              <w:rPr>
                <w:rFonts w:hint="eastAsia"/>
                <w:color w:val="auto"/>
                <w:highlight w:val="none"/>
                <w:lang w:val="en-US" w:eastAsia="zh-CN"/>
              </w:rPr>
              <w:t>4</w:t>
            </w:r>
            <w:r>
              <w:rPr>
                <w:rFonts w:hint="eastAsia"/>
                <w:color w:val="auto"/>
                <w:highlight w:val="none"/>
              </w:rPr>
              <w:t>个水槽作为清洗用水，各个水</w:t>
            </w:r>
            <w:r>
              <w:rPr>
                <w:rFonts w:hint="eastAsia"/>
                <w:color w:val="auto"/>
                <w:highlight w:val="none"/>
                <w:lang w:val="en-US" w:eastAsia="zh-CN"/>
              </w:rPr>
              <w:t>槽加入</w:t>
            </w:r>
            <w:r>
              <w:rPr>
                <w:rFonts w:hint="eastAsia"/>
                <w:color w:val="0D0D0D" w:themeColor="text1" w:themeTint="F2"/>
                <w:highlight w:val="none"/>
                <w:lang w:val="en-US" w:eastAsia="zh-CN"/>
                <w14:textFill>
                  <w14:solidFill>
                    <w14:schemeClr w14:val="tx1">
                      <w14:lumMod w14:val="95000"/>
                      <w14:lumOff w14:val="5000"/>
                    </w14:schemeClr>
                  </w14:solidFill>
                </w14:textFill>
              </w:rPr>
              <w:t>工艺水量</w:t>
            </w:r>
            <w:r>
              <w:rPr>
                <w:rFonts w:hint="eastAsia"/>
                <w:color w:val="0D0D0D" w:themeColor="text1" w:themeTint="F2"/>
                <w:highlight w:val="none"/>
                <w14:textFill>
                  <w14:solidFill>
                    <w14:schemeClr w14:val="tx1">
                      <w14:lumMod w14:val="95000"/>
                      <w14:lumOff w14:val="5000"/>
                    </w14:schemeClr>
                  </w14:solidFill>
                </w14:textFill>
              </w:rPr>
              <w:t>共需</w:t>
            </w:r>
            <w:r>
              <w:rPr>
                <w:rFonts w:hint="eastAsia"/>
                <w:color w:val="0D0D0D" w:themeColor="text1" w:themeTint="F2"/>
                <w:highlight w:val="none"/>
                <w:lang w:val="en-US" w:eastAsia="zh-CN"/>
                <w14:textFill>
                  <w14:solidFill>
                    <w14:schemeClr w14:val="tx1">
                      <w14:lumMod w14:val="95000"/>
                      <w14:lumOff w14:val="5000"/>
                    </w14:schemeClr>
                  </w14:solidFill>
                </w14:textFill>
              </w:rPr>
              <w:t>2.8</w:t>
            </w:r>
            <w:r>
              <w:rPr>
                <w:rFonts w:hint="eastAsia"/>
                <w:color w:val="0D0D0D" w:themeColor="text1" w:themeTint="F2"/>
                <w:highlight w:val="none"/>
                <w14:textFill>
                  <w14:solidFill>
                    <w14:schemeClr w14:val="tx1">
                      <w14:lumMod w14:val="95000"/>
                      <w14:lumOff w14:val="5000"/>
                    </w14:schemeClr>
                  </w14:solidFill>
                </w14:textFill>
              </w:rPr>
              <w:t>t（一般情况下可循环使用30d左右，本次评价按30天计算，平均0.0</w:t>
            </w:r>
            <w:r>
              <w:rPr>
                <w:rFonts w:hint="eastAsia"/>
                <w:color w:val="0D0D0D" w:themeColor="text1" w:themeTint="F2"/>
                <w:highlight w:val="none"/>
                <w:lang w:val="en-US" w:eastAsia="zh-CN"/>
                <w14:textFill>
                  <w14:solidFill>
                    <w14:schemeClr w14:val="tx1">
                      <w14:lumMod w14:val="95000"/>
                      <w14:lumOff w14:val="5000"/>
                    </w14:schemeClr>
                  </w14:solidFill>
                </w14:textFill>
              </w:rPr>
              <w:t>93</w:t>
            </w:r>
            <w:r>
              <w:rPr>
                <w:rFonts w:hint="eastAsia"/>
                <w:color w:val="0D0D0D" w:themeColor="text1" w:themeTint="F2"/>
                <w:highlight w:val="none"/>
                <w14:textFill>
                  <w14:solidFill>
                    <w14:schemeClr w14:val="tx1">
                      <w14:lumMod w14:val="95000"/>
                      <w14:lumOff w14:val="5000"/>
                    </w14:schemeClr>
                  </w14:solidFill>
                </w14:textFill>
              </w:rPr>
              <w:t>t/d），然后</w:t>
            </w:r>
            <w:r>
              <w:rPr>
                <w:rFonts w:hint="eastAsia"/>
                <w:color w:val="0D0D0D" w:themeColor="text1" w:themeTint="F2"/>
                <w:highlight w:val="none"/>
                <w:lang w:val="en-US" w:eastAsia="zh-CN"/>
                <w14:textFill>
                  <w14:solidFill>
                    <w14:schemeClr w14:val="tx1">
                      <w14:lumMod w14:val="95000"/>
                      <w14:lumOff w14:val="5000"/>
                    </w14:schemeClr>
                  </w14:solidFill>
                </w14:textFill>
              </w:rPr>
              <w:t>按照工艺要求</w:t>
            </w:r>
            <w:r>
              <w:rPr>
                <w:rFonts w:hint="eastAsia"/>
                <w:color w:val="0D0D0D" w:themeColor="text1" w:themeTint="F2"/>
                <w:highlight w:val="none"/>
                <w14:textFill>
                  <w14:solidFill>
                    <w14:schemeClr w14:val="tx1">
                      <w14:lumMod w14:val="95000"/>
                      <w14:lumOff w14:val="5000"/>
                    </w14:schemeClr>
                  </w14:solidFill>
                </w14:textFill>
              </w:rPr>
              <w:t>加入药</w:t>
            </w:r>
            <w:r>
              <w:rPr>
                <w:rFonts w:hint="eastAsia"/>
                <w:color w:val="0D0D0D" w:themeColor="text1" w:themeTint="F2"/>
                <w:highlight w:val="none"/>
                <w:lang w:val="en-US" w:eastAsia="zh-CN"/>
                <w14:textFill>
                  <w14:solidFill>
                    <w14:schemeClr w14:val="tx1">
                      <w14:lumMod w14:val="95000"/>
                      <w14:lumOff w14:val="5000"/>
                    </w14:schemeClr>
                  </w14:solidFill>
                </w14:textFill>
              </w:rPr>
              <w:t>剂</w:t>
            </w:r>
            <w:r>
              <w:rPr>
                <w:rFonts w:hint="eastAsia"/>
                <w:color w:val="0D0D0D" w:themeColor="text1" w:themeTint="F2"/>
                <w:highlight w:val="none"/>
                <w14:textFill>
                  <w14:solidFill>
                    <w14:schemeClr w14:val="tx1">
                      <w14:lumMod w14:val="95000"/>
                      <w14:lumOff w14:val="5000"/>
                    </w14:schemeClr>
                  </w14:solidFill>
                </w14:textFill>
              </w:rPr>
              <w:t>，进行工件清洗。</w:t>
            </w:r>
          </w:p>
          <w:p w14:paraId="681FF473">
            <w:pPr>
              <w:pStyle w:val="6"/>
              <w:spacing w:line="360" w:lineRule="auto"/>
              <w:ind w:firstLine="480"/>
              <w:rPr>
                <w:rFonts w:hint="eastAsia"/>
                <w:color w:val="auto"/>
                <w:highlight w:val="none"/>
              </w:rPr>
            </w:pPr>
            <w:r>
              <w:rPr>
                <w:rFonts w:hint="eastAsia"/>
                <w:color w:val="auto"/>
                <w:highlight w:val="none"/>
              </w:rPr>
              <w:t>②加入药</w:t>
            </w:r>
            <w:r>
              <w:rPr>
                <w:rFonts w:hint="eastAsia"/>
                <w:color w:val="auto"/>
                <w:highlight w:val="none"/>
                <w:lang w:val="en-US" w:eastAsia="zh-CN"/>
              </w:rPr>
              <w:t>剂</w:t>
            </w:r>
            <w:r>
              <w:rPr>
                <w:rFonts w:hint="eastAsia"/>
                <w:color w:val="auto"/>
                <w:highlight w:val="none"/>
              </w:rPr>
              <w:t>中携带部分水</w:t>
            </w:r>
            <w:r>
              <w:rPr>
                <w:rFonts w:hint="eastAsia"/>
                <w:color w:val="auto"/>
                <w:highlight w:val="none"/>
                <w:lang w:val="en-US" w:eastAsia="zh-CN"/>
              </w:rPr>
              <w:t>进入系统</w:t>
            </w:r>
            <w:r>
              <w:rPr>
                <w:rFonts w:hint="eastAsia"/>
                <w:color w:val="auto"/>
                <w:highlight w:val="none"/>
              </w:rPr>
              <w:t>。本次评价取平均值，重油垢清洗剂含水量平均为</w:t>
            </w:r>
            <w:r>
              <w:rPr>
                <w:rFonts w:hint="eastAsia"/>
                <w:color w:val="auto"/>
                <w:highlight w:val="none"/>
                <w:lang w:val="en-US" w:eastAsia="zh-CN"/>
              </w:rPr>
              <w:t>67</w:t>
            </w:r>
            <w:r>
              <w:rPr>
                <w:rFonts w:hint="eastAsia"/>
                <w:color w:val="auto"/>
                <w:highlight w:val="none"/>
              </w:rPr>
              <w:t>%、多功能防锈剂含水量平均为</w:t>
            </w:r>
            <w:r>
              <w:rPr>
                <w:rFonts w:hint="eastAsia"/>
                <w:color w:val="auto"/>
                <w:highlight w:val="none"/>
                <w:lang w:val="en-US" w:eastAsia="zh-CN"/>
              </w:rPr>
              <w:t>57</w:t>
            </w:r>
            <w:r>
              <w:rPr>
                <w:rFonts w:hint="eastAsia"/>
                <w:color w:val="auto"/>
                <w:highlight w:val="none"/>
              </w:rPr>
              <w:t>%，重油垢清洗剂年用量为1.9t、多功能防锈剂年用量为1.6t，</w:t>
            </w:r>
            <w:r>
              <w:rPr>
                <w:rFonts w:hint="eastAsia"/>
                <w:color w:val="auto"/>
                <w:highlight w:val="none"/>
                <w:lang w:val="en-US" w:eastAsia="zh-CN"/>
              </w:rPr>
              <w:t>折算药剂进入系统水量为</w:t>
            </w:r>
            <w:r>
              <w:rPr>
                <w:rFonts w:hint="eastAsia"/>
                <w:color w:val="auto"/>
                <w:highlight w:val="none"/>
              </w:rPr>
              <w:t>0.00</w:t>
            </w:r>
            <w:r>
              <w:rPr>
                <w:rFonts w:hint="eastAsia"/>
                <w:color w:val="auto"/>
                <w:highlight w:val="none"/>
                <w:lang w:val="en-US" w:eastAsia="zh-CN"/>
              </w:rPr>
              <w:t>7</w:t>
            </w:r>
            <w:r>
              <w:rPr>
                <w:rFonts w:hint="eastAsia"/>
                <w:color w:val="auto"/>
                <w:highlight w:val="none"/>
              </w:rPr>
              <w:t>t/d。</w:t>
            </w:r>
          </w:p>
          <w:p w14:paraId="7A40FF20">
            <w:pPr>
              <w:pStyle w:val="6"/>
              <w:spacing w:line="360" w:lineRule="auto"/>
              <w:ind w:firstLine="480"/>
              <w:rPr>
                <w:color w:val="auto"/>
                <w:highlight w:val="none"/>
              </w:rPr>
            </w:pPr>
            <w:r>
              <w:rPr>
                <w:rFonts w:hint="eastAsia" w:asciiTheme="minorEastAsia" w:hAnsiTheme="minorEastAsia" w:eastAsiaTheme="minorEastAsia" w:cstheme="minorEastAsia"/>
                <w:color w:val="auto"/>
                <w:highlight w:val="none"/>
              </w:rPr>
              <w:t>③</w:t>
            </w:r>
            <w:r>
              <w:rPr>
                <w:rFonts w:hint="eastAsia" w:ascii="Calibri" w:hAnsi="Calibri" w:cs="Calibri"/>
                <w:color w:val="auto"/>
                <w:highlight w:val="none"/>
              </w:rPr>
              <w:t>清洗</w:t>
            </w:r>
            <w:r>
              <w:rPr>
                <w:rFonts w:hint="eastAsia" w:ascii="Calibri" w:hAnsi="Calibri" w:cs="Calibri"/>
                <w:color w:val="auto"/>
                <w:highlight w:val="none"/>
                <w:lang w:val="en-US" w:eastAsia="zh-CN"/>
              </w:rPr>
              <w:t>线工作时</w:t>
            </w:r>
            <w:r>
              <w:rPr>
                <w:spacing w:val="-2"/>
              </w:rPr>
              <w:t>预脱脂</w:t>
            </w:r>
            <w:r>
              <w:rPr>
                <w:rFonts w:hint="eastAsia"/>
                <w:spacing w:val="-2"/>
                <w:lang w:eastAsia="zh-CN"/>
              </w:rPr>
              <w:t>、</w:t>
            </w:r>
            <w:r>
              <w:rPr>
                <w:rFonts w:hint="eastAsia"/>
                <w:spacing w:val="-2"/>
                <w:lang w:val="en-US" w:eastAsia="zh-CN"/>
              </w:rPr>
              <w:t>主脱脂、喷淋水洗防锈</w:t>
            </w:r>
            <w:r>
              <w:rPr>
                <w:rFonts w:hint="eastAsia" w:ascii="Calibri" w:hAnsi="Calibri" w:cs="Calibri"/>
                <w:color w:val="auto"/>
                <w:highlight w:val="none"/>
              </w:rPr>
              <w:t>工序水</w:t>
            </w:r>
            <w:r>
              <w:rPr>
                <w:rFonts w:hint="eastAsia"/>
                <w:color w:val="auto"/>
                <w:highlight w:val="none"/>
              </w:rPr>
              <w:t>温为</w:t>
            </w:r>
            <w:r>
              <w:rPr>
                <w:rFonts w:hint="eastAsia"/>
                <w:color w:val="auto"/>
                <w:highlight w:val="none"/>
                <w:lang w:val="en-US" w:eastAsia="zh-CN"/>
              </w:rPr>
              <w:t>4</w:t>
            </w:r>
            <w:r>
              <w:rPr>
                <w:rFonts w:hint="eastAsia"/>
                <w:color w:val="auto"/>
                <w:highlight w:val="none"/>
              </w:rPr>
              <w:t>0~55℃，喷淋水洗</w:t>
            </w:r>
            <w:r>
              <w:rPr>
                <w:rFonts w:hint="eastAsia"/>
                <w:color w:val="auto"/>
                <w:highlight w:val="none"/>
                <w:lang w:val="en-US" w:eastAsia="zh-CN"/>
              </w:rPr>
              <w:t>工序水温常温；各段高压切水设有水雾排风风机及时把水雾排出，</w:t>
            </w:r>
            <w:r>
              <w:rPr>
                <w:spacing w:val="-2"/>
              </w:rPr>
              <w:t>烘干段</w:t>
            </w:r>
            <w:r>
              <w:rPr>
                <w:rFonts w:hint="eastAsia"/>
                <w:spacing w:val="-2"/>
                <w:lang w:val="en-US" w:eastAsia="zh-CN"/>
              </w:rPr>
              <w:t>采用热风循环加热排出水分；清洗系统水分通过以上工艺，大部分水分会挥发损失排入大气</w:t>
            </w:r>
            <w:r>
              <w:rPr>
                <w:rFonts w:hint="eastAsia"/>
                <w:color w:val="auto"/>
                <w:highlight w:val="none"/>
              </w:rPr>
              <w:t>，</w:t>
            </w:r>
            <w:r>
              <w:rPr>
                <w:rFonts w:hint="eastAsia"/>
                <w:color w:val="auto"/>
                <w:highlight w:val="none"/>
                <w:lang w:val="en-US" w:eastAsia="zh-CN"/>
              </w:rPr>
              <w:t>根据同行及清洗厂家设计文件，清洗系统</w:t>
            </w:r>
            <w:r>
              <w:rPr>
                <w:rFonts w:hint="eastAsia"/>
                <w:spacing w:val="-2"/>
                <w:lang w:val="en-US" w:eastAsia="zh-CN"/>
              </w:rPr>
              <w:t>挥发损失水分为50%，折算挥发损失量为0.05t/d</w:t>
            </w:r>
            <w:r>
              <w:rPr>
                <w:rFonts w:hint="eastAsia"/>
                <w:color w:val="auto"/>
                <w:highlight w:val="none"/>
              </w:rPr>
              <w:t>。</w:t>
            </w:r>
          </w:p>
          <w:p w14:paraId="5F841DD2">
            <w:pPr>
              <w:pStyle w:val="6"/>
              <w:spacing w:line="360" w:lineRule="auto"/>
              <w:ind w:firstLine="480"/>
              <w:rPr>
                <w:rFonts w:hint="eastAsia"/>
                <w:color w:val="auto"/>
                <w:highlight w:val="none"/>
                <w:lang w:val="en-US" w:eastAsia="zh-CN"/>
              </w:rPr>
            </w:pPr>
            <w:r>
              <w:rPr>
                <w:rFonts w:hint="eastAsia" w:asciiTheme="majorEastAsia" w:hAnsiTheme="majorEastAsia" w:eastAsiaTheme="majorEastAsia" w:cstheme="majorEastAsia"/>
                <w:color w:val="auto"/>
                <w:highlight w:val="none"/>
              </w:rPr>
              <w:t>④</w:t>
            </w:r>
            <w:r>
              <w:rPr>
                <w:rFonts w:hint="eastAsia"/>
                <w:color w:val="auto"/>
                <w:highlight w:val="none"/>
              </w:rPr>
              <w:t>当</w:t>
            </w:r>
            <w:r>
              <w:rPr>
                <w:rFonts w:hint="eastAsia"/>
                <w:color w:val="auto"/>
                <w:highlight w:val="none"/>
                <w:lang w:val="en-US" w:eastAsia="zh-CN"/>
              </w:rPr>
              <w:t>系统</w:t>
            </w:r>
            <w:r>
              <w:rPr>
                <w:rFonts w:hint="eastAsia"/>
                <w:color w:val="auto"/>
                <w:highlight w:val="none"/>
              </w:rPr>
              <w:t>清洗下来的</w:t>
            </w:r>
            <w:r>
              <w:rPr>
                <w:rFonts w:hint="eastAsia"/>
                <w:color w:val="auto"/>
                <w:highlight w:val="none"/>
                <w:lang w:val="en-US" w:eastAsia="zh-CN"/>
              </w:rPr>
              <w:t>水槽</w:t>
            </w:r>
            <w:r>
              <w:rPr>
                <w:rFonts w:hint="eastAsia"/>
                <w:color w:val="auto"/>
                <w:highlight w:val="none"/>
              </w:rPr>
              <w:t>污染物多至不能满足清洗</w:t>
            </w:r>
            <w:r>
              <w:rPr>
                <w:rFonts w:hint="eastAsia"/>
                <w:color w:val="auto"/>
                <w:highlight w:val="none"/>
                <w:lang w:val="en-US" w:eastAsia="zh-CN"/>
              </w:rPr>
              <w:t>工艺</w:t>
            </w:r>
            <w:r>
              <w:rPr>
                <w:rFonts w:hint="eastAsia"/>
                <w:color w:val="auto"/>
                <w:highlight w:val="none"/>
              </w:rPr>
              <w:t>需要时进行更换。一般情况下</w:t>
            </w:r>
            <w:r>
              <w:rPr>
                <w:rFonts w:hint="eastAsia"/>
                <w:color w:val="auto"/>
                <w:highlight w:val="none"/>
                <w:lang w:val="en-US" w:eastAsia="zh-CN"/>
              </w:rPr>
              <w:t>各水槽</w:t>
            </w:r>
            <w:r>
              <w:rPr>
                <w:rFonts w:hint="eastAsia"/>
                <w:color w:val="auto"/>
                <w:highlight w:val="none"/>
              </w:rPr>
              <w:t>循环使用30d左右，本次评价按30天计算。清洗污水产生情况</w:t>
            </w:r>
            <w:r>
              <w:rPr>
                <w:rFonts w:hint="eastAsia"/>
                <w:color w:val="auto"/>
                <w:highlight w:val="none"/>
                <w:lang w:val="en-US" w:eastAsia="zh-CN"/>
              </w:rPr>
              <w:t>折算</w:t>
            </w:r>
            <w:r>
              <w:rPr>
                <w:rFonts w:hint="eastAsia"/>
                <w:color w:val="auto"/>
                <w:highlight w:val="none"/>
              </w:rPr>
              <w:t>为</w:t>
            </w:r>
            <w:r>
              <w:rPr>
                <w:rFonts w:hint="eastAsia"/>
                <w:color w:val="auto"/>
                <w:highlight w:val="none"/>
                <w:lang w:val="en-US" w:eastAsia="zh-CN"/>
              </w:rPr>
              <w:t>1.5</w:t>
            </w:r>
            <w:r>
              <w:rPr>
                <w:rFonts w:hint="eastAsia"/>
                <w:color w:val="auto"/>
                <w:highlight w:val="none"/>
              </w:rPr>
              <w:t>t/30d、0.0</w:t>
            </w:r>
            <w:r>
              <w:rPr>
                <w:rFonts w:hint="eastAsia"/>
                <w:color w:val="auto"/>
                <w:highlight w:val="none"/>
                <w:lang w:val="en-US" w:eastAsia="zh-CN"/>
              </w:rPr>
              <w:t>5</w:t>
            </w:r>
            <w:r>
              <w:rPr>
                <w:rFonts w:hint="eastAsia"/>
                <w:color w:val="auto"/>
                <w:highlight w:val="none"/>
              </w:rPr>
              <w:t>t/d。</w:t>
            </w:r>
            <w:r>
              <w:rPr>
                <w:rFonts w:hint="eastAsia"/>
                <w:color w:val="auto"/>
                <w:highlight w:val="none"/>
                <w:lang w:val="en-US" w:eastAsia="zh-CN"/>
              </w:rPr>
              <w:t>最后</w:t>
            </w:r>
            <w:r>
              <w:rPr>
                <w:rFonts w:hint="eastAsia"/>
                <w:color w:val="auto"/>
                <w:highlight w:val="none"/>
              </w:rPr>
              <w:t>清洗</w:t>
            </w:r>
            <w:r>
              <w:rPr>
                <w:rFonts w:hint="eastAsia"/>
                <w:color w:val="auto"/>
                <w:highlight w:val="none"/>
                <w:lang w:val="en-US" w:eastAsia="zh-CN"/>
              </w:rPr>
              <w:t>废</w:t>
            </w:r>
            <w:r>
              <w:rPr>
                <w:rFonts w:hint="eastAsia"/>
                <w:color w:val="auto"/>
                <w:highlight w:val="none"/>
              </w:rPr>
              <w:t>水</w:t>
            </w:r>
            <w:r>
              <w:rPr>
                <w:rFonts w:hint="eastAsia"/>
                <w:color w:val="auto"/>
                <w:highlight w:val="none"/>
                <w:lang w:val="en-US" w:eastAsia="zh-CN"/>
              </w:rPr>
              <w:t>通过各水槽排放口排出汇集后流入厂区排水管网；最终进入行唐县第二污水处理厂。</w:t>
            </w:r>
          </w:p>
          <w:p w14:paraId="7CA09614">
            <w:pPr>
              <w:pStyle w:val="14"/>
              <w:numPr>
                <w:ilvl w:val="0"/>
                <w:numId w:val="0"/>
              </w:numPr>
              <w:jc w:val="center"/>
              <w:rPr>
                <w:b/>
                <w:bCs/>
                <w:color w:val="auto"/>
                <w:sz w:val="24"/>
                <w:highlight w:val="none"/>
              </w:rPr>
            </w:pPr>
            <w:r>
              <w:rPr>
                <w:rFonts w:hint="eastAsia"/>
                <w:b/>
                <w:bCs/>
                <w:color w:val="auto"/>
                <w:sz w:val="24"/>
                <w:highlight w:val="none"/>
              </w:rPr>
              <w:t>表2-1</w:t>
            </w:r>
            <w:r>
              <w:rPr>
                <w:rFonts w:hint="eastAsia"/>
                <w:b/>
                <w:bCs/>
                <w:color w:val="auto"/>
                <w:sz w:val="24"/>
                <w:highlight w:val="none"/>
                <w:lang w:val="en-US" w:eastAsia="zh-CN"/>
              </w:rPr>
              <w:t>2</w:t>
            </w:r>
            <w:r>
              <w:rPr>
                <w:rFonts w:hint="eastAsia"/>
                <w:b/>
                <w:bCs/>
                <w:color w:val="auto"/>
                <w:sz w:val="24"/>
                <w:highlight w:val="none"/>
              </w:rPr>
              <w:t xml:space="preserve">  技改项目水平衡表   t/d</w:t>
            </w:r>
          </w:p>
          <w:tbl>
            <w:tblPr>
              <w:tblStyle w:val="36"/>
              <w:tblW w:w="8078" w:type="dxa"/>
              <w:jc w:val="center"/>
              <w:tblLayout w:type="autofit"/>
              <w:tblCellMar>
                <w:top w:w="0" w:type="dxa"/>
                <w:left w:w="108" w:type="dxa"/>
                <w:bottom w:w="0" w:type="dxa"/>
                <w:right w:w="108" w:type="dxa"/>
              </w:tblCellMar>
            </w:tblPr>
            <w:tblGrid>
              <w:gridCol w:w="2251"/>
              <w:gridCol w:w="897"/>
              <w:gridCol w:w="853"/>
              <w:gridCol w:w="991"/>
              <w:gridCol w:w="1025"/>
              <w:gridCol w:w="852"/>
              <w:gridCol w:w="1209"/>
            </w:tblGrid>
            <w:tr w14:paraId="1519DF35">
              <w:tblPrEx>
                <w:tblCellMar>
                  <w:top w:w="0" w:type="dxa"/>
                  <w:left w:w="108" w:type="dxa"/>
                  <w:bottom w:w="0" w:type="dxa"/>
                  <w:right w:w="108" w:type="dxa"/>
                </w:tblCellMar>
              </w:tblPrEx>
              <w:trPr>
                <w:trHeight w:val="375" w:hRule="atLeast"/>
                <w:jc w:val="center"/>
              </w:trPr>
              <w:tc>
                <w:tcPr>
                  <w:tcW w:w="2251" w:type="dxa"/>
                  <w:vMerge w:val="restart"/>
                  <w:tcBorders>
                    <w:top w:val="single" w:color="auto" w:sz="4" w:space="0"/>
                    <w:left w:val="single" w:color="auto" w:sz="4" w:space="0"/>
                    <w:right w:val="single" w:color="auto" w:sz="4" w:space="0"/>
                  </w:tcBorders>
                  <w:noWrap/>
                  <w:vAlign w:val="center"/>
                </w:tcPr>
                <w:p w14:paraId="41131134">
                  <w:pPr>
                    <w:widowControl/>
                    <w:jc w:val="center"/>
                    <w:rPr>
                      <w:b/>
                      <w:bCs/>
                      <w:color w:val="auto"/>
                      <w:sz w:val="21"/>
                      <w:szCs w:val="21"/>
                      <w:highlight w:val="none"/>
                    </w:rPr>
                  </w:pPr>
                  <w:r>
                    <w:rPr>
                      <w:b/>
                      <w:bCs/>
                      <w:color w:val="auto"/>
                      <w:sz w:val="21"/>
                      <w:szCs w:val="21"/>
                      <w:highlight w:val="none"/>
                    </w:rPr>
                    <w:t>项目</w:t>
                  </w:r>
                </w:p>
              </w:tc>
              <w:tc>
                <w:tcPr>
                  <w:tcW w:w="3766" w:type="dxa"/>
                  <w:gridSpan w:val="4"/>
                  <w:tcBorders>
                    <w:top w:val="single" w:color="auto" w:sz="4" w:space="0"/>
                    <w:left w:val="single" w:color="auto" w:sz="4" w:space="0"/>
                    <w:bottom w:val="single" w:color="auto" w:sz="4" w:space="0"/>
                    <w:right w:val="single" w:color="auto" w:sz="4" w:space="0"/>
                  </w:tcBorders>
                  <w:noWrap/>
                  <w:vAlign w:val="center"/>
                </w:tcPr>
                <w:p w14:paraId="3EF22A5D">
                  <w:pPr>
                    <w:widowControl/>
                    <w:jc w:val="center"/>
                    <w:textAlignment w:val="center"/>
                    <w:rPr>
                      <w:rFonts w:hint="default" w:eastAsia="宋体"/>
                      <w:b/>
                      <w:bCs/>
                      <w:color w:val="auto"/>
                      <w:sz w:val="21"/>
                      <w:szCs w:val="21"/>
                      <w:highlight w:val="none"/>
                      <w:lang w:val="en-US" w:eastAsia="zh-CN"/>
                    </w:rPr>
                  </w:pPr>
                  <w:r>
                    <w:rPr>
                      <w:b/>
                      <w:bCs/>
                      <w:color w:val="auto"/>
                      <w:kern w:val="0"/>
                      <w:sz w:val="21"/>
                      <w:szCs w:val="21"/>
                      <w:highlight w:val="none"/>
                      <w:lang w:bidi="ar"/>
                    </w:rPr>
                    <w:t>用水情况</w:t>
                  </w:r>
                </w:p>
              </w:tc>
              <w:tc>
                <w:tcPr>
                  <w:tcW w:w="852" w:type="dxa"/>
                  <w:vMerge w:val="restart"/>
                  <w:tcBorders>
                    <w:top w:val="single" w:color="auto" w:sz="4" w:space="0"/>
                    <w:left w:val="single" w:color="auto" w:sz="4" w:space="0"/>
                    <w:bottom w:val="single" w:color="auto" w:sz="4" w:space="0"/>
                    <w:right w:val="single" w:color="auto" w:sz="4" w:space="0"/>
                  </w:tcBorders>
                  <w:noWrap/>
                  <w:vAlign w:val="center"/>
                </w:tcPr>
                <w:p w14:paraId="4E827D07">
                  <w:pPr>
                    <w:widowControl/>
                    <w:jc w:val="center"/>
                    <w:textAlignment w:val="center"/>
                    <w:rPr>
                      <w:b/>
                      <w:bCs/>
                      <w:color w:val="auto"/>
                      <w:kern w:val="0"/>
                      <w:sz w:val="21"/>
                      <w:szCs w:val="21"/>
                      <w:highlight w:val="none"/>
                      <w:lang w:bidi="ar"/>
                    </w:rPr>
                  </w:pPr>
                  <w:r>
                    <w:rPr>
                      <w:b/>
                      <w:bCs/>
                      <w:color w:val="auto"/>
                      <w:kern w:val="0"/>
                      <w:sz w:val="21"/>
                      <w:szCs w:val="21"/>
                      <w:highlight w:val="none"/>
                      <w:lang w:bidi="ar"/>
                    </w:rPr>
                    <w:t>损失量</w:t>
                  </w:r>
                </w:p>
              </w:tc>
              <w:tc>
                <w:tcPr>
                  <w:tcW w:w="1209" w:type="dxa"/>
                  <w:vMerge w:val="restart"/>
                  <w:tcBorders>
                    <w:top w:val="single" w:color="auto" w:sz="4" w:space="0"/>
                    <w:left w:val="single" w:color="auto" w:sz="4" w:space="0"/>
                    <w:right w:val="single" w:color="auto" w:sz="4" w:space="0"/>
                  </w:tcBorders>
                  <w:noWrap/>
                  <w:vAlign w:val="center"/>
                </w:tcPr>
                <w:p w14:paraId="3BC0C2E0">
                  <w:pPr>
                    <w:widowControl/>
                    <w:jc w:val="center"/>
                    <w:textAlignment w:val="center"/>
                    <w:rPr>
                      <w:b/>
                      <w:bCs/>
                      <w:color w:val="auto"/>
                      <w:sz w:val="21"/>
                      <w:szCs w:val="21"/>
                      <w:highlight w:val="none"/>
                    </w:rPr>
                  </w:pPr>
                  <w:r>
                    <w:rPr>
                      <w:b/>
                      <w:bCs/>
                      <w:color w:val="auto"/>
                      <w:kern w:val="0"/>
                      <w:sz w:val="21"/>
                      <w:szCs w:val="21"/>
                      <w:highlight w:val="none"/>
                      <w:lang w:bidi="ar"/>
                    </w:rPr>
                    <w:t>排放情况</w:t>
                  </w:r>
                </w:p>
              </w:tc>
            </w:tr>
            <w:tr w14:paraId="7DBA07BE">
              <w:tblPrEx>
                <w:tblCellMar>
                  <w:top w:w="0" w:type="dxa"/>
                  <w:left w:w="108" w:type="dxa"/>
                  <w:bottom w:w="0" w:type="dxa"/>
                  <w:right w:w="108" w:type="dxa"/>
                </w:tblCellMar>
              </w:tblPrEx>
              <w:trPr>
                <w:trHeight w:val="303" w:hRule="atLeast"/>
                <w:jc w:val="center"/>
              </w:trPr>
              <w:tc>
                <w:tcPr>
                  <w:tcW w:w="2251" w:type="dxa"/>
                  <w:vMerge w:val="continue"/>
                  <w:tcBorders>
                    <w:left w:val="single" w:color="auto" w:sz="4" w:space="0"/>
                    <w:bottom w:val="single" w:color="auto" w:sz="4" w:space="0"/>
                    <w:right w:val="single" w:color="auto" w:sz="4" w:space="0"/>
                  </w:tcBorders>
                  <w:noWrap/>
                  <w:vAlign w:val="center"/>
                </w:tcPr>
                <w:p w14:paraId="2F3C6627">
                  <w:pPr>
                    <w:widowControl/>
                    <w:jc w:val="center"/>
                    <w:rPr>
                      <w:b/>
                      <w:bCs/>
                      <w:color w:val="auto"/>
                      <w:sz w:val="21"/>
                      <w:szCs w:val="21"/>
                      <w:highlight w:val="none"/>
                    </w:rPr>
                  </w:pPr>
                </w:p>
              </w:tc>
              <w:tc>
                <w:tcPr>
                  <w:tcW w:w="897" w:type="dxa"/>
                  <w:tcBorders>
                    <w:top w:val="single" w:color="auto" w:sz="4" w:space="0"/>
                    <w:left w:val="single" w:color="auto" w:sz="4" w:space="0"/>
                    <w:bottom w:val="single" w:color="auto" w:sz="4" w:space="0"/>
                    <w:right w:val="single" w:color="auto" w:sz="4" w:space="0"/>
                  </w:tcBorders>
                  <w:noWrap/>
                  <w:vAlign w:val="center"/>
                </w:tcPr>
                <w:p w14:paraId="02A741E3">
                  <w:pPr>
                    <w:widowControl/>
                    <w:jc w:val="center"/>
                    <w:textAlignment w:val="center"/>
                    <w:rPr>
                      <w:b/>
                      <w:bCs/>
                      <w:color w:val="auto"/>
                      <w:sz w:val="21"/>
                      <w:szCs w:val="21"/>
                      <w:highlight w:val="none"/>
                    </w:rPr>
                  </w:pPr>
                  <w:r>
                    <w:rPr>
                      <w:b/>
                      <w:bCs/>
                      <w:color w:val="auto"/>
                      <w:kern w:val="0"/>
                      <w:sz w:val="21"/>
                      <w:szCs w:val="21"/>
                      <w:highlight w:val="none"/>
                      <w:lang w:bidi="ar"/>
                    </w:rPr>
                    <w:t>总用水量</w:t>
                  </w:r>
                </w:p>
              </w:tc>
              <w:tc>
                <w:tcPr>
                  <w:tcW w:w="853" w:type="dxa"/>
                  <w:tcBorders>
                    <w:top w:val="single" w:color="auto" w:sz="4" w:space="0"/>
                    <w:left w:val="single" w:color="auto" w:sz="4" w:space="0"/>
                    <w:bottom w:val="single" w:color="auto" w:sz="4" w:space="0"/>
                    <w:right w:val="single" w:color="auto" w:sz="4" w:space="0"/>
                  </w:tcBorders>
                  <w:noWrap/>
                  <w:vAlign w:val="center"/>
                </w:tcPr>
                <w:p w14:paraId="4F037377">
                  <w:pPr>
                    <w:widowControl/>
                    <w:jc w:val="center"/>
                    <w:textAlignment w:val="center"/>
                    <w:rPr>
                      <w:rFonts w:hint="eastAsia" w:eastAsia="宋体"/>
                      <w:b/>
                      <w:bCs/>
                      <w:color w:val="auto"/>
                      <w:sz w:val="21"/>
                      <w:szCs w:val="21"/>
                      <w:highlight w:val="none"/>
                      <w:lang w:eastAsia="zh-CN"/>
                    </w:rPr>
                  </w:pPr>
                  <w:r>
                    <w:rPr>
                      <w:rFonts w:hint="eastAsia"/>
                      <w:b/>
                      <w:bCs/>
                      <w:color w:val="auto"/>
                      <w:kern w:val="0"/>
                      <w:sz w:val="21"/>
                      <w:szCs w:val="21"/>
                      <w:highlight w:val="none"/>
                      <w:lang w:val="en-US" w:eastAsia="zh-CN" w:bidi="ar"/>
                    </w:rPr>
                    <w:t>纯水</w:t>
                  </w:r>
                </w:p>
              </w:tc>
              <w:tc>
                <w:tcPr>
                  <w:tcW w:w="991" w:type="dxa"/>
                  <w:tcBorders>
                    <w:top w:val="single" w:color="auto" w:sz="4" w:space="0"/>
                    <w:left w:val="single" w:color="auto" w:sz="4" w:space="0"/>
                    <w:bottom w:val="single" w:color="auto" w:sz="4" w:space="0"/>
                    <w:right w:val="single" w:color="auto" w:sz="4" w:space="0"/>
                  </w:tcBorders>
                  <w:noWrap/>
                  <w:vAlign w:val="center"/>
                </w:tcPr>
                <w:p w14:paraId="1A80CAE2">
                  <w:pPr>
                    <w:widowControl/>
                    <w:jc w:val="center"/>
                    <w:textAlignment w:val="center"/>
                    <w:rPr>
                      <w:b/>
                      <w:bCs/>
                      <w:color w:val="auto"/>
                      <w:sz w:val="21"/>
                      <w:szCs w:val="21"/>
                      <w:highlight w:val="none"/>
                    </w:rPr>
                  </w:pPr>
                  <w:r>
                    <w:rPr>
                      <w:b/>
                      <w:bCs/>
                      <w:color w:val="auto"/>
                      <w:kern w:val="0"/>
                      <w:sz w:val="21"/>
                      <w:szCs w:val="21"/>
                      <w:highlight w:val="none"/>
                      <w:lang w:bidi="ar"/>
                    </w:rPr>
                    <w:t>循环水</w:t>
                  </w:r>
                </w:p>
              </w:tc>
              <w:tc>
                <w:tcPr>
                  <w:tcW w:w="1025" w:type="dxa"/>
                  <w:tcBorders>
                    <w:top w:val="single" w:color="auto" w:sz="4" w:space="0"/>
                    <w:left w:val="single" w:color="auto" w:sz="4" w:space="0"/>
                    <w:bottom w:val="single" w:color="auto" w:sz="4" w:space="0"/>
                    <w:right w:val="single" w:color="auto" w:sz="4" w:space="0"/>
                  </w:tcBorders>
                  <w:noWrap/>
                  <w:vAlign w:val="center"/>
                </w:tcPr>
                <w:p w14:paraId="58283702">
                  <w:pPr>
                    <w:widowControl/>
                    <w:jc w:val="center"/>
                    <w:textAlignment w:val="center"/>
                    <w:rPr>
                      <w:b/>
                      <w:bCs/>
                      <w:color w:val="auto"/>
                      <w:sz w:val="21"/>
                      <w:szCs w:val="21"/>
                      <w:highlight w:val="none"/>
                    </w:rPr>
                  </w:pPr>
                  <w:r>
                    <w:rPr>
                      <w:b/>
                      <w:bCs/>
                      <w:color w:val="auto"/>
                      <w:kern w:val="0"/>
                      <w:sz w:val="21"/>
                      <w:szCs w:val="21"/>
                      <w:highlight w:val="none"/>
                      <w:lang w:bidi="ar"/>
                    </w:rPr>
                    <w:t>带入水</w:t>
                  </w:r>
                </w:p>
              </w:tc>
              <w:tc>
                <w:tcPr>
                  <w:tcW w:w="852" w:type="dxa"/>
                  <w:vMerge w:val="continue"/>
                  <w:tcBorders>
                    <w:top w:val="single" w:color="auto" w:sz="4" w:space="0"/>
                    <w:left w:val="single" w:color="auto" w:sz="4" w:space="0"/>
                    <w:bottom w:val="single" w:color="auto" w:sz="4" w:space="0"/>
                    <w:right w:val="single" w:color="auto" w:sz="4" w:space="0"/>
                  </w:tcBorders>
                  <w:noWrap/>
                  <w:vAlign w:val="center"/>
                </w:tcPr>
                <w:p w14:paraId="151B1C59">
                  <w:pPr>
                    <w:widowControl/>
                    <w:jc w:val="center"/>
                    <w:rPr>
                      <w:b/>
                      <w:bCs/>
                      <w:color w:val="auto"/>
                      <w:sz w:val="21"/>
                      <w:szCs w:val="21"/>
                      <w:highlight w:val="none"/>
                    </w:rPr>
                  </w:pPr>
                </w:p>
              </w:tc>
              <w:tc>
                <w:tcPr>
                  <w:tcW w:w="1209" w:type="dxa"/>
                  <w:vMerge w:val="continue"/>
                  <w:tcBorders>
                    <w:left w:val="single" w:color="auto" w:sz="4" w:space="0"/>
                    <w:bottom w:val="single" w:color="auto" w:sz="4" w:space="0"/>
                    <w:right w:val="single" w:color="auto" w:sz="4" w:space="0"/>
                  </w:tcBorders>
                  <w:noWrap/>
                  <w:vAlign w:val="center"/>
                </w:tcPr>
                <w:p w14:paraId="3598F54B">
                  <w:pPr>
                    <w:widowControl/>
                    <w:jc w:val="center"/>
                    <w:textAlignment w:val="center"/>
                    <w:rPr>
                      <w:b/>
                      <w:bCs/>
                      <w:color w:val="auto"/>
                      <w:sz w:val="21"/>
                      <w:szCs w:val="21"/>
                      <w:highlight w:val="none"/>
                    </w:rPr>
                  </w:pPr>
                </w:p>
              </w:tc>
            </w:tr>
            <w:tr w14:paraId="748F0D85">
              <w:tblPrEx>
                <w:tblCellMar>
                  <w:top w:w="0" w:type="dxa"/>
                  <w:left w:w="108" w:type="dxa"/>
                  <w:bottom w:w="0" w:type="dxa"/>
                  <w:right w:w="108" w:type="dxa"/>
                </w:tblCellMar>
              </w:tblPrEx>
              <w:trPr>
                <w:trHeight w:val="469" w:hRule="atLeast"/>
                <w:jc w:val="center"/>
              </w:trPr>
              <w:tc>
                <w:tcPr>
                  <w:tcW w:w="2251" w:type="dxa"/>
                  <w:tcBorders>
                    <w:top w:val="single" w:color="auto" w:sz="4" w:space="0"/>
                    <w:left w:val="single" w:color="auto" w:sz="4" w:space="0"/>
                    <w:bottom w:val="single" w:color="auto" w:sz="4" w:space="0"/>
                    <w:right w:val="single" w:color="auto" w:sz="4" w:space="0"/>
                  </w:tcBorders>
                  <w:noWrap/>
                  <w:vAlign w:val="center"/>
                </w:tcPr>
                <w:p w14:paraId="2F6A72BB">
                  <w:pPr>
                    <w:widowControl/>
                    <w:ind w:firstLine="210" w:firstLineChars="100"/>
                    <w:jc w:val="left"/>
                    <w:textAlignment w:val="center"/>
                    <w:rPr>
                      <w:rFonts w:hint="default" w:eastAsia="宋体"/>
                      <w:color w:val="auto"/>
                      <w:kern w:val="2"/>
                      <w:sz w:val="21"/>
                      <w:szCs w:val="21"/>
                      <w:highlight w:val="none"/>
                      <w:lang w:val="en-US" w:eastAsia="zh-CN" w:bidi="ar-SA"/>
                    </w:rPr>
                  </w:pPr>
                  <w:r>
                    <w:rPr>
                      <w:rFonts w:hint="eastAsia"/>
                      <w:color w:val="auto"/>
                      <w:kern w:val="0"/>
                      <w:sz w:val="21"/>
                      <w:szCs w:val="21"/>
                      <w:highlight w:val="none"/>
                      <w:lang w:val="en-US" w:eastAsia="zh-CN" w:bidi="ar"/>
                    </w:rPr>
                    <w:t>清洗系统纯水</w:t>
                  </w:r>
                </w:p>
              </w:tc>
              <w:tc>
                <w:tcPr>
                  <w:tcW w:w="897" w:type="dxa"/>
                  <w:tcBorders>
                    <w:top w:val="single" w:color="auto" w:sz="4" w:space="0"/>
                    <w:left w:val="single" w:color="auto" w:sz="4" w:space="0"/>
                    <w:bottom w:val="single" w:color="auto" w:sz="4" w:space="0"/>
                    <w:right w:val="single" w:color="auto" w:sz="4" w:space="0"/>
                  </w:tcBorders>
                  <w:noWrap/>
                  <w:vAlign w:val="center"/>
                </w:tcPr>
                <w:p w14:paraId="5CEDF74A">
                  <w:pPr>
                    <w:widowControl/>
                    <w:jc w:val="center"/>
                    <w:textAlignment w:val="center"/>
                    <w:rPr>
                      <w:rFonts w:hint="default" w:eastAsia="宋体"/>
                      <w:color w:val="auto"/>
                      <w:kern w:val="2"/>
                      <w:sz w:val="21"/>
                      <w:szCs w:val="21"/>
                      <w:highlight w:val="none"/>
                      <w:lang w:val="en-US" w:eastAsia="zh-CN" w:bidi="ar-SA"/>
                    </w:rPr>
                  </w:pPr>
                  <w:r>
                    <w:rPr>
                      <w:rFonts w:hint="eastAsia"/>
                      <w:color w:val="auto"/>
                      <w:kern w:val="0"/>
                      <w:sz w:val="21"/>
                      <w:szCs w:val="21"/>
                      <w:highlight w:val="none"/>
                      <w:lang w:val="en-US" w:eastAsia="zh-CN" w:bidi="ar"/>
                    </w:rPr>
                    <w:t>0.093</w:t>
                  </w:r>
                </w:p>
              </w:tc>
              <w:tc>
                <w:tcPr>
                  <w:tcW w:w="853" w:type="dxa"/>
                  <w:tcBorders>
                    <w:top w:val="single" w:color="auto" w:sz="4" w:space="0"/>
                    <w:left w:val="single" w:color="auto" w:sz="4" w:space="0"/>
                    <w:bottom w:val="single" w:color="auto" w:sz="4" w:space="0"/>
                    <w:right w:val="single" w:color="auto" w:sz="4" w:space="0"/>
                  </w:tcBorders>
                  <w:noWrap/>
                  <w:vAlign w:val="center"/>
                </w:tcPr>
                <w:p w14:paraId="349D412E">
                  <w:pPr>
                    <w:widowControl/>
                    <w:jc w:val="center"/>
                    <w:textAlignment w:val="center"/>
                    <w:rPr>
                      <w:rFonts w:hint="default" w:eastAsia="宋体"/>
                      <w:color w:val="auto"/>
                      <w:kern w:val="2"/>
                      <w:sz w:val="21"/>
                      <w:szCs w:val="21"/>
                      <w:highlight w:val="none"/>
                      <w:lang w:val="en-US" w:eastAsia="zh-CN" w:bidi="ar-SA"/>
                    </w:rPr>
                  </w:pPr>
                  <w:r>
                    <w:rPr>
                      <w:color w:val="auto"/>
                      <w:kern w:val="0"/>
                      <w:sz w:val="21"/>
                      <w:szCs w:val="21"/>
                      <w:highlight w:val="none"/>
                      <w:lang w:bidi="ar"/>
                    </w:rPr>
                    <w:t>0.0</w:t>
                  </w:r>
                  <w:r>
                    <w:rPr>
                      <w:rFonts w:hint="eastAsia"/>
                      <w:color w:val="auto"/>
                      <w:kern w:val="0"/>
                      <w:sz w:val="21"/>
                      <w:szCs w:val="21"/>
                      <w:highlight w:val="none"/>
                      <w:lang w:val="en-US" w:eastAsia="zh-CN" w:bidi="ar"/>
                    </w:rPr>
                    <w:t>93</w:t>
                  </w:r>
                </w:p>
              </w:tc>
              <w:tc>
                <w:tcPr>
                  <w:tcW w:w="991" w:type="dxa"/>
                  <w:tcBorders>
                    <w:top w:val="single" w:color="auto" w:sz="4" w:space="0"/>
                    <w:left w:val="single" w:color="auto" w:sz="4" w:space="0"/>
                    <w:bottom w:val="single" w:color="auto" w:sz="4" w:space="0"/>
                    <w:right w:val="single" w:color="auto" w:sz="4" w:space="0"/>
                  </w:tcBorders>
                  <w:noWrap/>
                  <w:vAlign w:val="center"/>
                </w:tcPr>
                <w:p w14:paraId="34DC93B3">
                  <w:pPr>
                    <w:widowControl/>
                    <w:jc w:val="center"/>
                    <w:textAlignment w:val="center"/>
                    <w:rPr>
                      <w:rFonts w:hint="default" w:eastAsia="宋体"/>
                      <w:color w:val="auto"/>
                      <w:kern w:val="2"/>
                      <w:sz w:val="21"/>
                      <w:szCs w:val="21"/>
                      <w:highlight w:val="none"/>
                      <w:lang w:val="en-US" w:eastAsia="zh-CN" w:bidi="ar-SA"/>
                    </w:rPr>
                  </w:pPr>
                  <w:r>
                    <w:rPr>
                      <w:rFonts w:hint="eastAsia"/>
                      <w:color w:val="auto"/>
                      <w:kern w:val="0"/>
                      <w:sz w:val="21"/>
                      <w:szCs w:val="21"/>
                      <w:highlight w:val="none"/>
                      <w:lang w:val="en-US" w:eastAsia="zh-CN" w:bidi="ar"/>
                    </w:rPr>
                    <w:t>2.8</w:t>
                  </w:r>
                </w:p>
              </w:tc>
              <w:tc>
                <w:tcPr>
                  <w:tcW w:w="1025" w:type="dxa"/>
                  <w:tcBorders>
                    <w:top w:val="single" w:color="auto" w:sz="4" w:space="0"/>
                    <w:left w:val="single" w:color="auto" w:sz="4" w:space="0"/>
                    <w:bottom w:val="single" w:color="auto" w:sz="4" w:space="0"/>
                    <w:right w:val="single" w:color="auto" w:sz="4" w:space="0"/>
                  </w:tcBorders>
                  <w:noWrap/>
                  <w:vAlign w:val="center"/>
                </w:tcPr>
                <w:p w14:paraId="625A63AA">
                  <w:pPr>
                    <w:widowControl/>
                    <w:jc w:val="center"/>
                    <w:textAlignment w:val="center"/>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w:t>
                  </w:r>
                </w:p>
              </w:tc>
              <w:tc>
                <w:tcPr>
                  <w:tcW w:w="852" w:type="dxa"/>
                  <w:vMerge w:val="restart"/>
                  <w:tcBorders>
                    <w:top w:val="single" w:color="auto" w:sz="4" w:space="0"/>
                    <w:left w:val="single" w:color="auto" w:sz="4" w:space="0"/>
                    <w:right w:val="single" w:color="auto" w:sz="4" w:space="0"/>
                  </w:tcBorders>
                  <w:noWrap/>
                  <w:vAlign w:val="center"/>
                </w:tcPr>
                <w:p w14:paraId="287013E1">
                  <w:pPr>
                    <w:widowControl/>
                    <w:jc w:val="center"/>
                    <w:textAlignment w:val="center"/>
                    <w:rPr>
                      <w:rFonts w:hint="default" w:eastAsia="宋体"/>
                      <w:color w:val="auto"/>
                      <w:kern w:val="0"/>
                      <w:sz w:val="21"/>
                      <w:szCs w:val="21"/>
                      <w:highlight w:val="none"/>
                      <w:lang w:val="en-US" w:eastAsia="zh-CN" w:bidi="ar"/>
                    </w:rPr>
                  </w:pPr>
                  <w:r>
                    <w:rPr>
                      <w:rFonts w:hint="eastAsia"/>
                      <w:color w:val="auto"/>
                      <w:kern w:val="0"/>
                      <w:sz w:val="21"/>
                      <w:szCs w:val="21"/>
                      <w:highlight w:val="none"/>
                      <w:lang w:val="en-US" w:eastAsia="zh-CN" w:bidi="ar"/>
                    </w:rPr>
                    <w:t>0.5</w:t>
                  </w:r>
                </w:p>
              </w:tc>
              <w:tc>
                <w:tcPr>
                  <w:tcW w:w="1209" w:type="dxa"/>
                  <w:vMerge w:val="restart"/>
                  <w:tcBorders>
                    <w:top w:val="single" w:color="auto" w:sz="4" w:space="0"/>
                    <w:left w:val="single" w:color="auto" w:sz="4" w:space="0"/>
                    <w:right w:val="single" w:color="auto" w:sz="4" w:space="0"/>
                  </w:tcBorders>
                  <w:noWrap/>
                  <w:vAlign w:val="center"/>
                </w:tcPr>
                <w:p w14:paraId="6BAA6E13">
                  <w:pPr>
                    <w:widowControl/>
                    <w:jc w:val="center"/>
                    <w:textAlignment w:val="center"/>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0.5</w:t>
                  </w:r>
                </w:p>
              </w:tc>
            </w:tr>
            <w:tr w14:paraId="14B27FE2">
              <w:trPr>
                <w:trHeight w:val="355" w:hRule="atLeast"/>
                <w:jc w:val="center"/>
              </w:trPr>
              <w:tc>
                <w:tcPr>
                  <w:tcW w:w="2251" w:type="dxa"/>
                  <w:tcBorders>
                    <w:top w:val="single" w:color="auto" w:sz="4" w:space="0"/>
                    <w:left w:val="single" w:color="auto" w:sz="4" w:space="0"/>
                    <w:bottom w:val="single" w:color="auto" w:sz="4" w:space="0"/>
                    <w:right w:val="single" w:color="auto" w:sz="4" w:space="0"/>
                  </w:tcBorders>
                  <w:noWrap/>
                  <w:vAlign w:val="center"/>
                </w:tcPr>
                <w:p w14:paraId="568EC355">
                  <w:pPr>
                    <w:widowControl/>
                    <w:jc w:val="left"/>
                    <w:textAlignment w:val="center"/>
                    <w:rPr>
                      <w:color w:val="auto"/>
                      <w:sz w:val="21"/>
                      <w:szCs w:val="21"/>
                      <w:highlight w:val="none"/>
                    </w:rPr>
                  </w:pPr>
                  <w:r>
                    <w:rPr>
                      <w:color w:val="auto"/>
                      <w:kern w:val="0"/>
                      <w:sz w:val="21"/>
                      <w:szCs w:val="21"/>
                      <w:highlight w:val="none"/>
                      <w:lang w:bidi="ar"/>
                    </w:rPr>
                    <w:t>重油垢清洗剂携带水</w:t>
                  </w:r>
                </w:p>
              </w:tc>
              <w:tc>
                <w:tcPr>
                  <w:tcW w:w="897" w:type="dxa"/>
                  <w:tcBorders>
                    <w:top w:val="single" w:color="auto" w:sz="4" w:space="0"/>
                    <w:left w:val="single" w:color="auto" w:sz="4" w:space="0"/>
                    <w:bottom w:val="single" w:color="auto" w:sz="4" w:space="0"/>
                    <w:right w:val="single" w:color="auto" w:sz="4" w:space="0"/>
                  </w:tcBorders>
                  <w:noWrap/>
                  <w:vAlign w:val="center"/>
                </w:tcPr>
                <w:p w14:paraId="01CF0FA9">
                  <w:pPr>
                    <w:widowControl/>
                    <w:jc w:val="center"/>
                    <w:textAlignment w:val="center"/>
                    <w:rPr>
                      <w:rFonts w:hint="default" w:eastAsia="宋体"/>
                      <w:color w:val="auto"/>
                      <w:sz w:val="21"/>
                      <w:szCs w:val="21"/>
                      <w:highlight w:val="none"/>
                      <w:lang w:val="en-US" w:eastAsia="zh-CN"/>
                    </w:rPr>
                  </w:pPr>
                  <w:r>
                    <w:rPr>
                      <w:color w:val="auto"/>
                      <w:kern w:val="0"/>
                      <w:sz w:val="21"/>
                      <w:szCs w:val="21"/>
                      <w:highlight w:val="none"/>
                      <w:lang w:bidi="ar"/>
                    </w:rPr>
                    <w:t>0.004</w:t>
                  </w:r>
                </w:p>
              </w:tc>
              <w:tc>
                <w:tcPr>
                  <w:tcW w:w="853" w:type="dxa"/>
                  <w:tcBorders>
                    <w:top w:val="single" w:color="auto" w:sz="4" w:space="0"/>
                    <w:left w:val="single" w:color="auto" w:sz="4" w:space="0"/>
                    <w:bottom w:val="single" w:color="auto" w:sz="4" w:space="0"/>
                    <w:right w:val="single" w:color="auto" w:sz="4" w:space="0"/>
                  </w:tcBorders>
                  <w:noWrap/>
                  <w:vAlign w:val="center"/>
                </w:tcPr>
                <w:p w14:paraId="4620B62B">
                  <w:pPr>
                    <w:jc w:val="center"/>
                    <w:rPr>
                      <w:rFonts w:hint="eastAsia" w:eastAsia="宋体"/>
                      <w:color w:val="auto"/>
                      <w:sz w:val="21"/>
                      <w:szCs w:val="21"/>
                      <w:highlight w:val="none"/>
                      <w:lang w:val="en-US" w:eastAsia="zh-CN"/>
                    </w:rPr>
                  </w:pPr>
                  <w:r>
                    <w:rPr>
                      <w:rFonts w:hint="eastAsia"/>
                      <w:color w:val="auto"/>
                      <w:sz w:val="21"/>
                      <w:szCs w:val="21"/>
                      <w:highlight w:val="none"/>
                      <w:lang w:val="en-US" w:eastAsia="zh-CN"/>
                    </w:rPr>
                    <w:t>/</w:t>
                  </w:r>
                </w:p>
              </w:tc>
              <w:tc>
                <w:tcPr>
                  <w:tcW w:w="991" w:type="dxa"/>
                  <w:tcBorders>
                    <w:top w:val="single" w:color="auto" w:sz="4" w:space="0"/>
                    <w:left w:val="single" w:color="auto" w:sz="4" w:space="0"/>
                    <w:bottom w:val="single" w:color="auto" w:sz="4" w:space="0"/>
                    <w:right w:val="single" w:color="auto" w:sz="4" w:space="0"/>
                  </w:tcBorders>
                  <w:noWrap/>
                  <w:vAlign w:val="center"/>
                </w:tcPr>
                <w:p w14:paraId="26FDAEA4">
                  <w:pPr>
                    <w:jc w:val="center"/>
                    <w:rPr>
                      <w:rFonts w:hint="eastAsia" w:eastAsia="宋体"/>
                      <w:color w:val="auto"/>
                      <w:sz w:val="21"/>
                      <w:szCs w:val="21"/>
                      <w:highlight w:val="none"/>
                      <w:lang w:val="en-US" w:eastAsia="zh-CN"/>
                    </w:rPr>
                  </w:pPr>
                  <w:r>
                    <w:rPr>
                      <w:rFonts w:hint="eastAsia"/>
                      <w:color w:val="auto"/>
                      <w:sz w:val="21"/>
                      <w:szCs w:val="21"/>
                      <w:highlight w:val="none"/>
                      <w:lang w:val="en-US" w:eastAsia="zh-CN"/>
                    </w:rPr>
                    <w:t>/</w:t>
                  </w:r>
                </w:p>
              </w:tc>
              <w:tc>
                <w:tcPr>
                  <w:tcW w:w="1025" w:type="dxa"/>
                  <w:tcBorders>
                    <w:top w:val="single" w:color="auto" w:sz="4" w:space="0"/>
                    <w:left w:val="single" w:color="auto" w:sz="4" w:space="0"/>
                    <w:bottom w:val="single" w:color="auto" w:sz="4" w:space="0"/>
                    <w:right w:val="single" w:color="auto" w:sz="4" w:space="0"/>
                  </w:tcBorders>
                  <w:noWrap/>
                  <w:vAlign w:val="center"/>
                </w:tcPr>
                <w:p w14:paraId="19ABCC06">
                  <w:pPr>
                    <w:jc w:val="center"/>
                    <w:rPr>
                      <w:color w:val="auto"/>
                      <w:sz w:val="21"/>
                      <w:szCs w:val="21"/>
                      <w:highlight w:val="none"/>
                    </w:rPr>
                  </w:pPr>
                  <w:r>
                    <w:rPr>
                      <w:color w:val="auto"/>
                      <w:kern w:val="0"/>
                      <w:sz w:val="21"/>
                      <w:szCs w:val="21"/>
                      <w:highlight w:val="none"/>
                      <w:lang w:bidi="ar"/>
                    </w:rPr>
                    <w:t>0.00</w:t>
                  </w:r>
                  <w:r>
                    <w:rPr>
                      <w:rFonts w:hint="eastAsia"/>
                      <w:color w:val="auto"/>
                      <w:kern w:val="0"/>
                      <w:sz w:val="21"/>
                      <w:szCs w:val="21"/>
                      <w:highlight w:val="none"/>
                      <w:lang w:val="en-US" w:eastAsia="zh-CN" w:bidi="ar"/>
                    </w:rPr>
                    <w:t>4</w:t>
                  </w:r>
                </w:p>
              </w:tc>
              <w:tc>
                <w:tcPr>
                  <w:tcW w:w="852" w:type="dxa"/>
                  <w:vMerge w:val="continue"/>
                  <w:tcBorders>
                    <w:left w:val="single" w:color="auto" w:sz="4" w:space="0"/>
                    <w:right w:val="single" w:color="auto" w:sz="4" w:space="0"/>
                  </w:tcBorders>
                  <w:noWrap/>
                  <w:vAlign w:val="center"/>
                </w:tcPr>
                <w:p w14:paraId="598E43F7">
                  <w:pPr>
                    <w:jc w:val="center"/>
                    <w:rPr>
                      <w:color w:val="auto"/>
                      <w:sz w:val="21"/>
                      <w:szCs w:val="21"/>
                      <w:highlight w:val="none"/>
                    </w:rPr>
                  </w:pPr>
                </w:p>
              </w:tc>
              <w:tc>
                <w:tcPr>
                  <w:tcW w:w="1209" w:type="dxa"/>
                  <w:vMerge w:val="continue"/>
                  <w:tcBorders>
                    <w:left w:val="single" w:color="auto" w:sz="4" w:space="0"/>
                    <w:right w:val="single" w:color="auto" w:sz="4" w:space="0"/>
                  </w:tcBorders>
                  <w:noWrap/>
                  <w:vAlign w:val="center"/>
                </w:tcPr>
                <w:p w14:paraId="7C2DFFE7">
                  <w:pPr>
                    <w:jc w:val="center"/>
                    <w:rPr>
                      <w:color w:val="auto"/>
                      <w:sz w:val="21"/>
                      <w:szCs w:val="21"/>
                      <w:highlight w:val="none"/>
                    </w:rPr>
                  </w:pPr>
                </w:p>
              </w:tc>
            </w:tr>
            <w:tr w14:paraId="0A072B1E">
              <w:tblPrEx>
                <w:tblCellMar>
                  <w:top w:w="0" w:type="dxa"/>
                  <w:left w:w="108" w:type="dxa"/>
                  <w:bottom w:w="0" w:type="dxa"/>
                  <w:right w:w="108" w:type="dxa"/>
                </w:tblCellMar>
              </w:tblPrEx>
              <w:trPr>
                <w:trHeight w:val="438" w:hRule="atLeast"/>
                <w:jc w:val="center"/>
              </w:trPr>
              <w:tc>
                <w:tcPr>
                  <w:tcW w:w="2251" w:type="dxa"/>
                  <w:tcBorders>
                    <w:top w:val="single" w:color="auto" w:sz="4" w:space="0"/>
                    <w:left w:val="single" w:color="auto" w:sz="4" w:space="0"/>
                    <w:bottom w:val="single" w:color="auto" w:sz="4" w:space="0"/>
                    <w:right w:val="single" w:color="auto" w:sz="4" w:space="0"/>
                  </w:tcBorders>
                  <w:noWrap/>
                  <w:vAlign w:val="center"/>
                </w:tcPr>
                <w:p w14:paraId="2EE4EDEB">
                  <w:pPr>
                    <w:widowControl/>
                    <w:jc w:val="left"/>
                    <w:textAlignment w:val="center"/>
                    <w:rPr>
                      <w:color w:val="auto"/>
                      <w:sz w:val="21"/>
                      <w:szCs w:val="21"/>
                      <w:highlight w:val="none"/>
                    </w:rPr>
                  </w:pPr>
                  <w:r>
                    <w:rPr>
                      <w:color w:val="auto"/>
                      <w:kern w:val="0"/>
                      <w:sz w:val="21"/>
                      <w:szCs w:val="21"/>
                      <w:highlight w:val="none"/>
                      <w:lang w:bidi="ar"/>
                    </w:rPr>
                    <w:t>多功能防锈剂携带水</w:t>
                  </w:r>
                </w:p>
              </w:tc>
              <w:tc>
                <w:tcPr>
                  <w:tcW w:w="897" w:type="dxa"/>
                  <w:tcBorders>
                    <w:top w:val="single" w:color="auto" w:sz="4" w:space="0"/>
                    <w:left w:val="single" w:color="auto" w:sz="4" w:space="0"/>
                    <w:bottom w:val="single" w:color="auto" w:sz="4" w:space="0"/>
                    <w:right w:val="single" w:color="auto" w:sz="4" w:space="0"/>
                  </w:tcBorders>
                  <w:noWrap/>
                  <w:vAlign w:val="center"/>
                </w:tcPr>
                <w:p w14:paraId="2C0D74C0">
                  <w:pPr>
                    <w:widowControl/>
                    <w:jc w:val="center"/>
                    <w:textAlignment w:val="center"/>
                    <w:rPr>
                      <w:rFonts w:hint="default" w:eastAsia="宋体"/>
                      <w:color w:val="auto"/>
                      <w:sz w:val="21"/>
                      <w:szCs w:val="21"/>
                      <w:highlight w:val="none"/>
                      <w:lang w:val="en-US" w:eastAsia="zh-CN"/>
                    </w:rPr>
                  </w:pPr>
                  <w:r>
                    <w:rPr>
                      <w:color w:val="auto"/>
                      <w:kern w:val="0"/>
                      <w:sz w:val="21"/>
                      <w:szCs w:val="21"/>
                      <w:highlight w:val="none"/>
                      <w:lang w:bidi="ar"/>
                    </w:rPr>
                    <w:t>0.00</w:t>
                  </w:r>
                  <w:r>
                    <w:rPr>
                      <w:rFonts w:hint="eastAsia"/>
                      <w:color w:val="auto"/>
                      <w:kern w:val="0"/>
                      <w:sz w:val="21"/>
                      <w:szCs w:val="21"/>
                      <w:highlight w:val="none"/>
                      <w:lang w:val="en-US" w:eastAsia="zh-CN" w:bidi="ar"/>
                    </w:rPr>
                    <w:t>3</w:t>
                  </w:r>
                </w:p>
              </w:tc>
              <w:tc>
                <w:tcPr>
                  <w:tcW w:w="853" w:type="dxa"/>
                  <w:tcBorders>
                    <w:top w:val="single" w:color="auto" w:sz="4" w:space="0"/>
                    <w:left w:val="single" w:color="auto" w:sz="4" w:space="0"/>
                    <w:bottom w:val="single" w:color="auto" w:sz="4" w:space="0"/>
                    <w:right w:val="single" w:color="auto" w:sz="4" w:space="0"/>
                  </w:tcBorders>
                  <w:noWrap/>
                  <w:vAlign w:val="center"/>
                </w:tcPr>
                <w:p w14:paraId="435A5471">
                  <w:pPr>
                    <w:jc w:val="center"/>
                    <w:rPr>
                      <w:rFonts w:hint="eastAsia" w:eastAsia="宋体"/>
                      <w:color w:val="auto"/>
                      <w:sz w:val="21"/>
                      <w:szCs w:val="21"/>
                      <w:highlight w:val="none"/>
                      <w:lang w:val="en-US" w:eastAsia="zh-CN"/>
                    </w:rPr>
                  </w:pPr>
                  <w:r>
                    <w:rPr>
                      <w:rFonts w:hint="eastAsia"/>
                      <w:color w:val="auto"/>
                      <w:sz w:val="21"/>
                      <w:szCs w:val="21"/>
                      <w:highlight w:val="none"/>
                      <w:lang w:val="en-US" w:eastAsia="zh-CN"/>
                    </w:rPr>
                    <w:t>/</w:t>
                  </w:r>
                </w:p>
              </w:tc>
              <w:tc>
                <w:tcPr>
                  <w:tcW w:w="991" w:type="dxa"/>
                  <w:tcBorders>
                    <w:top w:val="single" w:color="auto" w:sz="4" w:space="0"/>
                    <w:left w:val="single" w:color="auto" w:sz="4" w:space="0"/>
                    <w:bottom w:val="single" w:color="auto" w:sz="4" w:space="0"/>
                    <w:right w:val="single" w:color="auto" w:sz="4" w:space="0"/>
                  </w:tcBorders>
                  <w:noWrap/>
                  <w:vAlign w:val="center"/>
                </w:tcPr>
                <w:p w14:paraId="1AF0481A">
                  <w:pPr>
                    <w:jc w:val="center"/>
                    <w:rPr>
                      <w:rFonts w:hint="eastAsia" w:eastAsia="宋体"/>
                      <w:color w:val="auto"/>
                      <w:sz w:val="21"/>
                      <w:szCs w:val="21"/>
                      <w:highlight w:val="none"/>
                      <w:lang w:val="en-US" w:eastAsia="zh-CN"/>
                    </w:rPr>
                  </w:pPr>
                  <w:r>
                    <w:rPr>
                      <w:rFonts w:hint="eastAsia"/>
                      <w:color w:val="auto"/>
                      <w:sz w:val="21"/>
                      <w:szCs w:val="21"/>
                      <w:highlight w:val="none"/>
                      <w:lang w:val="en-US" w:eastAsia="zh-CN"/>
                    </w:rPr>
                    <w:t>/</w:t>
                  </w:r>
                </w:p>
              </w:tc>
              <w:tc>
                <w:tcPr>
                  <w:tcW w:w="1025" w:type="dxa"/>
                  <w:tcBorders>
                    <w:top w:val="single" w:color="auto" w:sz="4" w:space="0"/>
                    <w:left w:val="single" w:color="auto" w:sz="4" w:space="0"/>
                    <w:bottom w:val="single" w:color="auto" w:sz="4" w:space="0"/>
                    <w:right w:val="single" w:color="auto" w:sz="4" w:space="0"/>
                  </w:tcBorders>
                  <w:noWrap/>
                  <w:vAlign w:val="center"/>
                </w:tcPr>
                <w:p w14:paraId="35F9A86D">
                  <w:pPr>
                    <w:jc w:val="center"/>
                    <w:rPr>
                      <w:color w:val="auto"/>
                      <w:sz w:val="21"/>
                      <w:szCs w:val="21"/>
                      <w:highlight w:val="none"/>
                    </w:rPr>
                  </w:pPr>
                  <w:r>
                    <w:rPr>
                      <w:color w:val="auto"/>
                      <w:kern w:val="0"/>
                      <w:sz w:val="21"/>
                      <w:szCs w:val="21"/>
                      <w:highlight w:val="none"/>
                      <w:lang w:bidi="ar"/>
                    </w:rPr>
                    <w:t>0.00</w:t>
                  </w:r>
                  <w:r>
                    <w:rPr>
                      <w:rFonts w:hint="eastAsia"/>
                      <w:color w:val="auto"/>
                      <w:kern w:val="0"/>
                      <w:sz w:val="21"/>
                      <w:szCs w:val="21"/>
                      <w:highlight w:val="none"/>
                      <w:lang w:val="en-US" w:eastAsia="zh-CN" w:bidi="ar"/>
                    </w:rPr>
                    <w:t>3</w:t>
                  </w:r>
                </w:p>
              </w:tc>
              <w:tc>
                <w:tcPr>
                  <w:tcW w:w="852" w:type="dxa"/>
                  <w:vMerge w:val="continue"/>
                  <w:tcBorders>
                    <w:left w:val="single" w:color="auto" w:sz="4" w:space="0"/>
                    <w:bottom w:val="single" w:color="auto" w:sz="4" w:space="0"/>
                    <w:right w:val="single" w:color="auto" w:sz="4" w:space="0"/>
                  </w:tcBorders>
                  <w:noWrap/>
                  <w:vAlign w:val="center"/>
                </w:tcPr>
                <w:p w14:paraId="3FCA4918">
                  <w:pPr>
                    <w:jc w:val="center"/>
                    <w:rPr>
                      <w:color w:val="auto"/>
                      <w:sz w:val="21"/>
                      <w:szCs w:val="21"/>
                      <w:highlight w:val="none"/>
                    </w:rPr>
                  </w:pPr>
                </w:p>
              </w:tc>
              <w:tc>
                <w:tcPr>
                  <w:tcW w:w="1209" w:type="dxa"/>
                  <w:vMerge w:val="continue"/>
                  <w:tcBorders>
                    <w:left w:val="single" w:color="auto" w:sz="4" w:space="0"/>
                    <w:bottom w:val="single" w:color="auto" w:sz="4" w:space="0"/>
                    <w:right w:val="single" w:color="auto" w:sz="4" w:space="0"/>
                  </w:tcBorders>
                  <w:noWrap/>
                  <w:vAlign w:val="center"/>
                </w:tcPr>
                <w:p w14:paraId="7BA28898">
                  <w:pPr>
                    <w:jc w:val="center"/>
                    <w:rPr>
                      <w:color w:val="auto"/>
                      <w:sz w:val="21"/>
                      <w:szCs w:val="21"/>
                      <w:highlight w:val="none"/>
                    </w:rPr>
                  </w:pPr>
                </w:p>
              </w:tc>
            </w:tr>
            <w:tr w14:paraId="23790FD5">
              <w:trPr>
                <w:trHeight w:val="387" w:hRule="atLeast"/>
                <w:jc w:val="center"/>
              </w:trPr>
              <w:tc>
                <w:tcPr>
                  <w:tcW w:w="2251" w:type="dxa"/>
                  <w:tcBorders>
                    <w:top w:val="single" w:color="auto" w:sz="4" w:space="0"/>
                    <w:left w:val="single" w:color="auto" w:sz="4" w:space="0"/>
                    <w:bottom w:val="single" w:color="auto" w:sz="4" w:space="0"/>
                    <w:right w:val="single" w:color="auto" w:sz="4" w:space="0"/>
                  </w:tcBorders>
                  <w:noWrap/>
                  <w:vAlign w:val="center"/>
                </w:tcPr>
                <w:p w14:paraId="31ACCD75">
                  <w:pPr>
                    <w:widowControl/>
                    <w:jc w:val="center"/>
                    <w:textAlignment w:val="center"/>
                    <w:rPr>
                      <w:color w:val="auto"/>
                      <w:sz w:val="21"/>
                      <w:szCs w:val="21"/>
                      <w:highlight w:val="none"/>
                    </w:rPr>
                  </w:pPr>
                  <w:r>
                    <w:rPr>
                      <w:color w:val="auto"/>
                      <w:kern w:val="0"/>
                      <w:sz w:val="21"/>
                      <w:szCs w:val="21"/>
                      <w:highlight w:val="none"/>
                      <w:lang w:bidi="ar"/>
                    </w:rPr>
                    <w:t>合计</w:t>
                  </w:r>
                </w:p>
              </w:tc>
              <w:tc>
                <w:tcPr>
                  <w:tcW w:w="897" w:type="dxa"/>
                  <w:tcBorders>
                    <w:top w:val="single" w:color="auto" w:sz="4" w:space="0"/>
                    <w:left w:val="single" w:color="auto" w:sz="4" w:space="0"/>
                    <w:bottom w:val="single" w:color="auto" w:sz="4" w:space="0"/>
                    <w:right w:val="single" w:color="auto" w:sz="4" w:space="0"/>
                  </w:tcBorders>
                  <w:noWrap/>
                  <w:vAlign w:val="center"/>
                </w:tcPr>
                <w:p w14:paraId="4E648B53">
                  <w:pPr>
                    <w:widowControl/>
                    <w:jc w:val="center"/>
                    <w:textAlignment w:val="center"/>
                    <w:rPr>
                      <w:rFonts w:hint="default" w:eastAsia="宋体"/>
                      <w:color w:val="auto"/>
                      <w:sz w:val="21"/>
                      <w:szCs w:val="21"/>
                      <w:highlight w:val="none"/>
                      <w:lang w:val="en-US" w:eastAsia="zh-CN"/>
                    </w:rPr>
                  </w:pPr>
                  <w:r>
                    <w:rPr>
                      <w:rFonts w:hint="eastAsia"/>
                      <w:color w:val="auto"/>
                      <w:kern w:val="0"/>
                      <w:sz w:val="21"/>
                      <w:szCs w:val="21"/>
                      <w:highlight w:val="none"/>
                      <w:lang w:val="en-US" w:eastAsia="zh-CN" w:bidi="ar"/>
                    </w:rPr>
                    <w:t>0.100</w:t>
                  </w:r>
                </w:p>
              </w:tc>
              <w:tc>
                <w:tcPr>
                  <w:tcW w:w="853" w:type="dxa"/>
                  <w:tcBorders>
                    <w:top w:val="single" w:color="auto" w:sz="4" w:space="0"/>
                    <w:left w:val="single" w:color="auto" w:sz="4" w:space="0"/>
                    <w:bottom w:val="single" w:color="auto" w:sz="4" w:space="0"/>
                    <w:right w:val="single" w:color="auto" w:sz="4" w:space="0"/>
                  </w:tcBorders>
                  <w:noWrap/>
                  <w:vAlign w:val="center"/>
                </w:tcPr>
                <w:p w14:paraId="0F51D6C5">
                  <w:pPr>
                    <w:widowControl/>
                    <w:jc w:val="center"/>
                    <w:textAlignment w:val="center"/>
                    <w:rPr>
                      <w:rFonts w:hint="default" w:eastAsia="宋体"/>
                      <w:color w:val="auto"/>
                      <w:sz w:val="21"/>
                      <w:szCs w:val="21"/>
                      <w:highlight w:val="none"/>
                      <w:lang w:val="en-US" w:eastAsia="zh-CN"/>
                    </w:rPr>
                  </w:pPr>
                  <w:r>
                    <w:rPr>
                      <w:rFonts w:hint="eastAsia"/>
                      <w:color w:val="auto"/>
                      <w:kern w:val="0"/>
                      <w:sz w:val="21"/>
                      <w:szCs w:val="21"/>
                      <w:highlight w:val="none"/>
                      <w:lang w:val="en-US" w:eastAsia="zh-CN" w:bidi="ar"/>
                    </w:rPr>
                    <w:t>0.093</w:t>
                  </w:r>
                </w:p>
              </w:tc>
              <w:tc>
                <w:tcPr>
                  <w:tcW w:w="991" w:type="dxa"/>
                  <w:tcBorders>
                    <w:top w:val="single" w:color="auto" w:sz="4" w:space="0"/>
                    <w:left w:val="single" w:color="auto" w:sz="4" w:space="0"/>
                    <w:bottom w:val="single" w:color="auto" w:sz="4" w:space="0"/>
                    <w:right w:val="single" w:color="auto" w:sz="4" w:space="0"/>
                  </w:tcBorders>
                  <w:noWrap/>
                  <w:vAlign w:val="center"/>
                </w:tcPr>
                <w:p w14:paraId="0032F4AF">
                  <w:pPr>
                    <w:widowControl/>
                    <w:jc w:val="center"/>
                    <w:textAlignment w:val="center"/>
                    <w:rPr>
                      <w:rFonts w:hint="default" w:eastAsia="宋体"/>
                      <w:color w:val="auto"/>
                      <w:sz w:val="21"/>
                      <w:szCs w:val="21"/>
                      <w:highlight w:val="none"/>
                      <w:lang w:val="en-US" w:eastAsia="zh-CN"/>
                    </w:rPr>
                  </w:pPr>
                  <w:r>
                    <w:rPr>
                      <w:rFonts w:hint="eastAsia"/>
                      <w:color w:val="auto"/>
                      <w:kern w:val="0"/>
                      <w:sz w:val="21"/>
                      <w:szCs w:val="21"/>
                      <w:highlight w:val="none"/>
                      <w:lang w:val="en-US" w:eastAsia="zh-CN" w:bidi="ar"/>
                    </w:rPr>
                    <w:t>2.8</w:t>
                  </w:r>
                </w:p>
              </w:tc>
              <w:tc>
                <w:tcPr>
                  <w:tcW w:w="1025" w:type="dxa"/>
                  <w:tcBorders>
                    <w:top w:val="single" w:color="auto" w:sz="4" w:space="0"/>
                    <w:left w:val="single" w:color="auto" w:sz="4" w:space="0"/>
                    <w:bottom w:val="single" w:color="auto" w:sz="4" w:space="0"/>
                    <w:right w:val="single" w:color="auto" w:sz="4" w:space="0"/>
                  </w:tcBorders>
                  <w:noWrap/>
                  <w:vAlign w:val="center"/>
                </w:tcPr>
                <w:p w14:paraId="7D22BBB4">
                  <w:pPr>
                    <w:widowControl/>
                    <w:jc w:val="center"/>
                    <w:textAlignment w:val="center"/>
                    <w:rPr>
                      <w:rFonts w:hint="default" w:eastAsia="宋体"/>
                      <w:color w:val="auto"/>
                      <w:sz w:val="21"/>
                      <w:szCs w:val="21"/>
                      <w:highlight w:val="none"/>
                      <w:lang w:val="en-US" w:eastAsia="zh-CN"/>
                    </w:rPr>
                  </w:pPr>
                  <w:r>
                    <w:rPr>
                      <w:color w:val="auto"/>
                      <w:kern w:val="0"/>
                      <w:sz w:val="21"/>
                      <w:szCs w:val="21"/>
                      <w:highlight w:val="none"/>
                      <w:lang w:bidi="ar"/>
                    </w:rPr>
                    <w:t>0.00</w:t>
                  </w:r>
                  <w:r>
                    <w:rPr>
                      <w:rFonts w:hint="eastAsia"/>
                      <w:color w:val="auto"/>
                      <w:kern w:val="0"/>
                      <w:sz w:val="21"/>
                      <w:szCs w:val="21"/>
                      <w:highlight w:val="none"/>
                      <w:lang w:val="en-US" w:eastAsia="zh-CN" w:bidi="ar"/>
                    </w:rPr>
                    <w:t>7</w:t>
                  </w:r>
                </w:p>
              </w:tc>
              <w:tc>
                <w:tcPr>
                  <w:tcW w:w="852" w:type="dxa"/>
                  <w:tcBorders>
                    <w:top w:val="single" w:color="auto" w:sz="4" w:space="0"/>
                    <w:left w:val="single" w:color="auto" w:sz="4" w:space="0"/>
                    <w:bottom w:val="single" w:color="auto" w:sz="4" w:space="0"/>
                    <w:right w:val="single" w:color="auto" w:sz="4" w:space="0"/>
                  </w:tcBorders>
                  <w:noWrap/>
                  <w:vAlign w:val="center"/>
                </w:tcPr>
                <w:p w14:paraId="52E330BF">
                  <w:pPr>
                    <w:widowControl/>
                    <w:jc w:val="center"/>
                    <w:textAlignment w:val="center"/>
                    <w:rPr>
                      <w:rFonts w:hint="eastAsia" w:eastAsia="宋体"/>
                      <w:color w:val="auto"/>
                      <w:kern w:val="0"/>
                      <w:sz w:val="21"/>
                      <w:szCs w:val="21"/>
                      <w:highlight w:val="none"/>
                      <w:lang w:eastAsia="zh-CN" w:bidi="ar"/>
                    </w:rPr>
                  </w:pPr>
                  <w:r>
                    <w:rPr>
                      <w:color w:val="auto"/>
                      <w:kern w:val="0"/>
                      <w:sz w:val="21"/>
                      <w:szCs w:val="21"/>
                      <w:highlight w:val="none"/>
                      <w:lang w:bidi="ar"/>
                    </w:rPr>
                    <w:t>0.</w:t>
                  </w:r>
                  <w:r>
                    <w:rPr>
                      <w:rFonts w:hint="eastAsia"/>
                      <w:color w:val="auto"/>
                      <w:kern w:val="0"/>
                      <w:sz w:val="21"/>
                      <w:szCs w:val="21"/>
                      <w:highlight w:val="none"/>
                      <w:lang w:val="en-US" w:eastAsia="zh-CN" w:bidi="ar"/>
                    </w:rPr>
                    <w:t>5</w:t>
                  </w:r>
                </w:p>
              </w:tc>
              <w:tc>
                <w:tcPr>
                  <w:tcW w:w="1209" w:type="dxa"/>
                  <w:tcBorders>
                    <w:top w:val="single" w:color="auto" w:sz="4" w:space="0"/>
                    <w:left w:val="single" w:color="auto" w:sz="4" w:space="0"/>
                    <w:bottom w:val="single" w:color="auto" w:sz="4" w:space="0"/>
                    <w:right w:val="single" w:color="auto" w:sz="4" w:space="0"/>
                  </w:tcBorders>
                  <w:noWrap/>
                  <w:vAlign w:val="center"/>
                </w:tcPr>
                <w:p w14:paraId="30D8E078">
                  <w:pPr>
                    <w:widowControl/>
                    <w:jc w:val="center"/>
                    <w:textAlignment w:val="center"/>
                    <w:rPr>
                      <w:rFonts w:hint="eastAsia" w:eastAsia="宋体"/>
                      <w:color w:val="auto"/>
                      <w:sz w:val="21"/>
                      <w:szCs w:val="21"/>
                      <w:highlight w:val="none"/>
                      <w:lang w:eastAsia="zh-CN"/>
                    </w:rPr>
                  </w:pPr>
                  <w:r>
                    <w:rPr>
                      <w:color w:val="auto"/>
                      <w:kern w:val="0"/>
                      <w:sz w:val="21"/>
                      <w:szCs w:val="21"/>
                      <w:highlight w:val="none"/>
                      <w:lang w:bidi="ar"/>
                    </w:rPr>
                    <w:t>0.0</w:t>
                  </w:r>
                  <w:r>
                    <w:rPr>
                      <w:rFonts w:hint="eastAsia"/>
                      <w:color w:val="auto"/>
                      <w:kern w:val="0"/>
                      <w:sz w:val="21"/>
                      <w:szCs w:val="21"/>
                      <w:highlight w:val="none"/>
                      <w:lang w:val="en-US" w:eastAsia="zh-CN" w:bidi="ar"/>
                    </w:rPr>
                    <w:t>5</w:t>
                  </w:r>
                </w:p>
              </w:tc>
            </w:tr>
          </w:tbl>
          <w:p w14:paraId="3797FEEA">
            <w:pPr>
              <w:pStyle w:val="14"/>
              <w:numPr>
                <w:ilvl w:val="0"/>
                <w:numId w:val="0"/>
              </w:numPr>
              <w:ind w:firstLine="422" w:firstLineChars="200"/>
              <w:rPr>
                <w:rFonts w:hint="eastAsia"/>
                <w:b/>
                <w:bCs/>
                <w:color w:val="auto"/>
                <w:szCs w:val="21"/>
                <w:highlight w:val="none"/>
              </w:rPr>
            </w:pPr>
          </w:p>
          <w:p w14:paraId="176EDF27">
            <w:pPr>
              <w:pStyle w:val="14"/>
              <w:numPr>
                <w:ilvl w:val="0"/>
                <w:numId w:val="0"/>
              </w:numPr>
              <w:ind w:firstLine="420" w:firstLineChars="200"/>
              <w:rPr>
                <w:rFonts w:hint="eastAsia"/>
                <w:b/>
                <w:bCs/>
                <w:color w:val="auto"/>
                <w:szCs w:val="21"/>
                <w:highlight w:val="none"/>
              </w:rPr>
            </w:pPr>
            <w:r>
              <w:rPr>
                <w:color w:val="auto"/>
                <w:highlight w:val="none"/>
              </w:rPr>
              <w:pict>
                <v:shape id="_x0000_s1028" o:spid="_x0000_s1028" o:spt="75" type="#_x0000_t75" style="position:absolute;left:0pt;margin-left:10.65pt;margin-top:6.9pt;height:127.75pt;width:394.2pt;z-index:-251651072;mso-width-relative:page;mso-height-relative:page;" o:ole="t" filled="f" o:preferrelative="t" stroked="f" coordsize="21600,21600">
                  <v:path/>
                  <v:fill on="f" focussize="0,0"/>
                  <v:stroke on="f"/>
                  <v:imagedata r:id="rId11" cropbottom="12875f" o:title=""/>
                  <o:lock v:ext="edit" aspectratio="f"/>
                </v:shape>
                <o:OLEObject Type="Embed" ProgID="Visio.Drawing.11" ShapeID="_x0000_s1028" DrawAspect="Content" ObjectID="_1468075725" r:id="rId10">
                  <o:LockedField>false</o:LockedField>
                </o:OLEObject>
              </w:pict>
            </w:r>
          </w:p>
          <w:p w14:paraId="6884E6DD">
            <w:pPr>
              <w:pStyle w:val="14"/>
              <w:numPr>
                <w:ilvl w:val="0"/>
                <w:numId w:val="0"/>
              </w:numPr>
              <w:jc w:val="center"/>
              <w:rPr>
                <w:rFonts w:hint="eastAsia"/>
                <w:b/>
                <w:bCs/>
                <w:color w:val="auto"/>
                <w:sz w:val="24"/>
                <w:highlight w:val="none"/>
              </w:rPr>
            </w:pPr>
          </w:p>
          <w:p w14:paraId="60A589AB">
            <w:pPr>
              <w:pStyle w:val="14"/>
              <w:numPr>
                <w:ilvl w:val="0"/>
                <w:numId w:val="0"/>
              </w:numPr>
              <w:jc w:val="center"/>
              <w:rPr>
                <w:rFonts w:hint="eastAsia"/>
                <w:b/>
                <w:bCs/>
                <w:color w:val="auto"/>
                <w:sz w:val="24"/>
                <w:highlight w:val="none"/>
              </w:rPr>
            </w:pPr>
          </w:p>
          <w:p w14:paraId="6A9A00D7">
            <w:pPr>
              <w:pStyle w:val="14"/>
              <w:numPr>
                <w:ilvl w:val="0"/>
                <w:numId w:val="0"/>
              </w:numPr>
              <w:jc w:val="center"/>
              <w:rPr>
                <w:rFonts w:hint="eastAsia"/>
                <w:b/>
                <w:bCs/>
                <w:color w:val="auto"/>
                <w:sz w:val="24"/>
                <w:highlight w:val="none"/>
              </w:rPr>
            </w:pPr>
          </w:p>
          <w:p w14:paraId="4AF39E49">
            <w:pPr>
              <w:pStyle w:val="14"/>
              <w:numPr>
                <w:ilvl w:val="0"/>
                <w:numId w:val="0"/>
              </w:numPr>
              <w:jc w:val="center"/>
              <w:rPr>
                <w:rFonts w:hint="eastAsia"/>
                <w:b/>
                <w:bCs/>
                <w:color w:val="auto"/>
                <w:sz w:val="24"/>
                <w:highlight w:val="none"/>
              </w:rPr>
            </w:pPr>
          </w:p>
          <w:p w14:paraId="425A9996">
            <w:pPr>
              <w:pStyle w:val="14"/>
              <w:numPr>
                <w:ilvl w:val="0"/>
                <w:numId w:val="0"/>
              </w:numPr>
              <w:jc w:val="center"/>
              <w:rPr>
                <w:rFonts w:hint="eastAsia"/>
                <w:b/>
                <w:bCs/>
                <w:color w:val="auto"/>
                <w:sz w:val="24"/>
                <w:highlight w:val="none"/>
              </w:rPr>
            </w:pPr>
          </w:p>
          <w:p w14:paraId="0C93E783">
            <w:pPr>
              <w:pStyle w:val="14"/>
              <w:numPr>
                <w:ilvl w:val="0"/>
                <w:numId w:val="0"/>
              </w:numPr>
              <w:jc w:val="center"/>
              <w:rPr>
                <w:rFonts w:hint="eastAsia"/>
                <w:b/>
                <w:bCs/>
                <w:color w:val="auto"/>
                <w:sz w:val="24"/>
                <w:highlight w:val="none"/>
              </w:rPr>
            </w:pPr>
          </w:p>
          <w:p w14:paraId="267C57CC">
            <w:pPr>
              <w:pStyle w:val="14"/>
              <w:numPr>
                <w:ilvl w:val="0"/>
                <w:numId w:val="0"/>
              </w:numPr>
              <w:jc w:val="center"/>
              <w:rPr>
                <w:rFonts w:hint="eastAsia"/>
                <w:b/>
                <w:bCs/>
                <w:color w:val="auto"/>
                <w:sz w:val="24"/>
                <w:highlight w:val="none"/>
              </w:rPr>
            </w:pPr>
          </w:p>
          <w:p w14:paraId="21327134">
            <w:pPr>
              <w:pStyle w:val="14"/>
              <w:numPr>
                <w:ilvl w:val="0"/>
                <w:numId w:val="0"/>
              </w:numPr>
              <w:jc w:val="center"/>
              <w:rPr>
                <w:rFonts w:hint="eastAsia"/>
                <w:b/>
                <w:bCs/>
                <w:color w:val="auto"/>
                <w:sz w:val="24"/>
                <w:highlight w:val="none"/>
              </w:rPr>
            </w:pPr>
          </w:p>
          <w:p w14:paraId="4211B066">
            <w:pPr>
              <w:pStyle w:val="14"/>
              <w:numPr>
                <w:ilvl w:val="0"/>
                <w:numId w:val="0"/>
              </w:numPr>
              <w:jc w:val="center"/>
              <w:rPr>
                <w:rFonts w:hint="eastAsia"/>
                <w:b/>
                <w:bCs/>
                <w:color w:val="auto"/>
                <w:sz w:val="24"/>
                <w:highlight w:val="none"/>
              </w:rPr>
            </w:pPr>
          </w:p>
          <w:p w14:paraId="07C13A0F">
            <w:pPr>
              <w:pStyle w:val="14"/>
              <w:numPr>
                <w:ilvl w:val="0"/>
                <w:numId w:val="0"/>
              </w:numPr>
              <w:jc w:val="center"/>
              <w:rPr>
                <w:b/>
                <w:bCs/>
                <w:color w:val="auto"/>
                <w:sz w:val="24"/>
                <w:highlight w:val="none"/>
              </w:rPr>
            </w:pPr>
            <w:r>
              <w:rPr>
                <w:rFonts w:hint="eastAsia"/>
                <w:b/>
                <w:bCs/>
                <w:color w:val="auto"/>
                <w:sz w:val="24"/>
                <w:highlight w:val="none"/>
              </w:rPr>
              <w:t xml:space="preserve">图2-3  技改项目水平衡图 </w:t>
            </w:r>
            <w:r>
              <w:rPr>
                <w:rFonts w:hint="eastAsia"/>
                <w:b/>
                <w:bCs/>
                <w:color w:val="auto"/>
                <w:sz w:val="24"/>
                <w:highlight w:val="none"/>
                <w:lang w:val="en-US" w:eastAsia="zh-CN"/>
              </w:rPr>
              <w:t xml:space="preserve"> </w:t>
            </w:r>
            <w:r>
              <w:rPr>
                <w:rFonts w:hint="eastAsia"/>
                <w:b/>
                <w:bCs/>
                <w:color w:val="auto"/>
                <w:sz w:val="24"/>
                <w:highlight w:val="none"/>
              </w:rPr>
              <w:t>t/d</w:t>
            </w:r>
          </w:p>
          <w:p w14:paraId="701C2430">
            <w:pPr>
              <w:pStyle w:val="6"/>
              <w:spacing w:line="360" w:lineRule="auto"/>
              <w:ind w:firstLine="480"/>
              <w:rPr>
                <w:rFonts w:hint="eastAsia"/>
                <w:color w:val="auto"/>
                <w:highlight w:val="none"/>
              </w:rPr>
            </w:pPr>
          </w:p>
          <w:p w14:paraId="678A11AE">
            <w:pPr>
              <w:pStyle w:val="6"/>
              <w:spacing w:line="360" w:lineRule="auto"/>
              <w:ind w:firstLine="480"/>
              <w:rPr>
                <w:color w:val="auto"/>
                <w:highlight w:val="none"/>
              </w:rPr>
            </w:pPr>
            <w:r>
              <w:rPr>
                <w:rFonts w:hint="eastAsia"/>
                <w:color w:val="auto"/>
                <w:highlight w:val="none"/>
              </w:rPr>
              <w:t>（2）技改完成后整体项目给排水情况</w:t>
            </w:r>
          </w:p>
          <w:p w14:paraId="3EF0A2FE">
            <w:pPr>
              <w:pStyle w:val="3"/>
              <w:spacing w:line="360" w:lineRule="auto"/>
              <w:ind w:firstLine="480"/>
              <w:rPr>
                <w:rFonts w:hint="eastAsia" w:ascii="Times New Roman" w:hAnsi="Times New Roman"/>
                <w:bCs w:val="0"/>
                <w:color w:val="auto"/>
                <w:szCs w:val="24"/>
                <w:highlight w:val="none"/>
              </w:rPr>
            </w:pPr>
            <w:r>
              <w:rPr>
                <w:rFonts w:hint="eastAsia" w:ascii="Times New Roman" w:hAnsi="Times New Roman"/>
                <w:bCs w:val="0"/>
                <w:color w:val="auto"/>
                <w:szCs w:val="24"/>
                <w:highlight w:val="none"/>
              </w:rPr>
              <w:t>技改完成后，整体项目增加用水量0.</w:t>
            </w:r>
            <w:r>
              <w:rPr>
                <w:rFonts w:hint="eastAsia" w:ascii="Times New Roman" w:hAnsi="Times New Roman"/>
                <w:bCs w:val="0"/>
                <w:color w:val="auto"/>
                <w:szCs w:val="24"/>
                <w:highlight w:val="none"/>
                <w:lang w:val="en-US" w:eastAsia="zh-CN"/>
              </w:rPr>
              <w:t>093</w:t>
            </w:r>
            <w:r>
              <w:rPr>
                <w:rFonts w:hint="eastAsia" w:ascii="Times New Roman" w:hAnsi="Times New Roman"/>
                <w:bCs w:val="0"/>
                <w:color w:val="auto"/>
                <w:szCs w:val="24"/>
                <w:highlight w:val="none"/>
              </w:rPr>
              <w:t>t/d、</w:t>
            </w:r>
            <w:r>
              <w:rPr>
                <w:rFonts w:hint="eastAsia" w:ascii="Times New Roman" w:hAnsi="Times New Roman"/>
                <w:bCs w:val="0"/>
                <w:color w:val="auto"/>
                <w:szCs w:val="24"/>
                <w:highlight w:val="none"/>
                <w:lang w:val="en-US" w:eastAsia="zh-CN"/>
              </w:rPr>
              <w:t>27.9</w:t>
            </w:r>
            <w:r>
              <w:rPr>
                <w:rFonts w:hint="eastAsia" w:ascii="Times New Roman" w:hAnsi="Times New Roman"/>
                <w:bCs w:val="0"/>
                <w:color w:val="auto"/>
                <w:szCs w:val="24"/>
                <w:highlight w:val="none"/>
              </w:rPr>
              <w:t>t/a，废水排放量增加0.0</w:t>
            </w:r>
            <w:r>
              <w:rPr>
                <w:rFonts w:hint="eastAsia" w:ascii="Times New Roman" w:hAnsi="Times New Roman"/>
                <w:bCs w:val="0"/>
                <w:color w:val="auto"/>
                <w:szCs w:val="24"/>
                <w:highlight w:val="none"/>
                <w:lang w:val="en-US" w:eastAsia="zh-CN"/>
              </w:rPr>
              <w:t>5</w:t>
            </w:r>
            <w:r>
              <w:rPr>
                <w:rFonts w:hint="eastAsia" w:ascii="Times New Roman" w:hAnsi="Times New Roman"/>
                <w:bCs w:val="0"/>
                <w:color w:val="auto"/>
                <w:szCs w:val="24"/>
                <w:highlight w:val="none"/>
              </w:rPr>
              <w:t>t/d、</w:t>
            </w:r>
            <w:r>
              <w:rPr>
                <w:rFonts w:hint="eastAsia" w:ascii="Times New Roman" w:hAnsi="Times New Roman"/>
                <w:bCs w:val="0"/>
                <w:color w:val="auto"/>
                <w:szCs w:val="24"/>
                <w:highlight w:val="none"/>
                <w:lang w:val="en-US" w:eastAsia="zh-CN"/>
              </w:rPr>
              <w:t>15</w:t>
            </w:r>
            <w:r>
              <w:rPr>
                <w:rFonts w:hint="eastAsia" w:ascii="Times New Roman" w:hAnsi="Times New Roman"/>
                <w:bCs w:val="0"/>
                <w:color w:val="auto"/>
                <w:szCs w:val="24"/>
                <w:highlight w:val="none"/>
              </w:rPr>
              <w:t>t/a。相对于整体项目及</w:t>
            </w:r>
            <w:r>
              <w:rPr>
                <w:rFonts w:hint="eastAsia" w:ascii="Times New Roman" w:hAnsi="Times New Roman"/>
                <w:bCs w:val="0"/>
                <w:color w:val="auto"/>
                <w:szCs w:val="24"/>
                <w:highlight w:val="none"/>
                <w:lang w:val="en-US" w:eastAsia="zh-CN"/>
              </w:rPr>
              <w:t>行唐县</w:t>
            </w:r>
            <w:r>
              <w:rPr>
                <w:rFonts w:hint="eastAsia" w:ascii="Times New Roman" w:hAnsi="Times New Roman"/>
                <w:bCs w:val="0"/>
                <w:color w:val="auto"/>
                <w:szCs w:val="24"/>
                <w:highlight w:val="none"/>
              </w:rPr>
              <w:t>第二污水处理厂，占比均很小，不影响第二污水处理厂运行。整体工程给排水平衡见下图。</w:t>
            </w:r>
          </w:p>
          <w:p w14:paraId="0E64BEB0">
            <w:pPr>
              <w:rPr>
                <w:rFonts w:hint="eastAsia" w:ascii="Times New Roman" w:hAnsi="Times New Roman"/>
                <w:bCs w:val="0"/>
                <w:color w:val="auto"/>
                <w:szCs w:val="24"/>
                <w:highlight w:val="none"/>
              </w:rPr>
            </w:pPr>
          </w:p>
          <w:p w14:paraId="192EE110">
            <w:pPr>
              <w:widowControl/>
              <w:spacing w:line="360" w:lineRule="auto"/>
              <w:ind w:firstLine="480" w:firstLineChars="200"/>
              <w:jc w:val="center"/>
              <w:rPr>
                <w:rFonts w:hint="eastAsia"/>
                <w:color w:val="auto"/>
                <w:sz w:val="24"/>
                <w:szCs w:val="24"/>
                <w:highlight w:val="none"/>
              </w:rPr>
            </w:pPr>
          </w:p>
          <w:p w14:paraId="2DD237A4">
            <w:pPr>
              <w:pStyle w:val="2"/>
              <w:rPr>
                <w:rFonts w:hint="eastAsia"/>
                <w:color w:val="auto"/>
                <w:sz w:val="24"/>
                <w:szCs w:val="24"/>
                <w:highlight w:val="none"/>
              </w:rPr>
            </w:pPr>
          </w:p>
          <w:p w14:paraId="167A88DE">
            <w:pPr>
              <w:pStyle w:val="3"/>
              <w:rPr>
                <w:rFonts w:hint="eastAsia"/>
                <w:color w:val="auto"/>
                <w:sz w:val="24"/>
                <w:szCs w:val="24"/>
                <w:highlight w:val="none"/>
              </w:rPr>
            </w:pPr>
          </w:p>
          <w:p w14:paraId="1186CFD5">
            <w:pPr>
              <w:pStyle w:val="2"/>
              <w:rPr>
                <w:rFonts w:hint="eastAsia"/>
                <w:color w:val="auto"/>
                <w:sz w:val="24"/>
                <w:szCs w:val="24"/>
                <w:highlight w:val="none"/>
              </w:rPr>
            </w:pPr>
          </w:p>
          <w:p w14:paraId="7DC5A7E7">
            <w:pPr>
              <w:pStyle w:val="3"/>
              <w:rPr>
                <w:rFonts w:hint="eastAsia"/>
                <w:color w:val="auto"/>
                <w:sz w:val="24"/>
                <w:szCs w:val="24"/>
                <w:highlight w:val="none"/>
              </w:rPr>
            </w:pPr>
          </w:p>
          <w:p w14:paraId="0F3C582D">
            <w:pPr>
              <w:pStyle w:val="2"/>
              <w:rPr>
                <w:rFonts w:hint="eastAsia"/>
                <w:color w:val="auto"/>
                <w:sz w:val="24"/>
                <w:szCs w:val="24"/>
                <w:highlight w:val="none"/>
              </w:rPr>
            </w:pPr>
          </w:p>
          <w:p w14:paraId="221C0AC6">
            <w:pPr>
              <w:pStyle w:val="3"/>
              <w:rPr>
                <w:rFonts w:hint="eastAsia"/>
                <w:color w:val="auto"/>
                <w:sz w:val="24"/>
                <w:szCs w:val="24"/>
                <w:highlight w:val="none"/>
              </w:rPr>
            </w:pPr>
          </w:p>
          <w:p w14:paraId="78232D82">
            <w:pPr>
              <w:pStyle w:val="2"/>
              <w:rPr>
                <w:rFonts w:hint="eastAsia"/>
                <w:color w:val="auto"/>
                <w:sz w:val="24"/>
                <w:szCs w:val="24"/>
                <w:highlight w:val="none"/>
              </w:rPr>
            </w:pPr>
          </w:p>
          <w:p w14:paraId="0BCBECC2">
            <w:pPr>
              <w:pStyle w:val="3"/>
              <w:rPr>
                <w:rFonts w:hint="eastAsia"/>
                <w:color w:val="auto"/>
                <w:sz w:val="24"/>
                <w:szCs w:val="24"/>
                <w:highlight w:val="none"/>
              </w:rPr>
            </w:pPr>
          </w:p>
          <w:p w14:paraId="366A79D5">
            <w:pPr>
              <w:pStyle w:val="2"/>
              <w:rPr>
                <w:rFonts w:hint="eastAsia"/>
                <w:color w:val="auto"/>
                <w:sz w:val="24"/>
                <w:szCs w:val="24"/>
                <w:highlight w:val="none"/>
              </w:rPr>
            </w:pPr>
          </w:p>
          <w:p w14:paraId="132F2408">
            <w:pPr>
              <w:pStyle w:val="3"/>
              <w:rPr>
                <w:rFonts w:hint="eastAsia"/>
                <w:color w:val="auto"/>
                <w:sz w:val="24"/>
                <w:szCs w:val="24"/>
                <w:highlight w:val="none"/>
              </w:rPr>
            </w:pPr>
          </w:p>
          <w:p w14:paraId="7FCADD68">
            <w:pPr>
              <w:pStyle w:val="2"/>
              <w:rPr>
                <w:rFonts w:hint="eastAsia"/>
              </w:rPr>
            </w:pPr>
          </w:p>
          <w:p w14:paraId="595554B8">
            <w:pPr>
              <w:pStyle w:val="3"/>
              <w:rPr>
                <w:rFonts w:hint="eastAsia"/>
                <w:color w:val="auto"/>
                <w:sz w:val="24"/>
                <w:szCs w:val="24"/>
                <w:highlight w:val="none"/>
              </w:rPr>
            </w:pPr>
          </w:p>
          <w:p w14:paraId="49EEA944">
            <w:pPr>
              <w:pStyle w:val="2"/>
              <w:rPr>
                <w:rFonts w:hint="eastAsia"/>
              </w:rPr>
            </w:pPr>
          </w:p>
          <w:p w14:paraId="2305C4E8">
            <w:pPr>
              <w:pStyle w:val="3"/>
              <w:rPr>
                <w:rFonts w:hint="eastAsia"/>
              </w:rPr>
            </w:pPr>
          </w:p>
          <w:p w14:paraId="31AADBCE">
            <w:pPr>
              <w:rPr>
                <w:rFonts w:hint="eastAsia"/>
                <w:b/>
                <w:bCs/>
                <w:color w:val="auto"/>
                <w:sz w:val="24"/>
                <w:highlight w:val="none"/>
              </w:rPr>
            </w:pPr>
            <w:r>
              <w:rPr>
                <w:color w:val="auto"/>
                <w:highlight w:val="none"/>
              </w:rPr>
              <w:pict>
                <v:shape id="Object 64" o:spid="_x0000_s1026" o:spt="75" type="#_x0000_t75" style="position:absolute;left:0pt;margin-left:-1.55pt;margin-top:-7.55pt;height:346.6pt;width:410.75pt;z-index:-251653120;mso-width-relative:page;mso-height-relative:page;" o:ole="t" filled="f" o:preferrelative="t" stroked="f" coordsize="21600,21600">
                  <v:path/>
                  <v:fill on="f" focussize="0,0"/>
                  <v:stroke on="f"/>
                  <v:imagedata r:id="rId13" o:title=""/>
                  <o:lock v:ext="edit" aspectratio="f"/>
                </v:shape>
                <o:OLEObject Type="Embed" ProgID="Visio.Drawing.11" ShapeID="Object 64" DrawAspect="Content" ObjectID="_1468075726" r:id="rId12">
                  <o:LockedField>false</o:LockedField>
                </o:OLEObject>
              </w:pict>
            </w:r>
          </w:p>
          <w:p w14:paraId="143BEF7A">
            <w:pPr>
              <w:autoSpaceDE w:val="0"/>
              <w:autoSpaceDN w:val="0"/>
              <w:adjustRightInd w:val="0"/>
              <w:spacing w:line="360" w:lineRule="auto"/>
              <w:rPr>
                <w:rFonts w:hint="eastAsia"/>
                <w:color w:val="auto"/>
                <w:sz w:val="24"/>
                <w:highlight w:val="none"/>
              </w:rPr>
            </w:pPr>
          </w:p>
          <w:p w14:paraId="2569E006">
            <w:pPr>
              <w:autoSpaceDE w:val="0"/>
              <w:autoSpaceDN w:val="0"/>
              <w:adjustRightInd w:val="0"/>
              <w:spacing w:line="360" w:lineRule="auto"/>
              <w:rPr>
                <w:rFonts w:hint="eastAsia"/>
                <w:color w:val="auto"/>
                <w:sz w:val="24"/>
                <w:highlight w:val="none"/>
              </w:rPr>
            </w:pPr>
          </w:p>
          <w:p w14:paraId="3546AB1A">
            <w:pPr>
              <w:pStyle w:val="13"/>
              <w:jc w:val="center"/>
              <w:rPr>
                <w:rFonts w:hint="eastAsia"/>
                <w:b/>
                <w:bCs/>
                <w:color w:val="auto"/>
                <w:sz w:val="24"/>
                <w:szCs w:val="24"/>
                <w:highlight w:val="none"/>
              </w:rPr>
            </w:pPr>
          </w:p>
          <w:p w14:paraId="02A829F9">
            <w:pPr>
              <w:pStyle w:val="14"/>
              <w:numPr>
                <w:ilvl w:val="0"/>
                <w:numId w:val="0"/>
              </w:numPr>
              <w:rPr>
                <w:rFonts w:hint="eastAsia"/>
                <w:b/>
                <w:bCs/>
                <w:color w:val="auto"/>
                <w:sz w:val="24"/>
                <w:highlight w:val="none"/>
              </w:rPr>
            </w:pPr>
          </w:p>
          <w:p w14:paraId="5E6220D3">
            <w:pPr>
              <w:pStyle w:val="13"/>
              <w:jc w:val="center"/>
              <w:rPr>
                <w:rFonts w:hint="eastAsia"/>
                <w:b/>
                <w:bCs/>
                <w:color w:val="auto"/>
                <w:sz w:val="24"/>
                <w:szCs w:val="24"/>
                <w:highlight w:val="none"/>
              </w:rPr>
            </w:pPr>
          </w:p>
          <w:p w14:paraId="257988C6">
            <w:pPr>
              <w:pStyle w:val="13"/>
              <w:jc w:val="center"/>
              <w:rPr>
                <w:rFonts w:hint="eastAsia"/>
                <w:b/>
                <w:bCs/>
                <w:color w:val="000000" w:themeColor="text1"/>
                <w:sz w:val="24"/>
                <w:szCs w:val="24"/>
                <w:highlight w:val="none"/>
                <w14:textFill>
                  <w14:solidFill>
                    <w14:schemeClr w14:val="tx1"/>
                  </w14:solidFill>
                </w14:textFill>
              </w:rPr>
            </w:pPr>
          </w:p>
          <w:p w14:paraId="66C822BC">
            <w:pPr>
              <w:pStyle w:val="13"/>
              <w:jc w:val="center"/>
              <w:rPr>
                <w:rFonts w:hint="eastAsia"/>
                <w:b/>
                <w:bCs/>
                <w:color w:val="000000" w:themeColor="text1"/>
                <w:sz w:val="24"/>
                <w:szCs w:val="24"/>
                <w:highlight w:val="none"/>
                <w14:textFill>
                  <w14:solidFill>
                    <w14:schemeClr w14:val="tx1"/>
                  </w14:solidFill>
                </w14:textFill>
              </w:rPr>
            </w:pPr>
          </w:p>
          <w:p w14:paraId="071C92D5">
            <w:pPr>
              <w:pStyle w:val="13"/>
              <w:jc w:val="center"/>
              <w:rPr>
                <w:rFonts w:hint="eastAsia"/>
                <w:b/>
                <w:bCs/>
                <w:color w:val="000000" w:themeColor="text1"/>
                <w:sz w:val="24"/>
                <w:szCs w:val="24"/>
                <w:highlight w:val="none"/>
                <w14:textFill>
                  <w14:solidFill>
                    <w14:schemeClr w14:val="tx1"/>
                  </w14:solidFill>
                </w14:textFill>
              </w:rPr>
            </w:pPr>
          </w:p>
          <w:p w14:paraId="568FCE91">
            <w:pPr>
              <w:pStyle w:val="13"/>
              <w:jc w:val="center"/>
              <w:rPr>
                <w:rFonts w:hint="eastAsia"/>
                <w:b/>
                <w:bCs/>
                <w:color w:val="000000" w:themeColor="text1"/>
                <w:sz w:val="24"/>
                <w:szCs w:val="24"/>
                <w:highlight w:val="none"/>
                <w14:textFill>
                  <w14:solidFill>
                    <w14:schemeClr w14:val="tx1"/>
                  </w14:solidFill>
                </w14:textFill>
              </w:rPr>
            </w:pPr>
          </w:p>
          <w:p w14:paraId="19F05690">
            <w:pPr>
              <w:pStyle w:val="13"/>
              <w:jc w:val="center"/>
              <w:rPr>
                <w:rFonts w:hint="eastAsia"/>
                <w:b/>
                <w:bCs/>
                <w:color w:val="000000" w:themeColor="text1"/>
                <w:sz w:val="24"/>
                <w:szCs w:val="24"/>
                <w:highlight w:val="none"/>
                <w14:textFill>
                  <w14:solidFill>
                    <w14:schemeClr w14:val="tx1"/>
                  </w14:solidFill>
                </w14:textFill>
              </w:rPr>
            </w:pPr>
          </w:p>
          <w:p w14:paraId="2BB23F3B">
            <w:pPr>
              <w:pStyle w:val="13"/>
              <w:jc w:val="center"/>
              <w:rPr>
                <w:rFonts w:hint="eastAsia"/>
                <w:b/>
                <w:bCs/>
                <w:color w:val="000000" w:themeColor="text1"/>
                <w:sz w:val="24"/>
                <w:szCs w:val="24"/>
                <w:highlight w:val="none"/>
                <w14:textFill>
                  <w14:solidFill>
                    <w14:schemeClr w14:val="tx1"/>
                  </w14:solidFill>
                </w14:textFill>
              </w:rPr>
            </w:pPr>
          </w:p>
          <w:p w14:paraId="10605381">
            <w:pPr>
              <w:pStyle w:val="13"/>
              <w:jc w:val="center"/>
              <w:rPr>
                <w:rFonts w:hint="eastAsia"/>
                <w:b/>
                <w:bCs/>
                <w:color w:val="000000" w:themeColor="text1"/>
                <w:sz w:val="24"/>
                <w:szCs w:val="24"/>
                <w:highlight w:val="none"/>
                <w14:textFill>
                  <w14:solidFill>
                    <w14:schemeClr w14:val="tx1"/>
                  </w14:solidFill>
                </w14:textFill>
              </w:rPr>
            </w:pPr>
          </w:p>
          <w:p w14:paraId="3CD587A9">
            <w:pPr>
              <w:pStyle w:val="13"/>
              <w:jc w:val="center"/>
              <w:rPr>
                <w:rFonts w:hint="eastAsia"/>
                <w:b/>
                <w:bCs/>
                <w:color w:val="000000" w:themeColor="text1"/>
                <w:sz w:val="24"/>
                <w:szCs w:val="24"/>
                <w:highlight w:val="none"/>
                <w14:textFill>
                  <w14:solidFill>
                    <w14:schemeClr w14:val="tx1"/>
                  </w14:solidFill>
                </w14:textFill>
              </w:rPr>
            </w:pPr>
          </w:p>
          <w:p w14:paraId="318D3F75">
            <w:pPr>
              <w:pStyle w:val="13"/>
              <w:jc w:val="center"/>
              <w:rPr>
                <w:rFonts w:hint="eastAsia"/>
                <w:b/>
                <w:bCs/>
                <w:color w:val="000000" w:themeColor="text1"/>
                <w:sz w:val="24"/>
                <w:szCs w:val="24"/>
                <w:highlight w:val="none"/>
                <w14:textFill>
                  <w14:solidFill>
                    <w14:schemeClr w14:val="tx1"/>
                  </w14:solidFill>
                </w14:textFill>
              </w:rPr>
            </w:pPr>
          </w:p>
          <w:p w14:paraId="096F37E2">
            <w:pPr>
              <w:pStyle w:val="13"/>
              <w:jc w:val="center"/>
              <w:rPr>
                <w:rFonts w:hint="eastAsia"/>
                <w:b/>
                <w:bCs/>
                <w:color w:val="000000" w:themeColor="text1"/>
                <w:sz w:val="24"/>
                <w:szCs w:val="24"/>
                <w:highlight w:val="none"/>
                <w14:textFill>
                  <w14:solidFill>
                    <w14:schemeClr w14:val="tx1"/>
                  </w14:solidFill>
                </w14:textFill>
              </w:rPr>
            </w:pPr>
            <w:r>
              <w:rPr>
                <w:rFonts w:hint="eastAsia"/>
                <w:b/>
                <w:bCs/>
                <w:color w:val="000000" w:themeColor="text1"/>
                <w:sz w:val="24"/>
                <w:szCs w:val="24"/>
                <w:highlight w:val="none"/>
                <w14:textFill>
                  <w14:solidFill>
                    <w14:schemeClr w14:val="tx1"/>
                  </w14:solidFill>
                </w14:textFill>
              </w:rPr>
              <w:t>图2-4  整体工程给排水平衡图  单位：t/d</w:t>
            </w:r>
          </w:p>
          <w:p w14:paraId="4000C9F4">
            <w:pPr>
              <w:pStyle w:val="3"/>
              <w:keepNext/>
              <w:keepLines/>
              <w:pageBreakBefore w:val="0"/>
              <w:widowControl w:val="0"/>
              <w:numPr>
                <w:ilvl w:val="0"/>
                <w:numId w:val="0"/>
              </w:numPr>
              <w:tabs>
                <w:tab w:val="left" w:pos="8647"/>
              </w:tabs>
              <w:kinsoku/>
              <w:wordWrap/>
              <w:overflowPunct/>
              <w:topLinePunct w:val="0"/>
              <w:autoSpaceDE/>
              <w:autoSpaceDN/>
              <w:bidi w:val="0"/>
              <w:adjustRightInd w:val="0"/>
              <w:snapToGrid w:val="0"/>
              <w:spacing w:line="360" w:lineRule="auto"/>
              <w:ind w:leftChars="0" w:firstLine="480" w:firstLineChars="200"/>
              <w:jc w:val="both"/>
              <w:textAlignment w:val="auto"/>
              <w:rPr>
                <w:rFonts w:hint="eastAsia" w:ascii="Times New Roman" w:hAnsi="Times New Roman" w:eastAsia="宋体" w:cs="Times New Roman"/>
                <w:bCs w:val="0"/>
                <w:color w:val="auto"/>
                <w:kern w:val="2"/>
                <w:sz w:val="24"/>
                <w:szCs w:val="24"/>
                <w:highlight w:val="none"/>
                <w:lang w:val="en-US" w:eastAsia="zh-CN" w:bidi="ar-SA"/>
              </w:rPr>
            </w:pPr>
            <w:r>
              <w:rPr>
                <w:rFonts w:hint="eastAsia" w:ascii="Times New Roman" w:hAnsi="Times New Roman" w:eastAsia="宋体" w:cs="Times New Roman"/>
                <w:bCs w:val="0"/>
                <w:color w:val="auto"/>
                <w:kern w:val="2"/>
                <w:sz w:val="24"/>
                <w:szCs w:val="24"/>
                <w:highlight w:val="none"/>
                <w:lang w:val="en-US" w:eastAsia="zh-CN" w:bidi="ar-SA"/>
              </w:rPr>
              <w:t>（2）供电情况</w:t>
            </w:r>
          </w:p>
          <w:p w14:paraId="34A932B7">
            <w:pPr>
              <w:pStyle w:val="3"/>
              <w:pageBreakBefore w:val="0"/>
              <w:widowControl w:val="0"/>
              <w:kinsoku/>
              <w:wordWrap/>
              <w:overflowPunct/>
              <w:topLinePunct w:val="0"/>
              <w:autoSpaceDE/>
              <w:autoSpaceDN/>
              <w:bidi w:val="0"/>
              <w:spacing w:line="360" w:lineRule="auto"/>
              <w:ind w:left="0" w:leftChars="0" w:firstLine="480" w:firstLineChars="200"/>
              <w:textAlignment w:val="auto"/>
              <w:rPr>
                <w:rFonts w:hint="default" w:ascii="Times New Roman" w:hAnsi="Times New Roman" w:eastAsia="宋体" w:cs="Times New Roman"/>
                <w:bCs w:val="0"/>
                <w:color w:val="auto"/>
                <w:kern w:val="2"/>
                <w:sz w:val="24"/>
                <w:szCs w:val="24"/>
                <w:highlight w:val="none"/>
                <w:lang w:val="en-US" w:eastAsia="zh-CN" w:bidi="ar-SA"/>
              </w:rPr>
            </w:pPr>
            <w:r>
              <w:rPr>
                <w:rFonts w:hint="eastAsia" w:ascii="Times New Roman" w:hAnsi="Times New Roman" w:eastAsia="宋体" w:cs="Times New Roman"/>
                <w:bCs w:val="0"/>
                <w:color w:val="auto"/>
                <w:kern w:val="2"/>
                <w:sz w:val="24"/>
                <w:szCs w:val="24"/>
                <w:highlight w:val="none"/>
                <w:lang w:val="en-US" w:eastAsia="zh-CN" w:bidi="ar-SA"/>
              </w:rPr>
              <w:t>技改后</w:t>
            </w:r>
            <w:r>
              <w:rPr>
                <w:rFonts w:hint="default" w:ascii="Times New Roman" w:hAnsi="Times New Roman" w:eastAsia="宋体" w:cs="Times New Roman"/>
                <w:bCs w:val="0"/>
                <w:color w:val="auto"/>
                <w:kern w:val="2"/>
                <w:sz w:val="24"/>
                <w:szCs w:val="24"/>
                <w:highlight w:val="none"/>
                <w:lang w:val="zh-CN" w:eastAsia="zh-CN" w:bidi="ar-SA"/>
              </w:rPr>
              <w:t>用电</w:t>
            </w:r>
            <w:r>
              <w:rPr>
                <w:rFonts w:hint="eastAsia" w:ascii="Times New Roman" w:hAnsi="Times New Roman" w:eastAsia="宋体" w:cs="Times New Roman"/>
                <w:bCs w:val="0"/>
                <w:color w:val="auto"/>
                <w:kern w:val="2"/>
                <w:sz w:val="24"/>
                <w:szCs w:val="24"/>
                <w:highlight w:val="none"/>
                <w:lang w:val="en-US" w:eastAsia="zh-CN" w:bidi="ar-SA"/>
              </w:rPr>
              <w:t>仍园区供电线路</w:t>
            </w:r>
            <w:r>
              <w:rPr>
                <w:rFonts w:hint="default" w:ascii="Times New Roman" w:hAnsi="Times New Roman" w:eastAsia="宋体" w:cs="Times New Roman"/>
                <w:bCs w:val="0"/>
                <w:color w:val="auto"/>
                <w:kern w:val="2"/>
                <w:sz w:val="24"/>
                <w:szCs w:val="24"/>
                <w:highlight w:val="none"/>
                <w:lang w:val="zh-CN" w:eastAsia="zh-CN" w:bidi="ar-SA"/>
              </w:rPr>
              <w:t>提供</w:t>
            </w:r>
            <w:r>
              <w:rPr>
                <w:rFonts w:hint="default" w:ascii="Times New Roman" w:hAnsi="Times New Roman" w:eastAsia="宋体" w:cs="Times New Roman"/>
                <w:bCs w:val="0"/>
                <w:color w:val="auto"/>
                <w:kern w:val="2"/>
                <w:sz w:val="24"/>
                <w:szCs w:val="24"/>
                <w:highlight w:val="none"/>
                <w:lang w:val="en-US" w:eastAsia="zh-CN" w:bidi="ar-SA"/>
              </w:rPr>
              <w:t>，</w:t>
            </w:r>
            <w:r>
              <w:rPr>
                <w:rFonts w:hint="eastAsia" w:ascii="Times New Roman" w:hAnsi="Times New Roman" w:cs="Times New Roman"/>
                <w:bCs w:val="0"/>
                <w:color w:val="auto"/>
                <w:kern w:val="2"/>
                <w:sz w:val="24"/>
                <w:szCs w:val="24"/>
                <w:highlight w:val="none"/>
                <w:lang w:val="en-US" w:eastAsia="zh-CN" w:bidi="ar-SA"/>
              </w:rPr>
              <w:t>清洗烘干线</w:t>
            </w:r>
            <w:r>
              <w:rPr>
                <w:rFonts w:hint="eastAsia" w:ascii="Times New Roman" w:hAnsi="Times New Roman" w:eastAsia="宋体" w:cs="Times New Roman"/>
                <w:bCs w:val="0"/>
                <w:color w:val="auto"/>
                <w:kern w:val="2"/>
                <w:sz w:val="24"/>
                <w:szCs w:val="24"/>
                <w:highlight w:val="none"/>
                <w:lang w:val="en-US" w:eastAsia="zh-CN" w:bidi="ar-SA"/>
              </w:rPr>
              <w:t>增加</w:t>
            </w:r>
            <w:r>
              <w:rPr>
                <w:rFonts w:hint="eastAsia" w:ascii="Times New Roman" w:hAnsi="Times New Roman" w:cs="Times New Roman"/>
                <w:bCs w:val="0"/>
                <w:color w:val="auto"/>
                <w:kern w:val="2"/>
                <w:sz w:val="24"/>
                <w:szCs w:val="24"/>
                <w:highlight w:val="none"/>
                <w:lang w:val="en-US" w:eastAsia="zh-CN" w:bidi="ar-SA"/>
              </w:rPr>
              <w:t>45</w:t>
            </w:r>
            <w:r>
              <w:rPr>
                <w:rFonts w:hint="eastAsia" w:ascii="Times New Roman" w:hAnsi="Times New Roman" w:eastAsia="宋体" w:cs="Times New Roman"/>
                <w:bCs w:val="0"/>
                <w:color w:val="auto"/>
                <w:kern w:val="2"/>
                <w:sz w:val="24"/>
                <w:szCs w:val="24"/>
                <w:highlight w:val="none"/>
                <w:lang w:val="en-US" w:eastAsia="zh-CN" w:bidi="ar-SA"/>
              </w:rPr>
              <w:t>万</w:t>
            </w:r>
            <w:r>
              <w:rPr>
                <w:rFonts w:hint="default" w:ascii="Times New Roman" w:hAnsi="Times New Roman" w:eastAsia="宋体" w:cs="Times New Roman"/>
                <w:bCs w:val="0"/>
                <w:color w:val="auto"/>
                <w:kern w:val="2"/>
                <w:sz w:val="24"/>
                <w:szCs w:val="24"/>
                <w:highlight w:val="none"/>
                <w:lang w:val="en-US" w:eastAsia="zh-CN" w:bidi="ar-SA"/>
              </w:rPr>
              <w:t>kW•h/</w:t>
            </w:r>
            <w:r>
              <w:rPr>
                <w:rFonts w:hint="eastAsia" w:ascii="Times New Roman" w:hAnsi="Times New Roman" w:eastAsia="宋体" w:cs="Times New Roman"/>
                <w:bCs w:val="0"/>
                <w:color w:val="auto"/>
                <w:kern w:val="2"/>
                <w:sz w:val="24"/>
                <w:szCs w:val="24"/>
                <w:highlight w:val="none"/>
                <w:lang w:val="en-US" w:eastAsia="zh-CN" w:bidi="ar-SA"/>
              </w:rPr>
              <w:t>a</w:t>
            </w:r>
            <w:r>
              <w:rPr>
                <w:rFonts w:hint="eastAsia" w:ascii="Times New Roman" w:hAnsi="Times New Roman" w:cs="Times New Roman"/>
                <w:bCs w:val="0"/>
                <w:color w:val="auto"/>
                <w:kern w:val="2"/>
                <w:sz w:val="24"/>
                <w:szCs w:val="24"/>
                <w:highlight w:val="none"/>
                <w:lang w:val="en-US" w:eastAsia="zh-CN" w:bidi="ar-SA"/>
              </w:rPr>
              <w:t>。技改完成后</w:t>
            </w:r>
            <w:r>
              <w:rPr>
                <w:rFonts w:hint="eastAsia" w:ascii="Times New Roman" w:hAnsi="Times New Roman" w:eastAsia="宋体" w:cs="Times New Roman"/>
                <w:bCs w:val="0"/>
                <w:color w:val="auto"/>
                <w:kern w:val="2"/>
                <w:sz w:val="24"/>
                <w:szCs w:val="24"/>
                <w:highlight w:val="none"/>
                <w:lang w:val="en-US" w:eastAsia="zh-CN" w:bidi="ar-SA"/>
              </w:rPr>
              <w:t>整体工程共用电</w:t>
            </w:r>
            <w:r>
              <w:rPr>
                <w:rFonts w:hint="eastAsia" w:ascii="Times New Roman" w:hAnsi="Times New Roman" w:cs="Times New Roman"/>
                <w:bCs w:val="0"/>
                <w:color w:val="auto"/>
                <w:kern w:val="2"/>
                <w:sz w:val="24"/>
                <w:szCs w:val="24"/>
                <w:highlight w:val="none"/>
                <w:lang w:val="en-US" w:eastAsia="zh-CN" w:bidi="ar-SA"/>
              </w:rPr>
              <w:t>425</w:t>
            </w:r>
            <w:r>
              <w:rPr>
                <w:rFonts w:hint="eastAsia" w:ascii="Times New Roman" w:hAnsi="Times New Roman" w:eastAsia="宋体" w:cs="Times New Roman"/>
                <w:bCs w:val="0"/>
                <w:color w:val="auto"/>
                <w:kern w:val="2"/>
                <w:sz w:val="24"/>
                <w:szCs w:val="24"/>
                <w:highlight w:val="none"/>
                <w:lang w:val="en-US" w:eastAsia="zh-CN" w:bidi="ar-SA"/>
              </w:rPr>
              <w:t>万</w:t>
            </w:r>
            <w:r>
              <w:rPr>
                <w:rFonts w:hint="default" w:ascii="Times New Roman" w:hAnsi="Times New Roman" w:eastAsia="宋体" w:cs="Times New Roman"/>
                <w:bCs w:val="0"/>
                <w:color w:val="auto"/>
                <w:kern w:val="2"/>
                <w:sz w:val="24"/>
                <w:szCs w:val="24"/>
                <w:highlight w:val="none"/>
                <w:lang w:val="en-US" w:eastAsia="zh-CN" w:bidi="ar-SA"/>
              </w:rPr>
              <w:t>kW•h/</w:t>
            </w:r>
            <w:r>
              <w:rPr>
                <w:rFonts w:hint="eastAsia" w:ascii="Times New Roman" w:hAnsi="Times New Roman" w:eastAsia="宋体" w:cs="Times New Roman"/>
                <w:bCs w:val="0"/>
                <w:color w:val="auto"/>
                <w:kern w:val="2"/>
                <w:sz w:val="24"/>
                <w:szCs w:val="24"/>
                <w:highlight w:val="none"/>
                <w:lang w:val="en-US" w:eastAsia="zh-CN" w:bidi="ar-SA"/>
              </w:rPr>
              <w:t>a</w:t>
            </w:r>
            <w:r>
              <w:rPr>
                <w:rFonts w:hint="default" w:ascii="Times New Roman" w:hAnsi="Times New Roman" w:eastAsia="宋体" w:cs="Times New Roman"/>
                <w:bCs w:val="0"/>
                <w:color w:val="auto"/>
                <w:kern w:val="2"/>
                <w:sz w:val="24"/>
                <w:szCs w:val="24"/>
                <w:highlight w:val="none"/>
                <w:lang w:val="en-US" w:eastAsia="zh-CN" w:bidi="ar-SA"/>
              </w:rPr>
              <w:t>。</w:t>
            </w:r>
          </w:p>
          <w:p w14:paraId="75D0D466">
            <w:pPr>
              <w:pStyle w:val="3"/>
              <w:pageBreakBefore w:val="0"/>
              <w:widowControl w:val="0"/>
              <w:tabs>
                <w:tab w:val="left" w:pos="8647"/>
              </w:tabs>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ascii="Times New Roman" w:hAnsi="Times New Roman" w:eastAsia="宋体" w:cs="Times New Roman"/>
                <w:bCs w:val="0"/>
                <w:color w:val="auto"/>
                <w:kern w:val="2"/>
                <w:sz w:val="24"/>
                <w:szCs w:val="24"/>
                <w:highlight w:val="none"/>
                <w:lang w:val="en-US" w:eastAsia="zh-CN" w:bidi="ar-SA"/>
              </w:rPr>
            </w:pPr>
            <w:r>
              <w:rPr>
                <w:rFonts w:hint="default" w:ascii="Times New Roman" w:hAnsi="Times New Roman" w:eastAsia="宋体" w:cs="Times New Roman"/>
                <w:bCs w:val="0"/>
                <w:color w:val="auto"/>
                <w:kern w:val="2"/>
                <w:sz w:val="24"/>
                <w:szCs w:val="24"/>
                <w:highlight w:val="none"/>
                <w:lang w:val="en-US" w:eastAsia="zh-CN" w:bidi="ar-SA"/>
              </w:rPr>
              <w:t>（3）</w:t>
            </w:r>
            <w:r>
              <w:rPr>
                <w:rFonts w:hint="eastAsia" w:ascii="Times New Roman" w:hAnsi="Times New Roman" w:eastAsia="宋体" w:cs="Times New Roman"/>
                <w:bCs w:val="0"/>
                <w:color w:val="auto"/>
                <w:kern w:val="2"/>
                <w:sz w:val="24"/>
                <w:szCs w:val="24"/>
                <w:highlight w:val="none"/>
                <w:lang w:val="en-US" w:eastAsia="zh-CN" w:bidi="ar-SA"/>
              </w:rPr>
              <w:t>蒸汽及</w:t>
            </w:r>
            <w:r>
              <w:rPr>
                <w:rFonts w:hint="default" w:ascii="Times New Roman" w:hAnsi="Times New Roman" w:eastAsia="宋体" w:cs="Times New Roman"/>
                <w:bCs w:val="0"/>
                <w:color w:val="auto"/>
                <w:kern w:val="2"/>
                <w:sz w:val="24"/>
                <w:szCs w:val="24"/>
                <w:highlight w:val="none"/>
                <w:lang w:val="en-US" w:eastAsia="zh-CN" w:bidi="ar-SA"/>
              </w:rPr>
              <w:t xml:space="preserve">供热 </w:t>
            </w:r>
          </w:p>
          <w:p w14:paraId="75E581AC">
            <w:pPr>
              <w:pageBreakBefore w:val="0"/>
              <w:widowControl w:val="0"/>
              <w:tabs>
                <w:tab w:val="left" w:pos="8647"/>
              </w:tabs>
              <w:kinsoku/>
              <w:wordWrap/>
              <w:overflowPunct/>
              <w:topLinePunct w:val="0"/>
              <w:autoSpaceDE/>
              <w:autoSpaceDN/>
              <w:bidi w:val="0"/>
              <w:snapToGrid w:val="0"/>
              <w:spacing w:line="360" w:lineRule="auto"/>
              <w:ind w:left="0" w:leftChars="0" w:firstLine="480" w:firstLineChars="200"/>
              <w:jc w:val="left"/>
              <w:textAlignment w:val="auto"/>
              <w:rPr>
                <w:rFonts w:hint="default"/>
                <w:bCs/>
                <w:color w:val="auto"/>
                <w:szCs w:val="21"/>
                <w:highlight w:val="none"/>
                <w:lang w:val="en-US"/>
              </w:rPr>
            </w:pPr>
            <w:r>
              <w:rPr>
                <w:rFonts w:hint="eastAsia" w:cs="Times New Roman"/>
                <w:bCs w:val="0"/>
                <w:color w:val="000000" w:themeColor="text1"/>
                <w:kern w:val="2"/>
                <w:sz w:val="24"/>
                <w:szCs w:val="24"/>
                <w:highlight w:val="none"/>
                <w:lang w:val="en-US" w:eastAsia="zh-CN" w:bidi="ar-SA"/>
                <w14:textFill>
                  <w14:solidFill>
                    <w14:schemeClr w14:val="tx1"/>
                  </w14:solidFill>
                </w14:textFill>
              </w:rPr>
              <w:t>本技改项目不使用天然气，清洗设备用电加热；</w:t>
            </w:r>
            <w:r>
              <w:rPr>
                <w:rFonts w:hint="eastAsia" w:ascii="Times New Roman" w:hAnsi="Times New Roman" w:eastAsia="宋体" w:cs="Times New Roman"/>
                <w:bCs w:val="0"/>
                <w:color w:val="000000" w:themeColor="text1"/>
                <w:kern w:val="2"/>
                <w:sz w:val="24"/>
                <w:szCs w:val="24"/>
                <w:highlight w:val="none"/>
                <w:lang w:val="en-US" w:eastAsia="zh-CN" w:bidi="ar-SA"/>
                <w14:textFill>
                  <w14:solidFill>
                    <w14:schemeClr w14:val="tx1"/>
                  </w14:solidFill>
                </w14:textFill>
              </w:rPr>
              <w:t>办公</w:t>
            </w:r>
            <w:r>
              <w:rPr>
                <w:rFonts w:hint="eastAsia" w:cs="Times New Roman"/>
                <w:bCs w:val="0"/>
                <w:color w:val="000000" w:themeColor="text1"/>
                <w:kern w:val="2"/>
                <w:sz w:val="24"/>
                <w:szCs w:val="24"/>
                <w:highlight w:val="none"/>
                <w:lang w:val="en-US" w:eastAsia="zh-CN" w:bidi="ar-SA"/>
                <w14:textFill>
                  <w14:solidFill>
                    <w14:schemeClr w14:val="tx1"/>
                  </w14:solidFill>
                </w14:textFill>
              </w:rPr>
              <w:t>空调仍</w:t>
            </w:r>
            <w:r>
              <w:rPr>
                <w:rFonts w:hint="eastAsia" w:ascii="Times New Roman" w:hAnsi="Times New Roman" w:eastAsia="宋体" w:cs="Times New Roman"/>
                <w:bCs w:val="0"/>
                <w:color w:val="000000" w:themeColor="text1"/>
                <w:kern w:val="2"/>
                <w:sz w:val="24"/>
                <w:szCs w:val="24"/>
                <w:highlight w:val="none"/>
                <w:lang w:val="en-US" w:eastAsia="zh-CN" w:bidi="ar-SA"/>
                <w14:textFill>
                  <w14:solidFill>
                    <w14:schemeClr w14:val="tx1"/>
                  </w14:solidFill>
                </w14:textFill>
              </w:rPr>
              <w:t>采用</w:t>
            </w:r>
            <w:r>
              <w:rPr>
                <w:rFonts w:hint="eastAsia" w:cs="Times New Roman"/>
                <w:bCs w:val="0"/>
                <w:color w:val="000000" w:themeColor="text1"/>
                <w:kern w:val="2"/>
                <w:sz w:val="24"/>
                <w:szCs w:val="24"/>
                <w:highlight w:val="none"/>
                <w:lang w:val="en-US" w:eastAsia="zh-CN" w:bidi="ar-SA"/>
                <w14:textFill>
                  <w14:solidFill>
                    <w14:schemeClr w14:val="tx1"/>
                  </w14:solidFill>
                </w14:textFill>
              </w:rPr>
              <w:t>电能</w:t>
            </w:r>
            <w:r>
              <w:rPr>
                <w:rFonts w:hint="eastAsia" w:ascii="Times New Roman" w:hAnsi="Times New Roman" w:eastAsia="宋体" w:cs="Times New Roman"/>
                <w:bCs w:val="0"/>
                <w:color w:val="000000" w:themeColor="text1"/>
                <w:kern w:val="2"/>
                <w:sz w:val="24"/>
                <w:szCs w:val="24"/>
                <w:highlight w:val="none"/>
                <w:lang w:val="en-US" w:eastAsia="zh-CN" w:bidi="ar-SA"/>
                <w14:textFill>
                  <w14:solidFill>
                    <w14:schemeClr w14:val="tx1"/>
                  </w14:solidFill>
                </w14:textFill>
              </w:rPr>
              <w:t>。</w:t>
            </w:r>
          </w:p>
        </w:tc>
      </w:tr>
      <w:tr w14:paraId="76A9A1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94" w:hRule="atLeast"/>
          <w:jc w:val="center"/>
        </w:trPr>
        <w:tc>
          <w:tcPr>
            <w:tcW w:w="538" w:type="dxa"/>
            <w:noWrap w:val="0"/>
            <w:vAlign w:val="center"/>
          </w:tcPr>
          <w:p w14:paraId="16C648D9">
            <w:pPr>
              <w:pStyle w:val="30"/>
              <w:adjustRightInd w:val="0"/>
              <w:snapToGrid w:val="0"/>
              <w:spacing w:before="0" w:beforeAutospacing="0" w:after="0" w:afterAutospacing="0"/>
              <w:jc w:val="center"/>
              <w:rPr>
                <w:rFonts w:ascii="Times New Roman" w:hAnsi="Times New Roman"/>
                <w:color w:val="auto"/>
                <w:szCs w:val="24"/>
                <w:highlight w:val="none"/>
              </w:rPr>
            </w:pPr>
          </w:p>
          <w:p w14:paraId="7B2C426B">
            <w:pPr>
              <w:pStyle w:val="30"/>
              <w:adjustRightInd w:val="0"/>
              <w:snapToGrid w:val="0"/>
              <w:spacing w:before="0" w:beforeAutospacing="0" w:after="0" w:afterAutospacing="0"/>
              <w:jc w:val="center"/>
              <w:rPr>
                <w:rFonts w:ascii="Times New Roman" w:hAnsi="Times New Roman"/>
                <w:color w:val="auto"/>
                <w:szCs w:val="24"/>
                <w:highlight w:val="none"/>
              </w:rPr>
            </w:pPr>
          </w:p>
          <w:p w14:paraId="1240BF8A">
            <w:pPr>
              <w:pStyle w:val="30"/>
              <w:adjustRightInd w:val="0"/>
              <w:snapToGrid w:val="0"/>
              <w:spacing w:before="0" w:beforeAutospacing="0" w:after="0" w:afterAutospacing="0"/>
              <w:jc w:val="center"/>
              <w:rPr>
                <w:rFonts w:ascii="Times New Roman" w:hAnsi="Times New Roman"/>
                <w:color w:val="auto"/>
                <w:szCs w:val="24"/>
                <w:highlight w:val="none"/>
              </w:rPr>
            </w:pPr>
          </w:p>
          <w:p w14:paraId="1BA253A5">
            <w:pPr>
              <w:pStyle w:val="30"/>
              <w:adjustRightInd w:val="0"/>
              <w:snapToGrid w:val="0"/>
              <w:spacing w:before="0" w:beforeAutospacing="0" w:after="0" w:afterAutospacing="0"/>
              <w:jc w:val="center"/>
              <w:rPr>
                <w:rFonts w:ascii="Times New Roman" w:hAnsi="Times New Roman"/>
                <w:color w:val="auto"/>
                <w:szCs w:val="24"/>
                <w:highlight w:val="none"/>
              </w:rPr>
            </w:pPr>
          </w:p>
          <w:p w14:paraId="5E9F0450">
            <w:pPr>
              <w:pStyle w:val="30"/>
              <w:adjustRightInd w:val="0"/>
              <w:snapToGrid w:val="0"/>
              <w:spacing w:before="0" w:beforeAutospacing="0" w:after="0" w:afterAutospacing="0"/>
              <w:jc w:val="center"/>
              <w:rPr>
                <w:rFonts w:ascii="Times New Roman" w:hAnsi="Times New Roman"/>
                <w:color w:val="auto"/>
                <w:szCs w:val="24"/>
                <w:highlight w:val="none"/>
              </w:rPr>
            </w:pPr>
          </w:p>
          <w:p w14:paraId="31B52104">
            <w:pPr>
              <w:pStyle w:val="30"/>
              <w:adjustRightInd w:val="0"/>
              <w:snapToGrid w:val="0"/>
              <w:spacing w:before="0" w:beforeAutospacing="0" w:after="0" w:afterAutospacing="0"/>
              <w:jc w:val="center"/>
              <w:rPr>
                <w:rFonts w:ascii="Times New Roman" w:hAnsi="Times New Roman"/>
                <w:color w:val="auto"/>
                <w:szCs w:val="24"/>
                <w:highlight w:val="none"/>
              </w:rPr>
            </w:pPr>
          </w:p>
          <w:p w14:paraId="1F8D7C83">
            <w:pPr>
              <w:pStyle w:val="30"/>
              <w:adjustRightInd w:val="0"/>
              <w:snapToGrid w:val="0"/>
              <w:spacing w:before="0" w:beforeAutospacing="0" w:after="0" w:afterAutospacing="0"/>
              <w:jc w:val="center"/>
              <w:rPr>
                <w:rFonts w:ascii="Times New Roman" w:hAnsi="Times New Roman"/>
                <w:color w:val="auto"/>
                <w:szCs w:val="24"/>
                <w:highlight w:val="none"/>
              </w:rPr>
            </w:pPr>
          </w:p>
          <w:p w14:paraId="6EFD3952">
            <w:pPr>
              <w:pStyle w:val="30"/>
              <w:adjustRightInd w:val="0"/>
              <w:snapToGrid w:val="0"/>
              <w:spacing w:before="0" w:beforeAutospacing="0" w:after="0" w:afterAutospacing="0"/>
              <w:jc w:val="center"/>
              <w:rPr>
                <w:rFonts w:ascii="Times New Roman" w:hAnsi="Times New Roman"/>
                <w:color w:val="auto"/>
                <w:szCs w:val="24"/>
                <w:highlight w:val="none"/>
              </w:rPr>
            </w:pPr>
          </w:p>
          <w:p w14:paraId="15B9988F">
            <w:pPr>
              <w:pStyle w:val="30"/>
              <w:adjustRightInd w:val="0"/>
              <w:snapToGrid w:val="0"/>
              <w:spacing w:before="0" w:beforeAutospacing="0" w:after="0" w:afterAutospacing="0"/>
              <w:jc w:val="center"/>
              <w:rPr>
                <w:rFonts w:ascii="Times New Roman" w:hAnsi="Times New Roman"/>
                <w:color w:val="auto"/>
                <w:szCs w:val="24"/>
                <w:highlight w:val="none"/>
              </w:rPr>
            </w:pPr>
          </w:p>
          <w:p w14:paraId="7603336F">
            <w:pPr>
              <w:pStyle w:val="30"/>
              <w:adjustRightInd w:val="0"/>
              <w:snapToGrid w:val="0"/>
              <w:spacing w:before="0" w:beforeAutospacing="0" w:after="0" w:afterAutospacing="0"/>
              <w:jc w:val="center"/>
              <w:rPr>
                <w:rFonts w:ascii="Times New Roman" w:hAnsi="Times New Roman"/>
                <w:color w:val="auto"/>
                <w:szCs w:val="24"/>
                <w:highlight w:val="none"/>
              </w:rPr>
            </w:pPr>
          </w:p>
          <w:p w14:paraId="47E3E3BF">
            <w:pPr>
              <w:pStyle w:val="30"/>
              <w:adjustRightInd w:val="0"/>
              <w:snapToGrid w:val="0"/>
              <w:spacing w:before="0" w:beforeAutospacing="0" w:after="0" w:afterAutospacing="0"/>
              <w:jc w:val="center"/>
              <w:rPr>
                <w:rFonts w:ascii="Times New Roman" w:hAnsi="Times New Roman"/>
                <w:color w:val="auto"/>
                <w:szCs w:val="24"/>
                <w:highlight w:val="none"/>
              </w:rPr>
            </w:pPr>
          </w:p>
          <w:p w14:paraId="78A898B7">
            <w:pPr>
              <w:pStyle w:val="30"/>
              <w:adjustRightInd w:val="0"/>
              <w:snapToGrid w:val="0"/>
              <w:spacing w:before="0" w:beforeAutospacing="0" w:after="0" w:afterAutospacing="0"/>
              <w:jc w:val="center"/>
              <w:rPr>
                <w:rFonts w:ascii="Times New Roman" w:hAnsi="Times New Roman"/>
                <w:color w:val="auto"/>
                <w:szCs w:val="24"/>
                <w:highlight w:val="none"/>
              </w:rPr>
            </w:pPr>
          </w:p>
          <w:p w14:paraId="27AAAAC0">
            <w:pPr>
              <w:pStyle w:val="30"/>
              <w:adjustRightInd w:val="0"/>
              <w:snapToGrid w:val="0"/>
              <w:spacing w:before="0" w:beforeAutospacing="0" w:after="0" w:afterAutospacing="0"/>
              <w:jc w:val="center"/>
              <w:rPr>
                <w:rFonts w:ascii="Times New Roman" w:hAnsi="Times New Roman"/>
                <w:color w:val="auto"/>
                <w:szCs w:val="24"/>
                <w:highlight w:val="none"/>
              </w:rPr>
            </w:pPr>
          </w:p>
          <w:p w14:paraId="18F30145">
            <w:pPr>
              <w:pStyle w:val="30"/>
              <w:adjustRightInd w:val="0"/>
              <w:snapToGrid w:val="0"/>
              <w:spacing w:before="0" w:beforeAutospacing="0" w:after="0" w:afterAutospacing="0"/>
              <w:jc w:val="center"/>
              <w:rPr>
                <w:rFonts w:ascii="Times New Roman" w:hAnsi="Times New Roman"/>
                <w:color w:val="auto"/>
                <w:szCs w:val="24"/>
                <w:highlight w:val="none"/>
              </w:rPr>
            </w:pPr>
          </w:p>
          <w:p w14:paraId="18CCDBF7">
            <w:pPr>
              <w:pStyle w:val="30"/>
              <w:adjustRightInd w:val="0"/>
              <w:snapToGrid w:val="0"/>
              <w:spacing w:before="0" w:beforeAutospacing="0" w:after="0" w:afterAutospacing="0"/>
              <w:jc w:val="center"/>
              <w:rPr>
                <w:rFonts w:ascii="Times New Roman" w:hAnsi="Times New Roman"/>
                <w:color w:val="auto"/>
                <w:szCs w:val="24"/>
                <w:highlight w:val="none"/>
              </w:rPr>
            </w:pPr>
          </w:p>
          <w:p w14:paraId="440C9A12">
            <w:pPr>
              <w:pStyle w:val="30"/>
              <w:adjustRightInd w:val="0"/>
              <w:snapToGrid w:val="0"/>
              <w:spacing w:before="0" w:beforeAutospacing="0" w:after="0" w:afterAutospacing="0"/>
              <w:jc w:val="center"/>
              <w:rPr>
                <w:rFonts w:ascii="Times New Roman" w:hAnsi="Times New Roman"/>
                <w:color w:val="auto"/>
                <w:szCs w:val="24"/>
                <w:highlight w:val="none"/>
              </w:rPr>
            </w:pPr>
          </w:p>
          <w:p w14:paraId="314E4F0D">
            <w:pPr>
              <w:pStyle w:val="30"/>
              <w:adjustRightInd w:val="0"/>
              <w:snapToGrid w:val="0"/>
              <w:spacing w:before="0" w:beforeAutospacing="0" w:after="0" w:afterAutospacing="0"/>
              <w:jc w:val="center"/>
              <w:rPr>
                <w:rFonts w:ascii="Times New Roman" w:hAnsi="Times New Roman"/>
                <w:color w:val="auto"/>
                <w:szCs w:val="24"/>
                <w:highlight w:val="none"/>
              </w:rPr>
            </w:pPr>
            <w:r>
              <w:rPr>
                <w:rFonts w:ascii="Times New Roman" w:hAnsi="Times New Roman"/>
                <w:color w:val="auto"/>
                <w:szCs w:val="24"/>
                <w:highlight w:val="none"/>
              </w:rPr>
              <w:t>工艺流程和产排污环节</w:t>
            </w:r>
          </w:p>
        </w:tc>
        <w:tc>
          <w:tcPr>
            <w:tcW w:w="8446" w:type="dxa"/>
            <w:noWrap w:val="0"/>
            <w:vAlign w:val="top"/>
          </w:tcPr>
          <w:p w14:paraId="1732746D">
            <w:pPr>
              <w:pStyle w:val="3"/>
              <w:pageBreakBefore w:val="0"/>
              <w:widowControl w:val="0"/>
              <w:kinsoku/>
              <w:wordWrap/>
              <w:overflowPunct/>
              <w:topLinePunct w:val="0"/>
              <w:autoSpaceDE/>
              <w:autoSpaceDN/>
              <w:bidi w:val="0"/>
              <w:spacing w:line="360" w:lineRule="auto"/>
              <w:ind w:left="0" w:leftChars="0" w:firstLine="0" w:firstLineChars="0"/>
              <w:jc w:val="left"/>
              <w:textAlignment w:val="auto"/>
              <w:rPr>
                <w:rFonts w:hint="default" w:ascii="Times New Roman" w:hAnsi="Times New Roman" w:eastAsia="宋体" w:cs="Times New Roman"/>
                <w:bCs w:val="0"/>
                <w:color w:val="auto"/>
                <w:kern w:val="2"/>
                <w:sz w:val="24"/>
                <w:szCs w:val="24"/>
                <w:highlight w:val="none"/>
                <w:lang w:val="en-US" w:eastAsia="zh-CN" w:bidi="ar-SA"/>
              </w:rPr>
            </w:pPr>
            <w:r>
              <w:rPr>
                <w:rFonts w:hint="eastAsia" w:ascii="Times New Roman" w:hAnsi="Times New Roman" w:eastAsia="宋体" w:cs="Times New Roman"/>
                <w:bCs w:val="0"/>
                <w:color w:val="auto"/>
                <w:kern w:val="2"/>
                <w:sz w:val="24"/>
                <w:szCs w:val="24"/>
                <w:highlight w:val="none"/>
                <w:lang w:val="en-US" w:eastAsia="zh-CN" w:bidi="ar-SA"/>
              </w:rPr>
              <w:t>一、施工期工艺流程和产排污节点</w:t>
            </w:r>
          </w:p>
          <w:p w14:paraId="6405CD95">
            <w:pPr>
              <w:pStyle w:val="3"/>
              <w:pageBreakBefore w:val="0"/>
              <w:widowControl w:val="0"/>
              <w:kinsoku/>
              <w:wordWrap/>
              <w:overflowPunct/>
              <w:topLinePunct w:val="0"/>
              <w:autoSpaceDE/>
              <w:autoSpaceDN/>
              <w:bidi w:val="0"/>
              <w:spacing w:line="360" w:lineRule="auto"/>
              <w:ind w:left="0" w:leftChars="0" w:firstLine="480" w:firstLineChars="200"/>
              <w:textAlignment w:val="auto"/>
              <w:rPr>
                <w:rFonts w:hint="eastAsia" w:ascii="Times New Roman" w:hAnsi="Times New Roman" w:eastAsia="宋体" w:cs="Times New Roman"/>
                <w:bCs w:val="0"/>
                <w:color w:val="auto"/>
                <w:kern w:val="2"/>
                <w:sz w:val="24"/>
                <w:szCs w:val="24"/>
                <w:highlight w:val="none"/>
                <w:lang w:val="en-US" w:eastAsia="zh-CN" w:bidi="ar-SA"/>
              </w:rPr>
            </w:pPr>
            <w:r>
              <w:rPr>
                <w:rFonts w:hint="eastAsia" w:ascii="Times New Roman" w:hAnsi="Times New Roman" w:eastAsia="宋体" w:cs="Times New Roman"/>
                <w:bCs w:val="0"/>
                <w:color w:val="auto"/>
                <w:kern w:val="2"/>
                <w:sz w:val="24"/>
                <w:szCs w:val="24"/>
                <w:highlight w:val="none"/>
                <w:lang w:val="en-US" w:eastAsia="zh-CN" w:bidi="ar-SA"/>
              </w:rPr>
              <w:t>技改工程不涉及土建工程，仅为清洗烘干线的安装。安装主要产生噪声及</w:t>
            </w:r>
            <w:r>
              <w:rPr>
                <w:rFonts w:hint="eastAsia" w:ascii="Times New Roman" w:hAnsi="Times New Roman" w:cs="Times New Roman"/>
                <w:bCs w:val="0"/>
                <w:color w:val="auto"/>
                <w:kern w:val="2"/>
                <w:sz w:val="24"/>
                <w:szCs w:val="24"/>
                <w:highlight w:val="none"/>
                <w:lang w:val="en-US" w:eastAsia="zh-CN" w:bidi="ar-SA"/>
              </w:rPr>
              <w:t>设备</w:t>
            </w:r>
            <w:r>
              <w:rPr>
                <w:rFonts w:hint="eastAsia" w:ascii="Times New Roman" w:hAnsi="Times New Roman" w:eastAsia="宋体" w:cs="Times New Roman"/>
                <w:bCs w:val="0"/>
                <w:color w:val="auto"/>
                <w:kern w:val="2"/>
                <w:sz w:val="24"/>
                <w:szCs w:val="24"/>
                <w:highlight w:val="none"/>
                <w:lang w:val="en-US" w:eastAsia="zh-CN" w:bidi="ar-SA"/>
              </w:rPr>
              <w:t>包装废物</w:t>
            </w:r>
            <w:r>
              <w:rPr>
                <w:rFonts w:hint="eastAsia" w:ascii="Times New Roman" w:hAnsi="Times New Roman" w:cs="Times New Roman"/>
                <w:bCs w:val="0"/>
                <w:color w:val="auto"/>
                <w:kern w:val="2"/>
                <w:sz w:val="24"/>
                <w:szCs w:val="24"/>
                <w:highlight w:val="none"/>
                <w:lang w:val="en-US" w:eastAsia="zh-CN" w:bidi="ar-SA"/>
              </w:rPr>
              <w:t>及施工期废水</w:t>
            </w:r>
            <w:r>
              <w:rPr>
                <w:rFonts w:hint="eastAsia" w:ascii="Times New Roman" w:hAnsi="Times New Roman" w:eastAsia="宋体" w:cs="Times New Roman"/>
                <w:bCs w:val="0"/>
                <w:color w:val="auto"/>
                <w:kern w:val="2"/>
                <w:sz w:val="24"/>
                <w:szCs w:val="24"/>
                <w:highlight w:val="none"/>
                <w:lang w:val="en-US" w:eastAsia="zh-CN" w:bidi="ar-SA"/>
              </w:rPr>
              <w:t>，源强较低，</w:t>
            </w:r>
            <w:r>
              <w:rPr>
                <w:rFonts w:hint="eastAsia" w:ascii="Times New Roman" w:hAnsi="Times New Roman" w:cs="Times New Roman"/>
                <w:bCs w:val="0"/>
                <w:color w:val="auto"/>
                <w:kern w:val="2"/>
                <w:sz w:val="24"/>
                <w:szCs w:val="24"/>
                <w:highlight w:val="none"/>
                <w:lang w:val="en-US" w:eastAsia="zh-CN" w:bidi="ar-SA"/>
              </w:rPr>
              <w:t>对周边环境影响较小，随着安装结束，影响结束</w:t>
            </w:r>
            <w:r>
              <w:rPr>
                <w:rFonts w:hint="eastAsia" w:ascii="Times New Roman" w:hAnsi="Times New Roman" w:eastAsia="宋体" w:cs="Times New Roman"/>
                <w:bCs w:val="0"/>
                <w:color w:val="auto"/>
                <w:kern w:val="2"/>
                <w:sz w:val="24"/>
                <w:szCs w:val="24"/>
                <w:highlight w:val="none"/>
                <w:lang w:val="en-US" w:eastAsia="zh-CN" w:bidi="ar-SA"/>
              </w:rPr>
              <w:t>。</w:t>
            </w:r>
          </w:p>
          <w:p w14:paraId="285B83AD">
            <w:pPr>
              <w:pStyle w:val="3"/>
              <w:pageBreakBefore w:val="0"/>
              <w:widowControl w:val="0"/>
              <w:kinsoku/>
              <w:wordWrap/>
              <w:overflowPunct/>
              <w:topLinePunct w:val="0"/>
              <w:autoSpaceDE/>
              <w:autoSpaceDN/>
              <w:bidi w:val="0"/>
              <w:spacing w:line="360" w:lineRule="auto"/>
              <w:ind w:left="0" w:leftChars="0" w:firstLine="0" w:firstLineChars="0"/>
              <w:textAlignment w:val="auto"/>
              <w:rPr>
                <w:rFonts w:hint="default" w:ascii="Times New Roman" w:hAnsi="Times New Roman" w:eastAsia="宋体" w:cs="Times New Roman"/>
                <w:bCs w:val="0"/>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eastAsia="宋体" w:cs="Times New Roman"/>
                <w:bCs w:val="0"/>
                <w:color w:val="000000" w:themeColor="text1"/>
                <w:kern w:val="2"/>
                <w:sz w:val="24"/>
                <w:szCs w:val="24"/>
                <w:highlight w:val="none"/>
                <w:lang w:val="en-US" w:eastAsia="zh-CN" w:bidi="ar-SA"/>
                <w14:textFill>
                  <w14:solidFill>
                    <w14:schemeClr w14:val="tx1"/>
                  </w14:solidFill>
                </w14:textFill>
              </w:rPr>
              <w:t>二、营运期工艺流程和产排污节点</w:t>
            </w:r>
          </w:p>
          <w:p w14:paraId="2E1A70A4">
            <w:pPr>
              <w:widowControl/>
              <w:adjustRightInd w:val="0"/>
              <w:snapToGrid w:val="0"/>
              <w:spacing w:line="440" w:lineRule="exact"/>
              <w:ind w:firstLine="480" w:firstLineChars="200"/>
              <w:jc w:val="left"/>
              <w:rPr>
                <w:rFonts w:hint="eastAsia"/>
                <w:color w:val="auto"/>
                <w:sz w:val="24"/>
                <w:highlight w:val="none"/>
                <w:lang w:eastAsia="zh-CN"/>
              </w:rPr>
            </w:pPr>
            <w:r>
              <w:rPr>
                <w:rFonts w:hint="eastAsia"/>
                <w:color w:val="auto"/>
                <w:sz w:val="24"/>
                <w:highlight w:val="none"/>
              </w:rPr>
              <w:t>为提高喷漆质量，公司拟在喷漆前增加工件清洗烘干线，采用通过式直线型流水线方式，一次平排放</w:t>
            </w:r>
            <w:r>
              <w:rPr>
                <w:rFonts w:hint="eastAsia"/>
                <w:color w:val="auto"/>
                <w:sz w:val="24"/>
                <w:highlight w:val="none"/>
                <w:lang w:val="en-US" w:eastAsia="zh-CN"/>
              </w:rPr>
              <w:t>1</w:t>
            </w:r>
            <w:r>
              <w:rPr>
                <w:rFonts w:hint="eastAsia"/>
                <w:color w:val="auto"/>
                <w:sz w:val="24"/>
                <w:highlight w:val="none"/>
              </w:rPr>
              <w:t>件工件进行清洗；设备采用不锈钢枝输送承载工件，变频调速；清洗采用高压水喷淋配合连续输送工件方式通过上下、两侧布置的喷管对整个</w:t>
            </w:r>
            <w:r>
              <w:rPr>
                <w:rFonts w:hint="eastAsia"/>
                <w:color w:val="auto"/>
                <w:sz w:val="24"/>
                <w:highlight w:val="none"/>
                <w:lang w:val="en-US" w:eastAsia="zh-CN"/>
              </w:rPr>
              <w:t>工件</w:t>
            </w:r>
            <w:r>
              <w:rPr>
                <w:rFonts w:hint="eastAsia"/>
                <w:color w:val="auto"/>
                <w:sz w:val="24"/>
                <w:highlight w:val="none"/>
              </w:rPr>
              <w:t>无死角喷淋，从而达到清洗干净的目的；为了防止工艺槽窜液，在各个清洗段均采用聚氨酯门帘隔离高压清洗，从而尽可以减少各工艺槽窜液</w:t>
            </w:r>
            <w:r>
              <w:rPr>
                <w:rFonts w:hint="eastAsia"/>
                <w:color w:val="auto"/>
                <w:sz w:val="24"/>
                <w:highlight w:val="none"/>
                <w:lang w:eastAsia="zh-CN"/>
              </w:rPr>
              <w:t>。</w:t>
            </w:r>
          </w:p>
          <w:p w14:paraId="6C90C9B8">
            <w:pPr>
              <w:widowControl/>
              <w:adjustRightInd w:val="0"/>
              <w:snapToGrid w:val="0"/>
              <w:spacing w:line="440" w:lineRule="exact"/>
              <w:ind w:firstLine="480" w:firstLineChars="200"/>
              <w:jc w:val="left"/>
              <w:rPr>
                <w:rFonts w:hint="eastAsia"/>
                <w:color w:val="auto"/>
                <w:sz w:val="24"/>
                <w:highlight w:val="none"/>
              </w:rPr>
            </w:pPr>
            <w:r>
              <w:rPr>
                <w:rFonts w:hint="eastAsia"/>
                <w:color w:val="auto"/>
                <w:sz w:val="24"/>
                <w:highlight w:val="none"/>
              </w:rPr>
              <w:t>主要工艺流程及排污节点如下。</w:t>
            </w:r>
          </w:p>
          <w:p w14:paraId="58466208">
            <w:pPr>
              <w:widowControl/>
              <w:numPr>
                <w:ilvl w:val="0"/>
                <w:numId w:val="0"/>
              </w:numPr>
              <w:adjustRightInd w:val="0"/>
              <w:snapToGrid w:val="0"/>
              <w:spacing w:line="440" w:lineRule="exact"/>
              <w:ind w:left="0" w:leftChars="0" w:firstLine="480" w:firstLineChars="0"/>
              <w:jc w:val="left"/>
              <w:rPr>
                <w:rFonts w:hint="default" w:eastAsia="宋体"/>
                <w:color w:val="auto"/>
                <w:sz w:val="24"/>
                <w:highlight w:val="none"/>
                <w:lang w:val="en-US" w:eastAsia="zh-CN"/>
              </w:rPr>
            </w:pPr>
            <w:r>
              <w:rPr>
                <w:rFonts w:hint="eastAsia" w:ascii="Times New Roman" w:hAnsi="Times New Roman" w:eastAsia="宋体" w:cs="Times New Roman"/>
                <w:color w:val="auto"/>
                <w:kern w:val="2"/>
                <w:sz w:val="24"/>
                <w:szCs w:val="24"/>
                <w:lang w:val="en-US" w:eastAsia="zh-CN" w:bidi="ar-SA"/>
              </w:rPr>
              <w:t>（1）</w:t>
            </w:r>
            <w:r>
              <w:rPr>
                <w:rFonts w:hint="eastAsia" w:cs="Times New Roman"/>
                <w:color w:val="auto"/>
                <w:kern w:val="2"/>
                <w:sz w:val="24"/>
                <w:szCs w:val="24"/>
                <w:lang w:val="en-US" w:eastAsia="zh-CN" w:bidi="ar-SA"/>
              </w:rPr>
              <w:t>技改项目所用纯水采用外购方式，外购纯水车汽运至用水点，放置纯水罐，通过管路接入各用水点</w:t>
            </w:r>
            <w:r>
              <w:rPr>
                <w:rFonts w:hint="eastAsia"/>
                <w:color w:val="auto"/>
                <w:sz w:val="24"/>
                <w:highlight w:val="none"/>
              </w:rPr>
              <w:t>。</w:t>
            </w:r>
            <w:r>
              <w:rPr>
                <w:rFonts w:hint="eastAsia"/>
                <w:color w:val="auto"/>
                <w:sz w:val="24"/>
                <w:highlight w:val="none"/>
                <w:lang w:val="en-US" w:eastAsia="zh-CN"/>
              </w:rPr>
              <w:t>系统开始工作前，各个水槽放入纯水，并加入合适药剂配置工艺要求浓度。此过程产生废重油除垢剂桶、废防锈剂包装物等S1。</w:t>
            </w:r>
          </w:p>
          <w:p w14:paraId="69E148DE">
            <w:pPr>
              <w:widowControl/>
              <w:numPr>
                <w:ilvl w:val="0"/>
                <w:numId w:val="0"/>
              </w:numPr>
              <w:adjustRightInd w:val="0"/>
              <w:snapToGrid w:val="0"/>
              <w:spacing w:line="440" w:lineRule="exact"/>
              <w:ind w:left="0" w:leftChars="0" w:firstLine="480" w:firstLineChars="0"/>
              <w:jc w:val="left"/>
              <w:rPr>
                <w:rFonts w:hint="eastAsia"/>
                <w:color w:val="auto"/>
                <w:sz w:val="24"/>
                <w:highlight w:val="none"/>
              </w:rPr>
            </w:pPr>
            <w:r>
              <w:rPr>
                <w:rFonts w:hint="eastAsia" w:ascii="Times New Roman" w:hAnsi="Times New Roman" w:eastAsia="宋体" w:cs="Times New Roman"/>
                <w:color w:val="auto"/>
                <w:kern w:val="2"/>
                <w:sz w:val="24"/>
                <w:szCs w:val="24"/>
                <w:lang w:val="en-US" w:eastAsia="zh-CN" w:bidi="ar-SA"/>
              </w:rPr>
              <w:t>（2）</w:t>
            </w:r>
            <w:r>
              <w:rPr>
                <w:rFonts w:hint="eastAsia"/>
                <w:color w:val="auto"/>
                <w:sz w:val="24"/>
                <w:highlight w:val="none"/>
              </w:rPr>
              <w:t>待清洗工件准备：工件通过</w:t>
            </w:r>
            <w:r>
              <w:rPr>
                <w:color w:val="auto"/>
                <w:sz w:val="24"/>
                <w:highlight w:val="none"/>
              </w:rPr>
              <w:t>上下件缓存动力滚筒</w:t>
            </w:r>
            <w:r>
              <w:rPr>
                <w:rFonts w:hint="eastAsia"/>
                <w:color w:val="auto"/>
                <w:sz w:val="24"/>
                <w:highlight w:val="none"/>
              </w:rPr>
              <w:t>进入清洗烘干</w:t>
            </w:r>
            <w:r>
              <w:rPr>
                <w:rFonts w:hint="eastAsia"/>
                <w:color w:val="auto"/>
                <w:sz w:val="24"/>
                <w:highlight w:val="none"/>
                <w:lang w:val="en-US" w:eastAsia="zh-CN"/>
              </w:rPr>
              <w:t>生产线</w:t>
            </w:r>
            <w:r>
              <w:rPr>
                <w:rFonts w:hint="eastAsia"/>
                <w:color w:val="auto"/>
                <w:sz w:val="24"/>
                <w:highlight w:val="none"/>
              </w:rPr>
              <w:t>。工件在清洗烘干系统中始终位于传送带上，每个清洗段均有水槽和喷淋系统组成，当有工件通过时喷淋开启，喷淋到工件上清洗后污水落入水槽，经隔油、过滤后打入喷淋系统，循环使用。</w:t>
            </w:r>
            <w:r>
              <w:rPr>
                <w:rFonts w:hint="eastAsia"/>
                <w:color w:val="auto"/>
                <w:sz w:val="24"/>
                <w:highlight w:val="none"/>
                <w:lang w:val="en-US" w:eastAsia="zh-CN"/>
              </w:rPr>
              <w:t>此过程产生输送电机运转噪声N1、清洗驱动噪声N2。</w:t>
            </w:r>
          </w:p>
          <w:p w14:paraId="4C52C3EB">
            <w:pPr>
              <w:widowControl/>
              <w:numPr>
                <w:ilvl w:val="0"/>
                <w:numId w:val="0"/>
              </w:numPr>
              <w:adjustRightInd w:val="0"/>
              <w:snapToGrid w:val="0"/>
              <w:spacing w:line="440" w:lineRule="exact"/>
              <w:ind w:left="0" w:leftChars="0" w:firstLine="480" w:firstLineChars="0"/>
              <w:jc w:val="left"/>
              <w:rPr>
                <w:rFonts w:hint="eastAsia"/>
                <w:color w:val="auto"/>
                <w:sz w:val="24"/>
                <w:highlight w:val="none"/>
              </w:rPr>
            </w:pPr>
            <w:r>
              <w:rPr>
                <w:rFonts w:hint="eastAsia" w:ascii="Times New Roman" w:hAnsi="Times New Roman" w:eastAsia="宋体" w:cs="Times New Roman"/>
                <w:color w:val="auto"/>
                <w:kern w:val="2"/>
                <w:sz w:val="24"/>
                <w:szCs w:val="24"/>
                <w:lang w:val="en-US" w:eastAsia="zh-CN" w:bidi="ar-SA"/>
              </w:rPr>
              <w:t>（3）</w:t>
            </w:r>
            <w:r>
              <w:rPr>
                <w:rFonts w:hint="eastAsia"/>
                <w:color w:val="auto"/>
                <w:sz w:val="24"/>
                <w:highlight w:val="none"/>
              </w:rPr>
              <w:t>预脱脂：工件通过</w:t>
            </w:r>
            <w:r>
              <w:rPr>
                <w:color w:val="auto"/>
                <w:sz w:val="24"/>
                <w:highlight w:val="none"/>
              </w:rPr>
              <w:t>自动清洗输送系统</w:t>
            </w:r>
            <w:r>
              <w:rPr>
                <w:rFonts w:hint="eastAsia"/>
                <w:color w:val="auto"/>
                <w:sz w:val="24"/>
                <w:highlight w:val="none"/>
              </w:rPr>
              <w:t>进入</w:t>
            </w:r>
            <w:r>
              <w:rPr>
                <w:rFonts w:hint="eastAsia"/>
                <w:color w:val="auto"/>
                <w:sz w:val="24"/>
                <w:highlight w:val="none"/>
                <w:lang w:val="en-US" w:eastAsia="zh-CN"/>
              </w:rPr>
              <w:t>预</w:t>
            </w:r>
            <w:r>
              <w:rPr>
                <w:color w:val="auto"/>
                <w:sz w:val="24"/>
                <w:highlight w:val="none"/>
              </w:rPr>
              <w:t>脱脂清洗喷淋</w:t>
            </w:r>
            <w:r>
              <w:rPr>
                <w:rFonts w:hint="eastAsia"/>
                <w:color w:val="auto"/>
                <w:sz w:val="24"/>
                <w:highlight w:val="none"/>
                <w:lang w:val="en-US" w:eastAsia="zh-CN"/>
              </w:rPr>
              <w:t>段</w:t>
            </w:r>
            <w:r>
              <w:rPr>
                <w:color w:val="auto"/>
                <w:sz w:val="24"/>
                <w:highlight w:val="none"/>
              </w:rPr>
              <w:t>及水槽</w:t>
            </w:r>
            <w:r>
              <w:rPr>
                <w:rFonts w:hint="eastAsia"/>
                <w:color w:val="auto"/>
                <w:sz w:val="24"/>
                <w:highlight w:val="none"/>
                <w:lang w:val="en-US" w:eastAsia="zh-CN"/>
              </w:rPr>
              <w:t>进行高压喷淋</w:t>
            </w:r>
            <w:r>
              <w:rPr>
                <w:rFonts w:hint="eastAsia"/>
                <w:color w:val="auto"/>
                <w:sz w:val="24"/>
                <w:highlight w:val="none"/>
                <w:lang w:eastAsia="zh-CN"/>
              </w:rPr>
              <w:t>；</w:t>
            </w:r>
            <w:r>
              <w:rPr>
                <w:rFonts w:hint="eastAsia"/>
                <w:color w:val="auto"/>
                <w:sz w:val="24"/>
                <w:highlight w:val="none"/>
                <w:lang w:val="en-US" w:eastAsia="zh-CN"/>
              </w:rPr>
              <w:t>由设置的全方位喷管对工件进行全面清洗，</w:t>
            </w:r>
            <w:r>
              <w:rPr>
                <w:rFonts w:hint="eastAsia"/>
                <w:color w:val="auto"/>
                <w:sz w:val="24"/>
                <w:highlight w:val="none"/>
              </w:rPr>
              <w:t>清洗过程中水温维持</w:t>
            </w:r>
            <w:r>
              <w:rPr>
                <w:rFonts w:hint="eastAsia"/>
                <w:color w:val="auto"/>
                <w:sz w:val="24"/>
                <w:highlight w:val="none"/>
                <w:lang w:val="en-US" w:eastAsia="zh-CN"/>
              </w:rPr>
              <w:t>40</w:t>
            </w:r>
            <w:r>
              <w:rPr>
                <w:rFonts w:hint="eastAsia"/>
                <w:color w:val="auto"/>
                <w:sz w:val="24"/>
                <w:highlight w:val="none"/>
              </w:rPr>
              <w:t>~55</w:t>
            </w:r>
            <w:r>
              <w:rPr>
                <w:rFonts w:hint="eastAsia" w:ascii="宋体" w:hAnsi="宋体" w:cs="宋体"/>
                <w:color w:val="auto"/>
                <w:sz w:val="24"/>
                <w:highlight w:val="none"/>
              </w:rPr>
              <w:t>℃</w:t>
            </w:r>
            <w:r>
              <w:rPr>
                <w:rFonts w:hint="eastAsia"/>
                <w:color w:val="auto"/>
                <w:sz w:val="24"/>
                <w:highlight w:val="none"/>
              </w:rPr>
              <w:t>，通过板式间接加热，</w:t>
            </w:r>
            <w:r>
              <w:rPr>
                <w:rFonts w:hint="eastAsia"/>
                <w:color w:val="auto"/>
                <w:sz w:val="24"/>
                <w:highlight w:val="none"/>
                <w:lang w:val="en-US" w:eastAsia="zh-CN"/>
              </w:rPr>
              <w:t>由</w:t>
            </w:r>
            <w:r>
              <w:rPr>
                <w:rFonts w:hint="eastAsia"/>
                <w:color w:val="auto"/>
                <w:sz w:val="24"/>
                <w:highlight w:val="none"/>
              </w:rPr>
              <w:t>二次侧水泵启动停止控温</w:t>
            </w:r>
            <w:r>
              <w:rPr>
                <w:rFonts w:hint="eastAsia"/>
                <w:color w:val="auto"/>
                <w:sz w:val="24"/>
                <w:highlight w:val="none"/>
                <w:lang w:eastAsia="zh-CN"/>
              </w:rPr>
              <w:t>。</w:t>
            </w:r>
            <w:r>
              <w:rPr>
                <w:rFonts w:hint="eastAsia"/>
                <w:color w:val="auto"/>
                <w:sz w:val="24"/>
                <w:highlight w:val="none"/>
                <w:lang w:val="en-US" w:eastAsia="zh-CN"/>
              </w:rPr>
              <w:t>预</w:t>
            </w:r>
            <w:r>
              <w:rPr>
                <w:color w:val="auto"/>
                <w:sz w:val="24"/>
                <w:highlight w:val="none"/>
              </w:rPr>
              <w:t>脱脂清洗喷淋及水槽</w:t>
            </w:r>
            <w:r>
              <w:rPr>
                <w:rFonts w:hint="eastAsia"/>
                <w:color w:val="auto"/>
                <w:sz w:val="24"/>
                <w:highlight w:val="none"/>
                <w:lang w:val="en-US" w:eastAsia="zh-CN"/>
              </w:rPr>
              <w:t>中已</w:t>
            </w:r>
            <w:r>
              <w:rPr>
                <w:rFonts w:hint="eastAsia"/>
                <w:color w:val="auto"/>
                <w:sz w:val="24"/>
                <w:highlight w:val="none"/>
              </w:rPr>
              <w:t>添加重油垢清洗剂，使用折光仪测定浓度</w:t>
            </w:r>
            <w:r>
              <w:rPr>
                <w:rFonts w:hint="eastAsia"/>
                <w:color w:val="auto"/>
                <w:sz w:val="24"/>
                <w:highlight w:val="none"/>
                <w:lang w:val="en-US" w:eastAsia="zh-CN"/>
              </w:rPr>
              <w:t>确保符合工艺要求</w:t>
            </w:r>
            <w:r>
              <w:rPr>
                <w:rFonts w:hint="eastAsia"/>
                <w:color w:val="auto"/>
                <w:sz w:val="24"/>
                <w:highlight w:val="none"/>
              </w:rPr>
              <w:t>，水槽槽底采用斜底结构并设有集污沟，安装二级过滤装置，喷淋清洗液循环使用</w:t>
            </w:r>
            <w:r>
              <w:rPr>
                <w:rFonts w:hint="eastAsia"/>
                <w:color w:val="auto"/>
                <w:sz w:val="24"/>
                <w:highlight w:val="none"/>
                <w:lang w:eastAsia="zh-CN"/>
              </w:rPr>
              <w:t>。</w:t>
            </w:r>
            <w:r>
              <w:rPr>
                <w:rFonts w:hint="eastAsia"/>
                <w:color w:val="auto"/>
                <w:sz w:val="24"/>
                <w:highlight w:val="none"/>
              </w:rPr>
              <w:t>工件携带的铁屑等固体不溶物质经过滤装置进入水槽集污沟。系统装有</w:t>
            </w:r>
            <w:r>
              <w:rPr>
                <w:rFonts w:hint="eastAsia"/>
                <w:color w:val="auto"/>
                <w:sz w:val="24"/>
                <w:highlight w:val="none"/>
                <w:lang w:val="en-US" w:eastAsia="zh-CN"/>
              </w:rPr>
              <w:t>油水分离装置</w:t>
            </w:r>
            <w:r>
              <w:rPr>
                <w:rFonts w:hint="eastAsia"/>
                <w:color w:val="auto"/>
                <w:sz w:val="24"/>
                <w:highlight w:val="none"/>
              </w:rPr>
              <w:t>，将工件携带润滑油等石油类物质收集起来。此喷淋段设有水雾排风风机及时把水雾排出室内。</w:t>
            </w:r>
          </w:p>
          <w:p w14:paraId="7BCBD3BD">
            <w:pPr>
              <w:widowControl/>
              <w:numPr>
                <w:ilvl w:val="0"/>
                <w:numId w:val="0"/>
              </w:numPr>
              <w:adjustRightInd w:val="0"/>
              <w:snapToGrid w:val="0"/>
              <w:spacing w:line="440" w:lineRule="exact"/>
              <w:ind w:left="0" w:leftChars="0" w:firstLine="480" w:firstLineChars="0"/>
              <w:jc w:val="left"/>
              <w:rPr>
                <w:rFonts w:hint="eastAsia" w:eastAsia="宋体"/>
                <w:color w:val="auto"/>
                <w:sz w:val="24"/>
                <w:highlight w:val="none"/>
                <w:lang w:eastAsia="zh-CN"/>
              </w:rPr>
            </w:pPr>
            <w:r>
              <w:rPr>
                <w:rFonts w:hint="eastAsia"/>
                <w:color w:val="auto"/>
                <w:sz w:val="24"/>
                <w:highlight w:val="none"/>
              </w:rPr>
              <w:t>此过程产生清洗废水</w:t>
            </w:r>
            <w:r>
              <w:rPr>
                <w:rFonts w:hint="eastAsia"/>
                <w:color w:val="auto"/>
                <w:sz w:val="24"/>
                <w:highlight w:val="none"/>
                <w:lang w:eastAsia="zh-CN"/>
              </w:rPr>
              <w:t>（</w:t>
            </w:r>
            <w:r>
              <w:rPr>
                <w:rFonts w:hint="eastAsia"/>
                <w:color w:val="auto"/>
                <w:sz w:val="24"/>
                <w:highlight w:val="none"/>
                <w:lang w:val="en-US" w:eastAsia="zh-CN"/>
              </w:rPr>
              <w:t>30天需进行废液排放，排液时停止工件清洗</w:t>
            </w:r>
            <w:r>
              <w:rPr>
                <w:rFonts w:hint="eastAsia"/>
                <w:color w:val="auto"/>
                <w:sz w:val="24"/>
                <w:highlight w:val="none"/>
                <w:lang w:eastAsia="zh-CN"/>
              </w:rPr>
              <w:t>）</w:t>
            </w:r>
            <w:r>
              <w:rPr>
                <w:rFonts w:hint="eastAsia"/>
                <w:color w:val="auto"/>
                <w:sz w:val="24"/>
                <w:highlight w:val="none"/>
              </w:rPr>
              <w:t>W1、水槽集污沟产生铁屑等固体悬浮物S</w:t>
            </w:r>
            <w:r>
              <w:rPr>
                <w:rFonts w:hint="eastAsia"/>
                <w:color w:val="auto"/>
                <w:sz w:val="24"/>
                <w:highlight w:val="none"/>
                <w:lang w:val="en-US" w:eastAsia="zh-CN"/>
              </w:rPr>
              <w:t>2</w:t>
            </w:r>
            <w:r>
              <w:rPr>
                <w:rFonts w:hint="eastAsia"/>
                <w:color w:val="auto"/>
                <w:sz w:val="24"/>
                <w:highlight w:val="none"/>
              </w:rPr>
              <w:t>、</w:t>
            </w:r>
            <w:r>
              <w:rPr>
                <w:rFonts w:hint="eastAsia"/>
                <w:color w:val="auto"/>
                <w:sz w:val="24"/>
                <w:highlight w:val="none"/>
                <w:lang w:val="en-US" w:eastAsia="zh-CN"/>
              </w:rPr>
              <w:t>油水分离</w:t>
            </w:r>
            <w:r>
              <w:rPr>
                <w:rFonts w:hint="eastAsia"/>
                <w:color w:val="auto"/>
                <w:sz w:val="24"/>
                <w:highlight w:val="none"/>
              </w:rPr>
              <w:t>产生石油类废物S</w:t>
            </w:r>
            <w:r>
              <w:rPr>
                <w:rFonts w:hint="eastAsia"/>
                <w:color w:val="auto"/>
                <w:sz w:val="24"/>
                <w:highlight w:val="none"/>
                <w:lang w:val="en-US" w:eastAsia="zh-CN"/>
              </w:rPr>
              <w:t>3</w:t>
            </w:r>
            <w:r>
              <w:rPr>
                <w:rFonts w:hint="eastAsia"/>
                <w:color w:val="auto"/>
                <w:sz w:val="24"/>
                <w:highlight w:val="none"/>
              </w:rPr>
              <w:t>及设备运转噪声N</w:t>
            </w:r>
            <w:r>
              <w:rPr>
                <w:rFonts w:hint="eastAsia"/>
                <w:color w:val="auto"/>
                <w:sz w:val="24"/>
                <w:highlight w:val="none"/>
                <w:lang w:val="en-US" w:eastAsia="zh-CN"/>
              </w:rPr>
              <w:t>3、喷淋水声N4</w:t>
            </w:r>
            <w:r>
              <w:rPr>
                <w:rFonts w:hint="eastAsia"/>
                <w:color w:val="auto"/>
                <w:sz w:val="24"/>
                <w:highlight w:val="none"/>
              </w:rPr>
              <w:t>。</w:t>
            </w:r>
          </w:p>
          <w:p w14:paraId="3B950C33">
            <w:pPr>
              <w:widowControl/>
              <w:numPr>
                <w:ilvl w:val="0"/>
                <w:numId w:val="0"/>
              </w:numPr>
              <w:adjustRightInd w:val="0"/>
              <w:snapToGrid w:val="0"/>
              <w:spacing w:line="440" w:lineRule="exact"/>
              <w:ind w:left="0" w:leftChars="0" w:firstLine="480" w:firstLineChars="200"/>
              <w:jc w:val="left"/>
              <w:rPr>
                <w:rFonts w:hint="eastAsia"/>
                <w:color w:val="auto"/>
                <w:sz w:val="24"/>
                <w:highlight w:val="none"/>
                <w:lang w:val="en-US" w:eastAsia="zh-CN"/>
              </w:rPr>
            </w:pPr>
            <w:r>
              <w:rPr>
                <w:rFonts w:hint="eastAsia" w:ascii="Times New Roman" w:hAnsi="Times New Roman" w:eastAsia="宋体" w:cs="Times New Roman"/>
                <w:color w:val="auto"/>
                <w:kern w:val="2"/>
                <w:sz w:val="24"/>
                <w:szCs w:val="24"/>
                <w:lang w:val="en-US" w:eastAsia="zh-CN" w:bidi="ar-SA"/>
              </w:rPr>
              <w:t>（</w:t>
            </w:r>
            <w:r>
              <w:rPr>
                <w:rFonts w:hint="eastAsia" w:cs="Times New Roman"/>
                <w:color w:val="auto"/>
                <w:kern w:val="2"/>
                <w:sz w:val="24"/>
                <w:szCs w:val="24"/>
                <w:lang w:val="en-US" w:eastAsia="zh-CN" w:bidi="ar-SA"/>
              </w:rPr>
              <w:t>4</w:t>
            </w:r>
            <w:r>
              <w:rPr>
                <w:rFonts w:hint="eastAsia" w:ascii="Times New Roman" w:hAnsi="Times New Roman" w:eastAsia="宋体" w:cs="Times New Roman"/>
                <w:color w:val="auto"/>
                <w:kern w:val="2"/>
                <w:sz w:val="24"/>
                <w:szCs w:val="24"/>
                <w:lang w:val="en-US" w:eastAsia="zh-CN" w:bidi="ar-SA"/>
              </w:rPr>
              <w:t>）</w:t>
            </w:r>
            <w:r>
              <w:rPr>
                <w:rFonts w:hint="eastAsia"/>
                <w:color w:val="auto"/>
                <w:sz w:val="24"/>
                <w:highlight w:val="none"/>
              </w:rPr>
              <w:t>主脱脂：主</w:t>
            </w:r>
            <w:r>
              <w:rPr>
                <w:color w:val="auto"/>
                <w:sz w:val="24"/>
                <w:highlight w:val="none"/>
              </w:rPr>
              <w:t>脱脂清洗喷淋及水槽</w:t>
            </w:r>
            <w:r>
              <w:rPr>
                <w:rFonts w:hint="eastAsia"/>
                <w:color w:val="auto"/>
                <w:sz w:val="24"/>
                <w:highlight w:val="none"/>
              </w:rPr>
              <w:t>与</w:t>
            </w:r>
            <w:r>
              <w:rPr>
                <w:rFonts w:hint="eastAsia"/>
                <w:color w:val="auto"/>
                <w:sz w:val="24"/>
                <w:highlight w:val="none"/>
                <w:lang w:val="en-US" w:eastAsia="zh-CN"/>
              </w:rPr>
              <w:t>预</w:t>
            </w:r>
            <w:r>
              <w:rPr>
                <w:color w:val="auto"/>
                <w:sz w:val="24"/>
                <w:highlight w:val="none"/>
              </w:rPr>
              <w:t>脱脂清洗喷淋及水槽</w:t>
            </w:r>
            <w:r>
              <w:rPr>
                <w:rFonts w:hint="eastAsia"/>
                <w:color w:val="auto"/>
                <w:sz w:val="24"/>
                <w:highlight w:val="none"/>
              </w:rPr>
              <w:t>结构、形式一样</w:t>
            </w:r>
            <w:r>
              <w:rPr>
                <w:rFonts w:hint="eastAsia"/>
                <w:color w:val="auto"/>
                <w:sz w:val="24"/>
                <w:highlight w:val="none"/>
                <w:lang w:eastAsia="zh-CN"/>
              </w:rPr>
              <w:t>；</w:t>
            </w:r>
            <w:r>
              <w:rPr>
                <w:rFonts w:hint="eastAsia"/>
                <w:color w:val="auto"/>
                <w:sz w:val="24"/>
                <w:highlight w:val="none"/>
                <w:lang w:val="en-US" w:eastAsia="zh-CN"/>
              </w:rPr>
              <w:t>喷淋清洗过程中通过</w:t>
            </w:r>
            <w:r>
              <w:rPr>
                <w:rFonts w:hint="eastAsia"/>
                <w:color w:val="auto"/>
                <w:sz w:val="24"/>
                <w:highlight w:val="none"/>
              </w:rPr>
              <w:t>折光仪测定浓度</w:t>
            </w:r>
            <w:r>
              <w:rPr>
                <w:rFonts w:hint="eastAsia"/>
                <w:color w:val="auto"/>
                <w:sz w:val="24"/>
                <w:highlight w:val="none"/>
                <w:lang w:val="en-US" w:eastAsia="zh-CN"/>
              </w:rPr>
              <w:t>确保符合工艺要求，由设置的全方位喷管对工件进行全面清洗</w:t>
            </w:r>
            <w:r>
              <w:rPr>
                <w:rFonts w:hint="eastAsia"/>
                <w:color w:val="auto"/>
                <w:sz w:val="24"/>
                <w:highlight w:val="none"/>
                <w:lang w:eastAsia="zh-CN"/>
              </w:rPr>
              <w:t>；</w:t>
            </w:r>
            <w:r>
              <w:rPr>
                <w:rFonts w:hint="eastAsia"/>
                <w:color w:val="auto"/>
                <w:sz w:val="24"/>
                <w:highlight w:val="none"/>
              </w:rPr>
              <w:t>清洗过程中水温维持40~55℃，通过板式间接加热，</w:t>
            </w:r>
            <w:r>
              <w:rPr>
                <w:rFonts w:hint="eastAsia"/>
                <w:color w:val="auto"/>
                <w:sz w:val="24"/>
                <w:highlight w:val="none"/>
                <w:lang w:val="en-US" w:eastAsia="zh-CN"/>
              </w:rPr>
              <w:t>由</w:t>
            </w:r>
            <w:r>
              <w:rPr>
                <w:rFonts w:hint="eastAsia"/>
                <w:color w:val="auto"/>
                <w:sz w:val="24"/>
                <w:highlight w:val="none"/>
              </w:rPr>
              <w:t>二次侧水泵启动停止控温</w:t>
            </w:r>
            <w:r>
              <w:rPr>
                <w:rFonts w:hint="eastAsia"/>
                <w:color w:val="auto"/>
                <w:sz w:val="24"/>
                <w:highlight w:val="none"/>
                <w:lang w:eastAsia="zh-CN"/>
              </w:rPr>
              <w:t>。主脱脂水槽槽底采用斜底结构并设有集污沟，安装二级过滤装置，</w:t>
            </w:r>
            <w:r>
              <w:rPr>
                <w:rFonts w:hint="eastAsia"/>
                <w:color w:val="auto"/>
                <w:sz w:val="24"/>
                <w:highlight w:val="none"/>
                <w:lang w:val="en-US" w:eastAsia="zh-CN"/>
              </w:rPr>
              <w:t>喷淋清洗液循环使用。</w:t>
            </w:r>
            <w:r>
              <w:rPr>
                <w:rFonts w:hint="eastAsia" w:ascii="Times New Roman" w:hAnsi="Times New Roman" w:eastAsia="宋体" w:cs="Times New Roman"/>
                <w:color w:val="auto"/>
                <w:sz w:val="24"/>
                <w:highlight w:val="none"/>
              </w:rPr>
              <w:t>此喷淋段设有水雾排风风机及时把水雾排出室内。</w:t>
            </w:r>
          </w:p>
          <w:p w14:paraId="3BFA6BB1">
            <w:pPr>
              <w:keepNext w:val="0"/>
              <w:keepLines w:val="0"/>
              <w:pageBreakBefore w:val="0"/>
              <w:widowControl/>
              <w:numPr>
                <w:ilvl w:val="0"/>
                <w:numId w:val="0"/>
              </w:numPr>
              <w:kinsoku/>
              <w:wordWrap/>
              <w:overflowPunct/>
              <w:topLinePunct w:val="0"/>
              <w:autoSpaceDE/>
              <w:autoSpaceDN/>
              <w:bidi w:val="0"/>
              <w:adjustRightInd w:val="0"/>
              <w:snapToGrid w:val="0"/>
              <w:spacing w:line="440" w:lineRule="exact"/>
              <w:ind w:leftChars="0" w:firstLine="480" w:firstLineChars="200"/>
              <w:jc w:val="left"/>
              <w:textAlignment w:val="auto"/>
              <w:rPr>
                <w:rFonts w:hint="eastAsia" w:ascii="Times New Roman" w:hAnsi="Times New Roman" w:eastAsia="宋体" w:cs="Times New Roman"/>
                <w:color w:val="auto"/>
                <w:sz w:val="24"/>
                <w:highlight w:val="none"/>
              </w:rPr>
            </w:pPr>
            <w:r>
              <w:rPr>
                <w:rFonts w:hint="eastAsia"/>
                <w:color w:val="auto"/>
                <w:sz w:val="24"/>
                <w:highlight w:val="none"/>
                <w:lang w:val="en-US" w:eastAsia="zh-CN"/>
              </w:rPr>
              <w:t xml:space="preserve"> </w:t>
            </w:r>
            <w:r>
              <w:rPr>
                <w:rFonts w:hint="eastAsia" w:ascii="Times New Roman" w:hAnsi="Times New Roman" w:eastAsia="宋体" w:cs="Times New Roman"/>
                <w:color w:val="auto"/>
                <w:sz w:val="24"/>
                <w:highlight w:val="none"/>
                <w:lang w:val="en-US" w:eastAsia="zh-CN"/>
              </w:rPr>
              <w:t>本阶段与预脱脂阶段</w:t>
            </w:r>
            <w:r>
              <w:rPr>
                <w:rFonts w:hint="eastAsia" w:ascii="Times New Roman" w:hAnsi="Times New Roman" w:eastAsia="宋体" w:cs="Times New Roman"/>
                <w:color w:val="auto"/>
                <w:sz w:val="24"/>
                <w:highlight w:val="none"/>
              </w:rPr>
              <w:t>产生相同的污染物：清洗废水（30天需进行废液排放，排液时停止工件清洗，加入</w:t>
            </w:r>
            <w:r>
              <w:rPr>
                <w:rFonts w:hint="eastAsia" w:ascii="Times New Roman" w:hAnsi="Times New Roman" w:eastAsia="宋体" w:cs="Times New Roman"/>
                <w:color w:val="auto"/>
                <w:sz w:val="24"/>
                <w:highlight w:val="none"/>
                <w:lang w:val="en-US" w:eastAsia="zh-CN"/>
              </w:rPr>
              <w:t>少量</w:t>
            </w:r>
            <w:r>
              <w:rPr>
                <w:rFonts w:hint="eastAsia" w:ascii="Times New Roman" w:hAnsi="Times New Roman" w:eastAsia="宋体" w:cs="Times New Roman"/>
                <w:color w:val="auto"/>
                <w:sz w:val="24"/>
                <w:highlight w:val="none"/>
              </w:rPr>
              <w:t>油类絮凝剂以便废水絮凝沉淀）W</w:t>
            </w:r>
            <w:r>
              <w:rPr>
                <w:rFonts w:hint="eastAsia" w:ascii="Times New Roman" w:hAnsi="Times New Roman" w:eastAsia="宋体" w:cs="Times New Roman"/>
                <w:color w:val="auto"/>
                <w:sz w:val="24"/>
                <w:highlight w:val="none"/>
                <w:lang w:val="en-US" w:eastAsia="zh-CN"/>
              </w:rPr>
              <w:t>2</w:t>
            </w:r>
            <w:r>
              <w:rPr>
                <w:rFonts w:hint="eastAsia" w:ascii="Times New Roman" w:hAnsi="Times New Roman" w:eastAsia="宋体" w:cs="Times New Roman"/>
                <w:color w:val="auto"/>
                <w:sz w:val="24"/>
                <w:highlight w:val="none"/>
              </w:rPr>
              <w:t>、水槽集污沟产生铁屑等固体悬浮物S</w:t>
            </w:r>
            <w:r>
              <w:rPr>
                <w:rFonts w:hint="eastAsia" w:ascii="Times New Roman" w:hAnsi="Times New Roman" w:eastAsia="宋体" w:cs="Times New Roman"/>
                <w:color w:val="auto"/>
                <w:sz w:val="24"/>
                <w:highlight w:val="none"/>
                <w:lang w:val="en-US" w:eastAsia="zh-CN"/>
              </w:rPr>
              <w:t>4</w:t>
            </w:r>
            <w:r>
              <w:rPr>
                <w:rFonts w:hint="eastAsia" w:ascii="Times New Roman" w:hAnsi="Times New Roman" w:eastAsia="宋体" w:cs="Times New Roman"/>
                <w:color w:val="auto"/>
                <w:sz w:val="24"/>
                <w:highlight w:val="none"/>
              </w:rPr>
              <w:t>、</w:t>
            </w:r>
            <w:r>
              <w:rPr>
                <w:rFonts w:hint="eastAsia" w:ascii="Times New Roman" w:hAnsi="Times New Roman" w:eastAsia="宋体" w:cs="Times New Roman"/>
                <w:color w:val="auto"/>
                <w:sz w:val="24"/>
                <w:highlight w:val="none"/>
                <w:lang w:val="en-US" w:eastAsia="zh-CN"/>
              </w:rPr>
              <w:t>油水分离装置</w:t>
            </w:r>
            <w:r>
              <w:rPr>
                <w:rFonts w:hint="eastAsia" w:ascii="Times New Roman" w:hAnsi="Times New Roman" w:eastAsia="宋体" w:cs="Times New Roman"/>
                <w:color w:val="auto"/>
                <w:sz w:val="24"/>
                <w:highlight w:val="none"/>
              </w:rPr>
              <w:t>产生石油类废物S</w:t>
            </w:r>
            <w:r>
              <w:rPr>
                <w:rFonts w:hint="eastAsia" w:ascii="Times New Roman" w:hAnsi="Times New Roman" w:eastAsia="宋体" w:cs="Times New Roman"/>
                <w:color w:val="auto"/>
                <w:sz w:val="24"/>
                <w:highlight w:val="none"/>
                <w:lang w:val="en-US" w:eastAsia="zh-CN"/>
              </w:rPr>
              <w:t>5</w:t>
            </w:r>
            <w:r>
              <w:rPr>
                <w:rFonts w:hint="eastAsia" w:ascii="Times New Roman" w:hAnsi="Times New Roman" w:eastAsia="宋体" w:cs="Times New Roman"/>
                <w:color w:val="auto"/>
                <w:sz w:val="24"/>
                <w:highlight w:val="none"/>
              </w:rPr>
              <w:t>及设备运转噪声N</w:t>
            </w:r>
            <w:r>
              <w:rPr>
                <w:rFonts w:hint="eastAsia" w:ascii="Times New Roman" w:hAnsi="Times New Roman" w:eastAsia="宋体" w:cs="Times New Roman"/>
                <w:color w:val="auto"/>
                <w:sz w:val="24"/>
                <w:highlight w:val="none"/>
                <w:lang w:val="en-US" w:eastAsia="zh-CN"/>
              </w:rPr>
              <w:t>5、喷淋水声N6</w:t>
            </w:r>
            <w:r>
              <w:rPr>
                <w:rFonts w:hint="eastAsia" w:ascii="Times New Roman" w:hAnsi="Times New Roman" w:eastAsia="宋体" w:cs="Times New Roman"/>
                <w:color w:val="auto"/>
                <w:sz w:val="24"/>
                <w:highlight w:val="none"/>
              </w:rPr>
              <w:t>。固体污染物产生量远远少于预脱脂。</w:t>
            </w:r>
          </w:p>
          <w:p w14:paraId="48D11B0C">
            <w:pPr>
              <w:widowControl/>
              <w:numPr>
                <w:ilvl w:val="0"/>
                <w:numId w:val="0"/>
              </w:numPr>
              <w:adjustRightInd w:val="0"/>
              <w:snapToGrid w:val="0"/>
              <w:spacing w:line="440" w:lineRule="exact"/>
              <w:ind w:left="0" w:leftChars="0" w:firstLine="480" w:firstLineChars="0"/>
              <w:jc w:val="left"/>
              <w:rPr>
                <w:rFonts w:hint="eastAsia"/>
                <w:color w:val="auto"/>
                <w:sz w:val="24"/>
                <w:highlight w:val="none"/>
                <w:lang w:val="en-US" w:eastAsia="zh-CN"/>
              </w:rPr>
            </w:pPr>
            <w:r>
              <w:rPr>
                <w:rFonts w:hint="eastAsia" w:ascii="Times New Roman" w:hAnsi="Times New Roman" w:eastAsia="宋体" w:cs="Times New Roman"/>
                <w:color w:val="auto"/>
                <w:kern w:val="2"/>
                <w:sz w:val="24"/>
                <w:szCs w:val="24"/>
                <w:lang w:val="en-US" w:eastAsia="zh-CN" w:bidi="ar-SA"/>
              </w:rPr>
              <w:t>（5）</w:t>
            </w:r>
            <w:r>
              <w:rPr>
                <w:rFonts w:hint="eastAsia"/>
                <w:color w:val="auto"/>
                <w:sz w:val="24"/>
                <w:highlight w:val="none"/>
              </w:rPr>
              <w:t>水洗</w:t>
            </w:r>
            <w:r>
              <w:rPr>
                <w:rFonts w:hint="eastAsia"/>
                <w:color w:val="auto"/>
                <w:sz w:val="24"/>
                <w:highlight w:val="none"/>
                <w:lang w:val="en-US" w:eastAsia="zh-CN"/>
              </w:rPr>
              <w:t>及吹水过程</w:t>
            </w:r>
            <w:r>
              <w:rPr>
                <w:rFonts w:hint="eastAsia"/>
                <w:color w:val="auto"/>
                <w:sz w:val="24"/>
                <w:highlight w:val="none"/>
              </w:rPr>
              <w:t>：经过脱脂的工件由</w:t>
            </w:r>
            <w:r>
              <w:rPr>
                <w:color w:val="auto"/>
                <w:sz w:val="24"/>
                <w:highlight w:val="none"/>
              </w:rPr>
              <w:t>自动清洗输送系统</w:t>
            </w:r>
            <w:r>
              <w:rPr>
                <w:rFonts w:hint="eastAsia"/>
                <w:color w:val="auto"/>
                <w:sz w:val="24"/>
                <w:highlight w:val="none"/>
              </w:rPr>
              <w:t>进入水洗系统，</w:t>
            </w:r>
            <w:r>
              <w:rPr>
                <w:rFonts w:hint="eastAsia"/>
                <w:color w:val="auto"/>
                <w:sz w:val="24"/>
                <w:highlight w:val="none"/>
                <w:lang w:val="en-US" w:eastAsia="zh-CN"/>
              </w:rPr>
              <w:t>进行</w:t>
            </w:r>
            <w:r>
              <w:rPr>
                <w:color w:val="auto"/>
                <w:sz w:val="24"/>
                <w:highlight w:val="none"/>
              </w:rPr>
              <w:t>水洗</w:t>
            </w:r>
            <w:r>
              <w:rPr>
                <w:rFonts w:hint="eastAsia"/>
                <w:color w:val="auto"/>
                <w:sz w:val="24"/>
                <w:highlight w:val="none"/>
              </w:rPr>
              <w:t>。水洗槽槽底采用斜底结构并设有集污沟。</w:t>
            </w:r>
            <w:r>
              <w:rPr>
                <w:rFonts w:hint="eastAsia"/>
                <w:color w:val="auto"/>
                <w:sz w:val="24"/>
                <w:highlight w:val="none"/>
                <w:lang w:val="en-US" w:eastAsia="zh-CN"/>
              </w:rPr>
              <w:t>水洗过程不设置过滤装置，无加温装置，水洗液循环使用。</w:t>
            </w:r>
            <w:r>
              <w:rPr>
                <w:rFonts w:hint="eastAsia"/>
                <w:color w:val="auto"/>
                <w:sz w:val="24"/>
                <w:highlight w:val="none"/>
              </w:rPr>
              <w:t>此喷淋段设有水雾排风风机及时把水雾排出室内。</w:t>
            </w:r>
          </w:p>
          <w:p w14:paraId="7476DA2E">
            <w:pPr>
              <w:widowControl/>
              <w:numPr>
                <w:ilvl w:val="0"/>
                <w:numId w:val="0"/>
              </w:numPr>
              <w:adjustRightInd w:val="0"/>
              <w:snapToGrid w:val="0"/>
              <w:spacing w:line="440" w:lineRule="exact"/>
              <w:ind w:left="0" w:leftChars="0" w:firstLine="480" w:firstLineChars="0"/>
              <w:jc w:val="left"/>
              <w:rPr>
                <w:rFonts w:hint="eastAsia" w:ascii="Times New Roman" w:hAnsi="Times New Roman" w:eastAsia="宋体" w:cs="Times New Roman"/>
                <w:color w:val="auto"/>
                <w:kern w:val="2"/>
                <w:sz w:val="24"/>
                <w:szCs w:val="24"/>
                <w:lang w:val="en-US" w:eastAsia="zh-CN" w:bidi="ar-SA"/>
              </w:rPr>
            </w:pPr>
            <w:r>
              <w:rPr>
                <w:rFonts w:hint="eastAsia"/>
                <w:color w:val="auto"/>
                <w:sz w:val="24"/>
                <w:highlight w:val="none"/>
              </w:rPr>
              <w:t>此过程产生清洗废水（30天需进行废液排放，排液时停止工件清洗）W</w:t>
            </w:r>
            <w:r>
              <w:rPr>
                <w:rFonts w:hint="eastAsia"/>
                <w:color w:val="auto"/>
                <w:sz w:val="24"/>
                <w:highlight w:val="none"/>
                <w:lang w:val="en-US" w:eastAsia="zh-CN"/>
              </w:rPr>
              <w:t>3</w:t>
            </w:r>
            <w:r>
              <w:rPr>
                <w:rFonts w:hint="eastAsia"/>
                <w:color w:val="auto"/>
                <w:sz w:val="24"/>
                <w:highlight w:val="none"/>
              </w:rPr>
              <w:t>、微量铁屑等固体废物S</w:t>
            </w:r>
            <w:r>
              <w:rPr>
                <w:rFonts w:hint="eastAsia"/>
                <w:color w:val="auto"/>
                <w:sz w:val="24"/>
                <w:highlight w:val="none"/>
                <w:lang w:val="en-US" w:eastAsia="zh-CN"/>
              </w:rPr>
              <w:t>6</w:t>
            </w:r>
            <w:r>
              <w:rPr>
                <w:rFonts w:hint="eastAsia"/>
                <w:color w:val="auto"/>
                <w:sz w:val="24"/>
                <w:highlight w:val="none"/>
              </w:rPr>
              <w:t>及设备运转噪声</w:t>
            </w:r>
            <w:r>
              <w:rPr>
                <w:rFonts w:hint="eastAsia"/>
                <w:color w:val="auto"/>
                <w:sz w:val="24"/>
                <w:highlight w:val="none"/>
                <w:lang w:val="en-US" w:eastAsia="zh-CN"/>
              </w:rPr>
              <w:t>N7、喷淋水声N8</w:t>
            </w:r>
            <w:r>
              <w:rPr>
                <w:rFonts w:hint="eastAsia"/>
                <w:color w:val="auto"/>
                <w:sz w:val="24"/>
                <w:highlight w:val="none"/>
              </w:rPr>
              <w:t>。</w:t>
            </w:r>
            <w:r>
              <w:rPr>
                <w:rFonts w:hint="eastAsia" w:ascii="Times New Roman" w:hAnsi="Times New Roman" w:eastAsia="宋体" w:cs="Times New Roman"/>
                <w:color w:val="auto"/>
                <w:kern w:val="2"/>
                <w:sz w:val="24"/>
                <w:szCs w:val="24"/>
                <w:lang w:val="en-US" w:eastAsia="zh-CN" w:bidi="ar-SA"/>
              </w:rPr>
              <w:t xml:space="preserve">  </w:t>
            </w:r>
          </w:p>
          <w:p w14:paraId="01E7169A">
            <w:pPr>
              <w:widowControl/>
              <w:numPr>
                <w:ilvl w:val="0"/>
                <w:numId w:val="0"/>
              </w:numPr>
              <w:adjustRightInd w:val="0"/>
              <w:snapToGrid w:val="0"/>
              <w:spacing w:line="440" w:lineRule="exact"/>
              <w:ind w:left="0" w:leftChars="0" w:firstLine="480" w:firstLineChars="0"/>
              <w:jc w:val="left"/>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水洗后工件需进行高压吹水，在吹水段采用高压离心风机配合专用风刀对工件的两侧、底部、顶部进行高压切液吹水，尽可能在此工艺段把工件表面的水处理干净，减少后工序负载。此工序主要是水汽挥发和设备噪声。</w:t>
            </w:r>
          </w:p>
          <w:p w14:paraId="4152A1A3">
            <w:pPr>
              <w:widowControl/>
              <w:numPr>
                <w:ilvl w:val="0"/>
                <w:numId w:val="0"/>
              </w:numPr>
              <w:adjustRightInd w:val="0"/>
              <w:snapToGrid w:val="0"/>
              <w:spacing w:line="440" w:lineRule="exact"/>
              <w:ind w:left="0" w:leftChars="0" w:firstLine="480" w:firstLineChars="0"/>
              <w:jc w:val="left"/>
              <w:rPr>
                <w:rFonts w:hint="eastAsia"/>
                <w:color w:val="auto"/>
                <w:sz w:val="24"/>
                <w:highlight w:val="none"/>
                <w:lang w:eastAsia="zh-CN"/>
              </w:rPr>
            </w:pPr>
            <w:r>
              <w:rPr>
                <w:rFonts w:hint="eastAsia" w:ascii="Times New Roman" w:hAnsi="Times New Roman" w:eastAsia="宋体" w:cs="Times New Roman"/>
                <w:color w:val="auto"/>
                <w:kern w:val="2"/>
                <w:sz w:val="24"/>
                <w:szCs w:val="24"/>
                <w:lang w:val="en-US" w:eastAsia="zh-CN" w:bidi="ar-SA"/>
              </w:rPr>
              <w:t>（6）</w:t>
            </w:r>
            <w:r>
              <w:rPr>
                <w:rFonts w:hint="eastAsia"/>
                <w:color w:val="auto"/>
                <w:sz w:val="24"/>
                <w:highlight w:val="none"/>
              </w:rPr>
              <w:t>防锈：水洗后的工件进入</w:t>
            </w:r>
            <w:r>
              <w:rPr>
                <w:color w:val="auto"/>
                <w:sz w:val="24"/>
                <w:highlight w:val="none"/>
              </w:rPr>
              <w:t>水洗防锈喷淋系统及水槽</w:t>
            </w:r>
            <w:r>
              <w:rPr>
                <w:rFonts w:hint="eastAsia"/>
                <w:color w:val="auto"/>
                <w:sz w:val="24"/>
                <w:highlight w:val="none"/>
              </w:rPr>
              <w:t>，</w:t>
            </w:r>
            <w:r>
              <w:rPr>
                <w:rFonts w:hint="eastAsia"/>
                <w:color w:val="auto"/>
                <w:sz w:val="24"/>
                <w:highlight w:val="none"/>
                <w:lang w:val="en-US" w:eastAsia="zh-CN"/>
              </w:rPr>
              <w:t>清洗液中已</w:t>
            </w:r>
            <w:r>
              <w:rPr>
                <w:rFonts w:hint="eastAsia"/>
                <w:color w:val="auto"/>
                <w:sz w:val="24"/>
                <w:highlight w:val="none"/>
              </w:rPr>
              <w:t>添加多功能防锈剂，工件经</w:t>
            </w:r>
            <w:r>
              <w:rPr>
                <w:rFonts w:hint="eastAsia"/>
                <w:color w:val="auto"/>
                <w:sz w:val="24"/>
                <w:highlight w:val="none"/>
                <w:lang w:val="en-US" w:eastAsia="zh-CN"/>
              </w:rPr>
              <w:t>该工序</w:t>
            </w:r>
            <w:r>
              <w:rPr>
                <w:rFonts w:hint="eastAsia"/>
                <w:color w:val="auto"/>
                <w:sz w:val="24"/>
                <w:highlight w:val="none"/>
              </w:rPr>
              <w:t>后，增加防锈功能。水槽槽底采用斜底结构并设有集污沟</w:t>
            </w:r>
            <w:r>
              <w:rPr>
                <w:rFonts w:hint="eastAsia"/>
                <w:color w:val="auto"/>
                <w:sz w:val="24"/>
                <w:highlight w:val="none"/>
                <w:lang w:eastAsia="zh-CN"/>
              </w:rPr>
              <w:t>，</w:t>
            </w:r>
            <w:r>
              <w:rPr>
                <w:rFonts w:hint="eastAsia"/>
                <w:color w:val="auto"/>
                <w:sz w:val="24"/>
                <w:highlight w:val="none"/>
                <w:lang w:val="en-US" w:eastAsia="zh-CN"/>
              </w:rPr>
              <w:t>该工序喷淋液通过板式间接加热控温40～65℃，喷淋液循环使用</w:t>
            </w:r>
            <w:r>
              <w:rPr>
                <w:rFonts w:hint="eastAsia"/>
                <w:color w:val="auto"/>
                <w:sz w:val="24"/>
                <w:highlight w:val="none"/>
              </w:rPr>
              <w:t>。</w:t>
            </w:r>
            <w:r>
              <w:rPr>
                <w:rFonts w:hint="eastAsia"/>
                <w:color w:val="auto"/>
                <w:sz w:val="24"/>
                <w:highlight w:val="none"/>
                <w:lang w:val="en-US" w:eastAsia="zh-CN"/>
              </w:rPr>
              <w:t>此</w:t>
            </w:r>
            <w:r>
              <w:rPr>
                <w:rFonts w:hint="eastAsia"/>
                <w:color w:val="auto"/>
                <w:sz w:val="24"/>
                <w:highlight w:val="none"/>
              </w:rPr>
              <w:t>喷淋段设</w:t>
            </w:r>
            <w:r>
              <w:rPr>
                <w:rFonts w:hint="eastAsia"/>
                <w:color w:val="auto"/>
                <w:sz w:val="24"/>
                <w:highlight w:val="none"/>
                <w:lang w:val="en-US" w:eastAsia="zh-CN"/>
              </w:rPr>
              <w:t>有</w:t>
            </w:r>
            <w:r>
              <w:rPr>
                <w:rFonts w:hint="eastAsia"/>
                <w:color w:val="auto"/>
                <w:sz w:val="24"/>
                <w:highlight w:val="none"/>
              </w:rPr>
              <w:t>水雾排风风机及时把水雾排出室内</w:t>
            </w:r>
            <w:r>
              <w:rPr>
                <w:rFonts w:hint="eastAsia"/>
                <w:color w:val="auto"/>
                <w:sz w:val="24"/>
                <w:highlight w:val="none"/>
                <w:lang w:eastAsia="zh-CN"/>
              </w:rPr>
              <w:t>。</w:t>
            </w:r>
          </w:p>
          <w:p w14:paraId="4D48297A">
            <w:pPr>
              <w:widowControl/>
              <w:numPr>
                <w:ilvl w:val="0"/>
                <w:numId w:val="0"/>
              </w:numPr>
              <w:adjustRightInd w:val="0"/>
              <w:snapToGrid w:val="0"/>
              <w:spacing w:line="440" w:lineRule="exact"/>
              <w:ind w:left="0" w:leftChars="0" w:firstLine="480" w:firstLineChars="0"/>
              <w:jc w:val="left"/>
              <w:rPr>
                <w:rFonts w:hint="eastAsia"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此过程产生清洗废水（30天需进行废液排放，排液时停止工件清洗）W4、微量铁屑等固体废物S7及设备运转噪声N9、喷淋水声N10。</w:t>
            </w:r>
          </w:p>
          <w:p w14:paraId="42CEBCD2">
            <w:pPr>
              <w:widowControl/>
              <w:numPr>
                <w:ilvl w:val="0"/>
                <w:numId w:val="0"/>
              </w:numPr>
              <w:adjustRightInd w:val="0"/>
              <w:snapToGrid w:val="0"/>
              <w:spacing w:line="440" w:lineRule="exact"/>
              <w:ind w:left="0" w:leftChars="0" w:firstLine="480" w:firstLineChars="0"/>
              <w:jc w:val="left"/>
              <w:rPr>
                <w:rFonts w:hint="eastAsia"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水洗防锈后工件需进行高压吹水，在吹水段采用高压离心风机配合专用风刀对工件的两侧、底部、顶部进行高压切液吹水，尽可能在此工艺段把工件表面的水处理干净，减少后工序负载。此工序主要是水汽挥发和设备噪声。</w:t>
            </w:r>
          </w:p>
          <w:p w14:paraId="129E1E40">
            <w:pPr>
              <w:widowControl/>
              <w:numPr>
                <w:ilvl w:val="0"/>
                <w:numId w:val="0"/>
              </w:numPr>
              <w:adjustRightInd w:val="0"/>
              <w:snapToGrid w:val="0"/>
              <w:spacing w:line="440" w:lineRule="exact"/>
              <w:ind w:left="0" w:leftChars="0" w:firstLine="480" w:firstLineChars="0"/>
              <w:jc w:val="left"/>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kern w:val="2"/>
                <w:sz w:val="24"/>
                <w:szCs w:val="24"/>
                <w:lang w:val="en-US" w:eastAsia="zh-CN" w:bidi="ar-SA"/>
              </w:rPr>
              <w:t>（7）</w:t>
            </w:r>
            <w:r>
              <w:rPr>
                <w:rFonts w:hint="eastAsia"/>
                <w:color w:val="auto"/>
                <w:sz w:val="24"/>
                <w:highlight w:val="none"/>
              </w:rPr>
              <w:t>烘干：经过清洗、防锈处理的工件进入烘干系统，烘干系统</w:t>
            </w:r>
            <w:r>
              <w:rPr>
                <w:rFonts w:hint="eastAsia"/>
                <w:color w:val="auto"/>
                <w:sz w:val="24"/>
                <w:highlight w:val="none"/>
                <w:lang w:val="en-US" w:eastAsia="zh-CN"/>
              </w:rPr>
              <w:t>采用短波红外发热管+不锈钢带散热片发热管组合加热方式</w:t>
            </w:r>
            <w:r>
              <w:rPr>
                <w:rFonts w:hint="eastAsia"/>
                <w:color w:val="auto"/>
                <w:sz w:val="24"/>
                <w:highlight w:val="none"/>
              </w:rPr>
              <w:t>，</w:t>
            </w:r>
            <w:r>
              <w:rPr>
                <w:rFonts w:hint="eastAsia"/>
                <w:color w:val="auto"/>
                <w:sz w:val="24"/>
                <w:highlight w:val="none"/>
                <w:lang w:val="en-US" w:eastAsia="zh-CN"/>
              </w:rPr>
              <w:t>热风通过循环风机进行循环对工件进行烘干；</w:t>
            </w:r>
            <w:r>
              <w:rPr>
                <w:rFonts w:hint="eastAsia"/>
                <w:color w:val="auto"/>
                <w:sz w:val="24"/>
                <w:highlight w:val="none"/>
              </w:rPr>
              <w:t>工件烘干产生</w:t>
            </w:r>
            <w:r>
              <w:rPr>
                <w:rFonts w:hint="eastAsia"/>
                <w:color w:val="auto"/>
                <w:sz w:val="24"/>
                <w:highlight w:val="none"/>
                <w:lang w:eastAsia="zh-CN"/>
              </w:rPr>
              <w:t>水汽</w:t>
            </w:r>
            <w:r>
              <w:rPr>
                <w:rFonts w:hint="eastAsia"/>
                <w:color w:val="auto"/>
                <w:sz w:val="24"/>
                <w:highlight w:val="none"/>
              </w:rPr>
              <w:t>经管道连接到室外</w:t>
            </w:r>
            <w:r>
              <w:rPr>
                <w:rFonts w:hint="eastAsia" w:ascii="Times New Roman" w:hAnsi="Times New Roman" w:eastAsia="宋体" w:cs="Times New Roman"/>
                <w:color w:val="auto"/>
                <w:sz w:val="24"/>
                <w:highlight w:val="none"/>
              </w:rPr>
              <w:t>无组织排放。</w:t>
            </w:r>
            <w:r>
              <w:rPr>
                <w:rFonts w:hint="eastAsia" w:ascii="Times New Roman" w:hAnsi="Times New Roman" w:eastAsia="宋体" w:cs="Times New Roman"/>
                <w:color w:val="auto"/>
                <w:sz w:val="24"/>
                <w:highlight w:val="none"/>
                <w:lang w:val="en-US" w:eastAsia="zh-CN"/>
              </w:rPr>
              <w:t>此过程产生</w:t>
            </w:r>
            <w:r>
              <w:rPr>
                <w:rFonts w:hint="eastAsia" w:ascii="Times New Roman" w:hAnsi="Times New Roman" w:eastAsia="宋体" w:cs="Times New Roman"/>
                <w:color w:val="auto"/>
                <w:sz w:val="24"/>
                <w:highlight w:val="none"/>
              </w:rPr>
              <w:t>热风循环风机</w:t>
            </w:r>
            <w:r>
              <w:rPr>
                <w:rFonts w:hint="eastAsia" w:ascii="Times New Roman" w:hAnsi="Times New Roman" w:eastAsia="宋体" w:cs="Times New Roman"/>
                <w:color w:val="auto"/>
                <w:sz w:val="24"/>
                <w:highlight w:val="none"/>
                <w:lang w:val="en-US" w:eastAsia="zh-CN"/>
              </w:rPr>
              <w:t>运转噪声N</w:t>
            </w:r>
            <w:r>
              <w:rPr>
                <w:rFonts w:hint="eastAsia" w:cs="Times New Roman"/>
                <w:color w:val="auto"/>
                <w:sz w:val="24"/>
                <w:highlight w:val="none"/>
                <w:lang w:val="en-US" w:eastAsia="zh-CN"/>
              </w:rPr>
              <w:t>11</w:t>
            </w:r>
            <w:r>
              <w:rPr>
                <w:rFonts w:hint="eastAsia" w:ascii="Times New Roman" w:hAnsi="Times New Roman" w:eastAsia="宋体" w:cs="Times New Roman"/>
                <w:color w:val="auto"/>
                <w:sz w:val="24"/>
                <w:highlight w:val="none"/>
                <w:lang w:eastAsia="zh-CN"/>
              </w:rPr>
              <w:t>。</w:t>
            </w:r>
          </w:p>
          <w:p w14:paraId="1B5EC037">
            <w:pPr>
              <w:widowControl/>
              <w:numPr>
                <w:ilvl w:val="0"/>
                <w:numId w:val="0"/>
              </w:numPr>
              <w:adjustRightInd w:val="0"/>
              <w:snapToGrid w:val="0"/>
              <w:spacing w:line="440" w:lineRule="exact"/>
              <w:ind w:left="0" w:leftChars="0" w:firstLine="480" w:firstLineChars="0"/>
              <w:jc w:val="left"/>
              <w:rPr>
                <w:rFonts w:hint="eastAsia"/>
                <w:color w:val="auto"/>
                <w:sz w:val="24"/>
                <w:highlight w:val="none"/>
              </w:rPr>
            </w:pPr>
            <w:r>
              <w:rPr>
                <w:rFonts w:hint="eastAsia" w:ascii="Times New Roman" w:hAnsi="Times New Roman" w:eastAsia="宋体" w:cs="Times New Roman"/>
                <w:color w:val="auto"/>
                <w:kern w:val="2"/>
                <w:sz w:val="24"/>
                <w:szCs w:val="24"/>
                <w:lang w:val="en-US" w:eastAsia="zh-CN" w:bidi="ar-SA"/>
              </w:rPr>
              <w:t>（</w:t>
            </w:r>
            <w:r>
              <w:rPr>
                <w:rFonts w:hint="eastAsia" w:cs="Times New Roman"/>
                <w:color w:val="auto"/>
                <w:kern w:val="2"/>
                <w:sz w:val="24"/>
                <w:szCs w:val="24"/>
                <w:lang w:val="en-US" w:eastAsia="zh-CN" w:bidi="ar-SA"/>
              </w:rPr>
              <w:t>8</w:t>
            </w:r>
            <w:r>
              <w:rPr>
                <w:rFonts w:hint="eastAsia" w:ascii="Times New Roman" w:hAnsi="Times New Roman" w:eastAsia="宋体" w:cs="Times New Roman"/>
                <w:color w:val="auto"/>
                <w:kern w:val="2"/>
                <w:sz w:val="24"/>
                <w:szCs w:val="24"/>
                <w:lang w:val="en-US" w:eastAsia="zh-CN" w:bidi="ar-SA"/>
              </w:rPr>
              <w:t>）</w:t>
            </w:r>
            <w:r>
              <w:rPr>
                <w:rFonts w:hint="eastAsia"/>
                <w:color w:val="auto"/>
                <w:sz w:val="24"/>
                <w:highlight w:val="none"/>
              </w:rPr>
              <w:t>絮凝沉淀：</w:t>
            </w:r>
            <w:r>
              <w:rPr>
                <w:rFonts w:hint="eastAsia"/>
                <w:color w:val="auto"/>
                <w:sz w:val="24"/>
                <w:highlight w:val="none"/>
                <w:lang w:val="en-US" w:eastAsia="zh-CN"/>
              </w:rPr>
              <w:t>系统需要排液时停止对工件进行喷淋清洗</w:t>
            </w:r>
            <w:r>
              <w:rPr>
                <w:rFonts w:hint="eastAsia"/>
                <w:color w:val="auto"/>
                <w:sz w:val="24"/>
                <w:highlight w:val="none"/>
              </w:rPr>
              <w:t>，</w:t>
            </w:r>
            <w:r>
              <w:rPr>
                <w:rFonts w:hint="eastAsia"/>
                <w:color w:val="auto"/>
                <w:sz w:val="24"/>
                <w:highlight w:val="none"/>
                <w:lang w:val="en-US" w:eastAsia="zh-CN"/>
              </w:rPr>
              <w:t>各水槽内</w:t>
            </w:r>
            <w:r>
              <w:rPr>
                <w:rFonts w:hint="eastAsia"/>
                <w:color w:val="auto"/>
                <w:sz w:val="24"/>
                <w:highlight w:val="none"/>
              </w:rPr>
              <w:t>添加絮凝剂，使悬浮物等</w:t>
            </w:r>
            <w:r>
              <w:rPr>
                <w:rFonts w:hint="eastAsia"/>
                <w:color w:val="auto"/>
                <w:sz w:val="24"/>
                <w:highlight w:val="none"/>
                <w:lang w:eastAsia="zh-CN"/>
              </w:rPr>
              <w:t>杂质</w:t>
            </w:r>
            <w:r>
              <w:rPr>
                <w:rFonts w:hint="eastAsia"/>
                <w:color w:val="auto"/>
                <w:sz w:val="24"/>
                <w:highlight w:val="none"/>
                <w:lang w:val="en-US" w:eastAsia="zh-CN"/>
              </w:rPr>
              <w:t>絮凝</w:t>
            </w:r>
            <w:r>
              <w:rPr>
                <w:rFonts w:hint="eastAsia"/>
                <w:color w:val="auto"/>
                <w:sz w:val="24"/>
                <w:highlight w:val="none"/>
              </w:rPr>
              <w:t>沉淀下来</w:t>
            </w:r>
            <w:r>
              <w:rPr>
                <w:rFonts w:hint="eastAsia"/>
                <w:color w:val="auto"/>
                <w:sz w:val="24"/>
                <w:highlight w:val="none"/>
                <w:lang w:val="en-US" w:eastAsia="zh-CN"/>
              </w:rPr>
              <w:t>有沉淀物产生S8</w:t>
            </w:r>
            <w:r>
              <w:rPr>
                <w:rFonts w:hint="eastAsia"/>
                <w:color w:val="auto"/>
                <w:sz w:val="24"/>
                <w:highlight w:val="none"/>
              </w:rPr>
              <w:t>，沉淀到水槽底的集污沟内，一般情况下，集污沟30d左右集满，进行清除，需排掉清洗水、重新添加纯净水</w:t>
            </w:r>
            <w:r>
              <w:rPr>
                <w:rFonts w:hint="eastAsia"/>
                <w:color w:val="auto"/>
                <w:sz w:val="24"/>
                <w:highlight w:val="none"/>
                <w:lang w:val="en-US" w:eastAsia="zh-CN"/>
              </w:rPr>
              <w:t>进行下一个工作循环</w:t>
            </w:r>
            <w:r>
              <w:rPr>
                <w:rFonts w:hint="eastAsia"/>
                <w:color w:val="auto"/>
                <w:sz w:val="24"/>
                <w:highlight w:val="none"/>
              </w:rPr>
              <w:t>。</w:t>
            </w:r>
          </w:p>
          <w:p w14:paraId="0B337C4A">
            <w:pPr>
              <w:widowControl/>
              <w:adjustRightInd w:val="0"/>
              <w:snapToGrid w:val="0"/>
              <w:ind w:firstLine="422" w:firstLineChars="200"/>
              <w:jc w:val="left"/>
              <w:rPr>
                <w:rFonts w:hint="eastAsia"/>
                <w:b/>
                <w:bCs/>
                <w:color w:val="auto"/>
                <w:szCs w:val="21"/>
                <w:highlight w:val="none"/>
              </w:rPr>
            </w:pPr>
            <w:r>
              <w:rPr>
                <w:rFonts w:hint="eastAsia"/>
                <w:b/>
                <w:bCs/>
                <w:color w:val="auto"/>
                <w:szCs w:val="21"/>
                <w:highlight w:val="none"/>
              </w:rPr>
              <w:t>备注：由于使用重油垢清洗剂、多功能防锈剂挥发性有机物含量低，</w:t>
            </w:r>
            <w:r>
              <w:rPr>
                <w:rFonts w:hint="eastAsia"/>
                <w:b/>
                <w:bCs/>
                <w:color w:val="auto"/>
                <w:szCs w:val="21"/>
                <w:highlight w:val="none"/>
                <w:lang w:val="en-US" w:eastAsia="zh-CN"/>
              </w:rPr>
              <w:t>并且极易溶于水中，各喷淋液温度70℃以上，不足以引起挥发</w:t>
            </w:r>
            <w:r>
              <w:rPr>
                <w:rFonts w:hint="eastAsia"/>
                <w:b/>
                <w:bCs/>
                <w:color w:val="auto"/>
                <w:szCs w:val="21"/>
                <w:highlight w:val="none"/>
                <w:lang w:eastAsia="zh-CN"/>
              </w:rPr>
              <w:t>；</w:t>
            </w:r>
            <w:r>
              <w:rPr>
                <w:rFonts w:hint="eastAsia"/>
                <w:b/>
                <w:bCs/>
                <w:color w:val="auto"/>
                <w:szCs w:val="21"/>
                <w:highlight w:val="none"/>
              </w:rPr>
              <w:t>且工件</w:t>
            </w:r>
            <w:r>
              <w:rPr>
                <w:rFonts w:hint="eastAsia"/>
                <w:b/>
                <w:bCs/>
                <w:color w:val="auto"/>
                <w:szCs w:val="21"/>
                <w:highlight w:val="none"/>
                <w:lang w:val="en-US" w:eastAsia="zh-CN"/>
              </w:rPr>
              <w:t>在</w:t>
            </w:r>
            <w:r>
              <w:rPr>
                <w:rFonts w:hint="eastAsia"/>
                <w:b/>
                <w:bCs/>
                <w:color w:val="auto"/>
                <w:szCs w:val="21"/>
                <w:highlight w:val="none"/>
              </w:rPr>
              <w:t>机械加工过程中携带的润滑油微量，故项目挥发性有机物等废气产生</w:t>
            </w:r>
            <w:r>
              <w:rPr>
                <w:rFonts w:hint="eastAsia"/>
                <w:b/>
                <w:bCs/>
                <w:color w:val="auto"/>
                <w:szCs w:val="21"/>
                <w:highlight w:val="none"/>
                <w:lang w:val="en-US" w:eastAsia="zh-CN"/>
              </w:rPr>
              <w:t>量极少，对周边环境影响极小</w:t>
            </w:r>
            <w:r>
              <w:rPr>
                <w:rFonts w:hint="eastAsia"/>
                <w:b/>
                <w:bCs/>
                <w:color w:val="auto"/>
                <w:szCs w:val="21"/>
                <w:highlight w:val="none"/>
              </w:rPr>
              <w:t>。</w:t>
            </w:r>
          </w:p>
          <w:p w14:paraId="48D5EF13">
            <w:pPr>
              <w:pStyle w:val="2"/>
            </w:pPr>
            <w:r>
              <w:rPr>
                <w:color w:val="auto"/>
                <w:highlight w:val="none"/>
              </w:rPr>
              <w:pict>
                <v:shape id="Object 65" o:spid="_x0000_s1027" o:spt="75" type="#_x0000_t75" style="position:absolute;left:0pt;margin-left:-5.85pt;margin-top:15.65pt;height:218.8pt;width:419pt;z-index:-251652096;mso-width-relative:page;mso-height-relative:page;" o:ole="t" filled="f" o:preferrelative="t" stroked="f" coordsize="21600,21600">
                  <v:path/>
                  <v:fill on="f" focussize="0,0"/>
                  <v:stroke on="f"/>
                  <v:imagedata r:id="rId15" o:title=""/>
                  <o:lock v:ext="edit" aspectratio="f"/>
                </v:shape>
                <o:OLEObject Type="Embed" ProgID="Visio.Drawing.11" ShapeID="Object 65" DrawAspect="Content" ObjectID="_1468075727" r:id="rId14">
                  <o:LockedField>false</o:LockedField>
                </o:OLEObject>
              </w:pict>
            </w:r>
          </w:p>
          <w:p w14:paraId="6F2374DC">
            <w:pPr>
              <w:pStyle w:val="3"/>
              <w:pageBreakBefore w:val="0"/>
              <w:widowControl w:val="0"/>
              <w:kinsoku/>
              <w:wordWrap/>
              <w:overflowPunct/>
              <w:topLinePunct w:val="0"/>
              <w:autoSpaceDE/>
              <w:autoSpaceDN/>
              <w:bidi w:val="0"/>
              <w:spacing w:line="360" w:lineRule="auto"/>
              <w:ind w:left="0" w:leftChars="0" w:firstLine="480" w:firstLineChars="200"/>
              <w:textAlignment w:val="auto"/>
              <w:rPr>
                <w:rFonts w:hint="eastAsia" w:ascii="Times New Roman" w:hAnsi="Times New Roman" w:eastAsia="宋体" w:cs="Times New Roman"/>
                <w:bCs w:val="0"/>
                <w:color w:val="auto"/>
                <w:kern w:val="2"/>
                <w:sz w:val="24"/>
                <w:szCs w:val="24"/>
                <w:highlight w:val="none"/>
                <w:lang w:val="en-US" w:eastAsia="zh-CN" w:bidi="ar-SA"/>
              </w:rPr>
            </w:pPr>
          </w:p>
          <w:p w14:paraId="4BD8EB2A">
            <w:pPr>
              <w:pStyle w:val="34"/>
              <w:rPr>
                <w:rFonts w:hint="eastAsia"/>
                <w:b/>
                <w:bCs/>
                <w:color w:val="auto"/>
                <w:sz w:val="24"/>
                <w:szCs w:val="24"/>
                <w:highlight w:val="none"/>
                <w:lang w:val="en-US" w:eastAsia="zh-CN"/>
              </w:rPr>
            </w:pPr>
          </w:p>
          <w:p w14:paraId="0D40BE7F">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61CDBA93">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48A52927">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53126E4F">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131F64FF">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6DC81692">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4435C97D">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227179EB">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p>
          <w:p w14:paraId="465912E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center"/>
              <w:textAlignment w:val="auto"/>
              <w:rPr>
                <w:rFonts w:hint="eastAsia"/>
                <w:b/>
                <w:bCs/>
                <w:color w:val="auto"/>
                <w:sz w:val="24"/>
                <w:szCs w:val="24"/>
                <w:highlight w:val="none"/>
                <w:lang w:val="en-US" w:eastAsia="zh-CN"/>
              </w:rPr>
            </w:pPr>
            <w:r>
              <w:rPr>
                <w:rFonts w:hint="eastAsia"/>
                <w:b/>
                <w:bCs/>
                <w:color w:val="auto"/>
                <w:sz w:val="24"/>
                <w:szCs w:val="24"/>
                <w:highlight w:val="none"/>
                <w:lang w:val="en-US" w:eastAsia="zh-CN"/>
              </w:rPr>
              <w:t>图2-5  生产工艺流程及排污节点图</w:t>
            </w:r>
          </w:p>
          <w:p w14:paraId="1FB4AAF7">
            <w:pPr>
              <w:widowControl/>
              <w:adjustRightInd w:val="0"/>
              <w:snapToGrid w:val="0"/>
              <w:spacing w:line="360" w:lineRule="auto"/>
              <w:ind w:firstLine="480" w:firstLineChars="200"/>
              <w:rPr>
                <w:b/>
                <w:color w:val="auto"/>
                <w:kern w:val="0"/>
                <w:szCs w:val="21"/>
                <w:highlight w:val="none"/>
              </w:rPr>
            </w:pPr>
            <w:r>
              <w:rPr>
                <w:rFonts w:hint="eastAsia"/>
                <w:color w:val="auto"/>
                <w:sz w:val="24"/>
                <w:highlight w:val="none"/>
              </w:rPr>
              <w:t>经汇总，技改项目排污节点如下表。</w:t>
            </w:r>
          </w:p>
          <w:p w14:paraId="560E9DCB">
            <w:pPr>
              <w:widowControl/>
              <w:adjustRightInd w:val="0"/>
              <w:snapToGrid w:val="0"/>
              <w:jc w:val="center"/>
              <w:rPr>
                <w:b/>
                <w:color w:val="auto"/>
                <w:kern w:val="0"/>
                <w:sz w:val="24"/>
                <w:highlight w:val="none"/>
              </w:rPr>
            </w:pPr>
            <w:r>
              <w:rPr>
                <w:b/>
                <w:color w:val="auto"/>
                <w:kern w:val="0"/>
                <w:sz w:val="24"/>
                <w:highlight w:val="none"/>
              </w:rPr>
              <w:t>表</w:t>
            </w:r>
            <w:r>
              <w:rPr>
                <w:rFonts w:hint="eastAsia"/>
                <w:b/>
                <w:color w:val="auto"/>
                <w:kern w:val="0"/>
                <w:sz w:val="24"/>
                <w:highlight w:val="none"/>
              </w:rPr>
              <w:t>2-1</w:t>
            </w:r>
            <w:r>
              <w:rPr>
                <w:rFonts w:hint="eastAsia"/>
                <w:b/>
                <w:color w:val="auto"/>
                <w:kern w:val="0"/>
                <w:sz w:val="24"/>
                <w:highlight w:val="none"/>
                <w:lang w:val="en-US" w:eastAsia="zh-CN"/>
              </w:rPr>
              <w:t>3</w:t>
            </w:r>
            <w:r>
              <w:rPr>
                <w:b/>
                <w:color w:val="auto"/>
                <w:kern w:val="0"/>
                <w:sz w:val="24"/>
                <w:highlight w:val="none"/>
              </w:rPr>
              <w:t xml:space="preserve"> 项目主要污染物产生情况一览表</w:t>
            </w:r>
          </w:p>
          <w:tbl>
            <w:tblPr>
              <w:tblStyle w:val="36"/>
              <w:tblW w:w="82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01"/>
              <w:gridCol w:w="707"/>
              <w:gridCol w:w="1347"/>
              <w:gridCol w:w="1406"/>
              <w:gridCol w:w="1775"/>
              <w:gridCol w:w="1001"/>
              <w:gridCol w:w="1760"/>
            </w:tblGrid>
            <w:tr w14:paraId="79C7C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31" w:hRule="atLeast"/>
              </w:trPr>
              <w:tc>
                <w:tcPr>
                  <w:tcW w:w="181" w:type="pct"/>
                  <w:noWrap w:val="0"/>
                  <w:vAlign w:val="center"/>
                </w:tcPr>
                <w:p w14:paraId="181ADD5A">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b/>
                      <w:bCs/>
                      <w:color w:val="auto"/>
                      <w:spacing w:val="-17"/>
                      <w:sz w:val="21"/>
                      <w:szCs w:val="21"/>
                      <w:highlight w:val="none"/>
                    </w:rPr>
                    <w:t>类别</w:t>
                  </w:r>
                </w:p>
              </w:tc>
              <w:tc>
                <w:tcPr>
                  <w:tcW w:w="426" w:type="pct"/>
                  <w:noWrap w:val="0"/>
                  <w:vAlign w:val="center"/>
                </w:tcPr>
                <w:p w14:paraId="502D629A">
                  <w:pPr>
                    <w:adjustRightInd w:val="0"/>
                    <w:snapToGrid w:val="0"/>
                    <w:jc w:val="center"/>
                    <w:rPr>
                      <w:rFonts w:hint="eastAsia" w:asciiTheme="majorEastAsia" w:hAnsiTheme="majorEastAsia" w:eastAsiaTheme="majorEastAsia" w:cstheme="majorEastAsia"/>
                      <w:b/>
                      <w:bCs/>
                      <w:color w:val="auto"/>
                      <w:sz w:val="21"/>
                      <w:szCs w:val="21"/>
                      <w:highlight w:val="none"/>
                    </w:rPr>
                  </w:pPr>
                  <w:r>
                    <w:rPr>
                      <w:rFonts w:hint="eastAsia" w:asciiTheme="majorEastAsia" w:hAnsiTheme="majorEastAsia" w:eastAsiaTheme="majorEastAsia" w:cstheme="majorEastAsia"/>
                      <w:b/>
                      <w:bCs/>
                      <w:color w:val="auto"/>
                      <w:spacing w:val="-11"/>
                      <w:sz w:val="21"/>
                      <w:szCs w:val="21"/>
                      <w:highlight w:val="none"/>
                    </w:rPr>
                    <w:t>序号</w:t>
                  </w:r>
                </w:p>
              </w:tc>
              <w:tc>
                <w:tcPr>
                  <w:tcW w:w="811" w:type="pct"/>
                  <w:noWrap w:val="0"/>
                  <w:vAlign w:val="center"/>
                </w:tcPr>
                <w:p w14:paraId="20638E3E">
                  <w:pPr>
                    <w:adjustRightInd w:val="0"/>
                    <w:snapToGrid w:val="0"/>
                    <w:jc w:val="center"/>
                    <w:rPr>
                      <w:rFonts w:hint="eastAsia" w:asciiTheme="majorEastAsia" w:hAnsiTheme="majorEastAsia" w:eastAsiaTheme="majorEastAsia" w:cstheme="majorEastAsia"/>
                      <w:b/>
                      <w:bCs/>
                      <w:color w:val="auto"/>
                      <w:sz w:val="21"/>
                      <w:szCs w:val="21"/>
                      <w:highlight w:val="none"/>
                    </w:rPr>
                  </w:pPr>
                  <w:r>
                    <w:rPr>
                      <w:rFonts w:hint="eastAsia" w:asciiTheme="majorEastAsia" w:hAnsiTheme="majorEastAsia" w:eastAsiaTheme="majorEastAsia" w:cstheme="majorEastAsia"/>
                      <w:b/>
                      <w:bCs/>
                      <w:color w:val="auto"/>
                      <w:spacing w:val="-11"/>
                      <w:sz w:val="21"/>
                      <w:szCs w:val="21"/>
                      <w:highlight w:val="none"/>
                    </w:rPr>
                    <w:t>工序</w:t>
                  </w:r>
                </w:p>
              </w:tc>
              <w:tc>
                <w:tcPr>
                  <w:tcW w:w="847" w:type="pct"/>
                  <w:noWrap w:val="0"/>
                  <w:vAlign w:val="center"/>
                </w:tcPr>
                <w:p w14:paraId="664846AD">
                  <w:pPr>
                    <w:adjustRightInd w:val="0"/>
                    <w:snapToGrid w:val="0"/>
                    <w:jc w:val="center"/>
                    <w:rPr>
                      <w:rFonts w:hint="eastAsia" w:asciiTheme="majorEastAsia" w:hAnsiTheme="majorEastAsia" w:eastAsiaTheme="majorEastAsia" w:cstheme="majorEastAsia"/>
                      <w:b/>
                      <w:bCs/>
                      <w:color w:val="auto"/>
                      <w:spacing w:val="-11"/>
                      <w:sz w:val="21"/>
                      <w:szCs w:val="21"/>
                      <w:highlight w:val="none"/>
                    </w:rPr>
                  </w:pPr>
                  <w:r>
                    <w:rPr>
                      <w:rFonts w:hint="eastAsia" w:asciiTheme="majorEastAsia" w:hAnsiTheme="majorEastAsia" w:eastAsiaTheme="majorEastAsia" w:cstheme="majorEastAsia"/>
                      <w:b/>
                      <w:bCs/>
                      <w:color w:val="auto"/>
                      <w:spacing w:val="-11"/>
                      <w:sz w:val="21"/>
                      <w:szCs w:val="21"/>
                      <w:highlight w:val="none"/>
                    </w:rPr>
                    <w:t>主要</w:t>
                  </w:r>
                </w:p>
                <w:p w14:paraId="526819C2">
                  <w:pPr>
                    <w:adjustRightInd w:val="0"/>
                    <w:snapToGrid w:val="0"/>
                    <w:jc w:val="center"/>
                    <w:rPr>
                      <w:rFonts w:hint="eastAsia" w:asciiTheme="majorEastAsia" w:hAnsiTheme="majorEastAsia" w:eastAsiaTheme="majorEastAsia" w:cstheme="majorEastAsia"/>
                      <w:b/>
                      <w:bCs/>
                      <w:color w:val="auto"/>
                      <w:spacing w:val="-11"/>
                      <w:sz w:val="21"/>
                      <w:szCs w:val="21"/>
                      <w:highlight w:val="none"/>
                    </w:rPr>
                  </w:pPr>
                  <w:r>
                    <w:rPr>
                      <w:rFonts w:hint="eastAsia" w:asciiTheme="majorEastAsia" w:hAnsiTheme="majorEastAsia" w:eastAsiaTheme="majorEastAsia" w:cstheme="majorEastAsia"/>
                      <w:b/>
                      <w:bCs/>
                      <w:color w:val="auto"/>
                      <w:spacing w:val="-11"/>
                      <w:sz w:val="21"/>
                      <w:szCs w:val="21"/>
                      <w:highlight w:val="none"/>
                    </w:rPr>
                    <w:t>污染物</w:t>
                  </w:r>
                </w:p>
              </w:tc>
              <w:tc>
                <w:tcPr>
                  <w:tcW w:w="1672" w:type="pct"/>
                  <w:gridSpan w:val="2"/>
                  <w:noWrap w:val="0"/>
                  <w:vAlign w:val="center"/>
                </w:tcPr>
                <w:p w14:paraId="574645E4">
                  <w:pPr>
                    <w:adjustRightInd w:val="0"/>
                    <w:snapToGrid w:val="0"/>
                    <w:jc w:val="center"/>
                    <w:rPr>
                      <w:rFonts w:hint="eastAsia" w:asciiTheme="majorEastAsia" w:hAnsiTheme="majorEastAsia" w:eastAsiaTheme="majorEastAsia" w:cstheme="majorEastAsia"/>
                      <w:b/>
                      <w:bCs/>
                      <w:color w:val="auto"/>
                      <w:sz w:val="21"/>
                      <w:szCs w:val="21"/>
                      <w:highlight w:val="none"/>
                    </w:rPr>
                  </w:pPr>
                  <w:r>
                    <w:rPr>
                      <w:rFonts w:hint="eastAsia" w:asciiTheme="majorEastAsia" w:hAnsiTheme="majorEastAsia" w:eastAsiaTheme="majorEastAsia" w:cstheme="majorEastAsia"/>
                      <w:b/>
                      <w:bCs/>
                      <w:color w:val="auto"/>
                      <w:sz w:val="21"/>
                      <w:szCs w:val="21"/>
                      <w:highlight w:val="none"/>
                    </w:rPr>
                    <w:t>治理措施</w:t>
                  </w:r>
                </w:p>
              </w:tc>
              <w:tc>
                <w:tcPr>
                  <w:tcW w:w="1060" w:type="pct"/>
                  <w:noWrap w:val="0"/>
                  <w:vAlign w:val="center"/>
                </w:tcPr>
                <w:p w14:paraId="245803CB">
                  <w:pPr>
                    <w:adjustRightInd w:val="0"/>
                    <w:snapToGrid w:val="0"/>
                    <w:jc w:val="center"/>
                    <w:rPr>
                      <w:rFonts w:hint="eastAsia" w:asciiTheme="majorEastAsia" w:hAnsiTheme="majorEastAsia" w:eastAsiaTheme="majorEastAsia" w:cstheme="majorEastAsia"/>
                      <w:b/>
                      <w:bCs/>
                      <w:color w:val="auto"/>
                      <w:sz w:val="21"/>
                      <w:szCs w:val="21"/>
                      <w:highlight w:val="none"/>
                    </w:rPr>
                  </w:pPr>
                  <w:r>
                    <w:rPr>
                      <w:rFonts w:hint="eastAsia" w:asciiTheme="majorEastAsia" w:hAnsiTheme="majorEastAsia" w:eastAsiaTheme="majorEastAsia" w:cstheme="majorEastAsia"/>
                      <w:b/>
                      <w:bCs/>
                      <w:color w:val="auto"/>
                      <w:sz w:val="21"/>
                      <w:szCs w:val="21"/>
                      <w:highlight w:val="none"/>
                    </w:rPr>
                    <w:t>治理效果</w:t>
                  </w:r>
                </w:p>
              </w:tc>
            </w:tr>
            <w:tr w14:paraId="0C5D8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23" w:hRule="atLeast"/>
              </w:trPr>
              <w:tc>
                <w:tcPr>
                  <w:tcW w:w="181" w:type="pct"/>
                  <w:noWrap w:val="0"/>
                  <w:vAlign w:val="center"/>
                </w:tcPr>
                <w:p w14:paraId="4CD1B658">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废水</w:t>
                  </w:r>
                </w:p>
              </w:tc>
              <w:tc>
                <w:tcPr>
                  <w:tcW w:w="426" w:type="pct"/>
                  <w:noWrap w:val="0"/>
                  <w:vAlign w:val="center"/>
                </w:tcPr>
                <w:p w14:paraId="2F4C7D3E">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W1</w:t>
                  </w:r>
                  <w:r>
                    <w:rPr>
                      <w:rFonts w:hint="eastAsia" w:asciiTheme="majorEastAsia" w:hAnsiTheme="majorEastAsia" w:eastAsiaTheme="majorEastAsia" w:cstheme="majorEastAsia"/>
                      <w:color w:val="auto"/>
                      <w:sz w:val="21"/>
                      <w:szCs w:val="21"/>
                      <w:highlight w:val="none"/>
                      <w:lang w:val="en-US" w:eastAsia="zh-CN"/>
                    </w:rPr>
                    <w:t>-W4</w:t>
                  </w:r>
                </w:p>
                <w:p w14:paraId="49459C2F">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811" w:type="pct"/>
                  <w:noWrap w:val="0"/>
                  <w:vAlign w:val="center"/>
                </w:tcPr>
                <w:p w14:paraId="2C86BD78">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lang w:val="en-US" w:eastAsia="zh-CN"/>
                    </w:rPr>
                    <w:t>预</w:t>
                  </w:r>
                  <w:r>
                    <w:rPr>
                      <w:rFonts w:hint="eastAsia" w:asciiTheme="majorEastAsia" w:hAnsiTheme="majorEastAsia" w:eastAsiaTheme="majorEastAsia" w:cstheme="majorEastAsia"/>
                      <w:color w:val="auto"/>
                      <w:sz w:val="21"/>
                      <w:szCs w:val="21"/>
                      <w:highlight w:val="none"/>
                    </w:rPr>
                    <w:t>脱脂、</w:t>
                  </w:r>
                  <w:r>
                    <w:rPr>
                      <w:rFonts w:hint="eastAsia" w:asciiTheme="majorEastAsia" w:hAnsiTheme="majorEastAsia" w:eastAsiaTheme="majorEastAsia" w:cstheme="majorEastAsia"/>
                      <w:color w:val="auto"/>
                      <w:sz w:val="21"/>
                      <w:szCs w:val="21"/>
                      <w:highlight w:val="none"/>
                      <w:lang w:val="en-US" w:eastAsia="zh-CN"/>
                    </w:rPr>
                    <w:t>主脱脂</w:t>
                  </w:r>
                  <w:r>
                    <w:rPr>
                      <w:rFonts w:hint="eastAsia" w:asciiTheme="majorEastAsia" w:hAnsiTheme="majorEastAsia" w:eastAsiaTheme="majorEastAsia" w:cstheme="majorEastAsia"/>
                      <w:color w:val="auto"/>
                      <w:sz w:val="21"/>
                      <w:szCs w:val="21"/>
                      <w:highlight w:val="none"/>
                    </w:rPr>
                    <w:t>水洗、防锈</w:t>
                  </w:r>
                </w:p>
              </w:tc>
              <w:tc>
                <w:tcPr>
                  <w:tcW w:w="847" w:type="pct"/>
                  <w:noWrap w:val="0"/>
                  <w:vAlign w:val="center"/>
                </w:tcPr>
                <w:p w14:paraId="1EB5BABD">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pH、SS、COD、BOD</w:t>
                  </w:r>
                  <w:r>
                    <w:rPr>
                      <w:rFonts w:hint="eastAsia" w:asciiTheme="majorEastAsia" w:hAnsiTheme="majorEastAsia" w:eastAsiaTheme="majorEastAsia" w:cstheme="majorEastAsia"/>
                      <w:color w:val="auto"/>
                      <w:sz w:val="21"/>
                      <w:szCs w:val="21"/>
                      <w:highlight w:val="none"/>
                      <w:vertAlign w:val="subscript"/>
                    </w:rPr>
                    <w:t>5</w:t>
                  </w:r>
                  <w:r>
                    <w:rPr>
                      <w:rFonts w:hint="eastAsia" w:asciiTheme="majorEastAsia" w:hAnsiTheme="majorEastAsia" w:eastAsiaTheme="majorEastAsia" w:cstheme="majorEastAsia"/>
                      <w:color w:val="auto"/>
                      <w:sz w:val="21"/>
                      <w:szCs w:val="21"/>
                      <w:highlight w:val="none"/>
                    </w:rPr>
                    <w:t>、石油类等</w:t>
                  </w:r>
                </w:p>
              </w:tc>
              <w:tc>
                <w:tcPr>
                  <w:tcW w:w="1069" w:type="pct"/>
                  <w:tcBorders>
                    <w:bottom w:val="single" w:color="000000" w:sz="4" w:space="0"/>
                  </w:tcBorders>
                  <w:noWrap w:val="0"/>
                  <w:vAlign w:val="center"/>
                </w:tcPr>
                <w:p w14:paraId="5B733422">
                  <w:pPr>
                    <w:adjustRightInd w:val="0"/>
                    <w:snapToGrid w:val="0"/>
                    <w:jc w:val="left"/>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lang w:val="en-US" w:eastAsia="zh-CN"/>
                    </w:rPr>
                    <w:t>1、</w:t>
                  </w:r>
                  <w:r>
                    <w:rPr>
                      <w:rFonts w:hint="eastAsia" w:asciiTheme="majorEastAsia" w:hAnsiTheme="majorEastAsia" w:eastAsiaTheme="majorEastAsia" w:cstheme="majorEastAsia"/>
                      <w:color w:val="auto"/>
                      <w:sz w:val="21"/>
                      <w:szCs w:val="21"/>
                      <w:highlight w:val="none"/>
                    </w:rPr>
                    <w:t>预脱脂、主脱脂</w:t>
                  </w:r>
                  <w:r>
                    <w:rPr>
                      <w:rFonts w:hint="eastAsia" w:asciiTheme="majorEastAsia" w:hAnsiTheme="majorEastAsia" w:eastAsiaTheme="majorEastAsia" w:cstheme="majorEastAsia"/>
                      <w:color w:val="auto"/>
                      <w:sz w:val="21"/>
                      <w:szCs w:val="21"/>
                      <w:highlight w:val="none"/>
                      <w:lang w:val="en-US" w:eastAsia="zh-CN"/>
                    </w:rPr>
                    <w:t>设有</w:t>
                  </w:r>
                  <w:r>
                    <w:rPr>
                      <w:rFonts w:hint="eastAsia" w:asciiTheme="majorEastAsia" w:hAnsiTheme="majorEastAsia" w:eastAsiaTheme="majorEastAsia" w:cstheme="majorEastAsia"/>
                      <w:color w:val="auto"/>
                      <w:sz w:val="21"/>
                      <w:szCs w:val="21"/>
                      <w:highlight w:val="none"/>
                    </w:rPr>
                    <w:t>油水分离装置</w:t>
                  </w:r>
                  <w:r>
                    <w:rPr>
                      <w:rFonts w:hint="eastAsia" w:asciiTheme="majorEastAsia" w:hAnsiTheme="majorEastAsia" w:eastAsiaTheme="majorEastAsia" w:cstheme="majorEastAsia"/>
                      <w:color w:val="auto"/>
                      <w:sz w:val="21"/>
                      <w:szCs w:val="21"/>
                      <w:highlight w:val="none"/>
                      <w:lang w:val="en-US" w:eastAsia="zh-CN"/>
                    </w:rPr>
                    <w:t>和</w:t>
                  </w:r>
                  <w:r>
                    <w:rPr>
                      <w:rFonts w:hint="eastAsia" w:asciiTheme="majorEastAsia" w:hAnsiTheme="majorEastAsia" w:eastAsiaTheme="majorEastAsia" w:cstheme="majorEastAsia"/>
                      <w:color w:val="auto"/>
                      <w:sz w:val="21"/>
                      <w:szCs w:val="21"/>
                      <w:highlight w:val="none"/>
                    </w:rPr>
                    <w:t>喷淋清洗过滤</w:t>
                  </w:r>
                  <w:r>
                    <w:rPr>
                      <w:rFonts w:hint="eastAsia" w:asciiTheme="majorEastAsia" w:hAnsiTheme="majorEastAsia" w:eastAsiaTheme="majorEastAsia" w:cstheme="majorEastAsia"/>
                      <w:color w:val="auto"/>
                      <w:sz w:val="21"/>
                      <w:szCs w:val="21"/>
                      <w:highlight w:val="none"/>
                      <w:lang w:val="en-US" w:eastAsia="zh-CN"/>
                    </w:rPr>
                    <w:t>装置</w:t>
                  </w:r>
                  <w:r>
                    <w:rPr>
                      <w:rFonts w:hint="eastAsia" w:asciiTheme="majorEastAsia" w:hAnsiTheme="majorEastAsia" w:eastAsiaTheme="majorEastAsia" w:cstheme="majorEastAsia"/>
                      <w:color w:val="auto"/>
                      <w:sz w:val="21"/>
                      <w:szCs w:val="21"/>
                      <w:highlight w:val="none"/>
                    </w:rPr>
                    <w:t>；</w:t>
                  </w:r>
                </w:p>
                <w:p w14:paraId="090B10A7">
                  <w:pPr>
                    <w:adjustRightInd w:val="0"/>
                    <w:snapToGrid w:val="0"/>
                    <w:jc w:val="both"/>
                    <w:rPr>
                      <w:rFonts w:hint="eastAsia" w:asciiTheme="majorEastAsia" w:hAnsiTheme="majorEastAsia" w:eastAsiaTheme="majorEastAsia" w:cstheme="majorEastAsia"/>
                      <w:color w:val="auto"/>
                      <w:sz w:val="21"/>
                      <w:szCs w:val="21"/>
                      <w:highlight w:val="none"/>
                      <w:lang w:eastAsia="zh-CN"/>
                    </w:rPr>
                  </w:pPr>
                  <w:r>
                    <w:rPr>
                      <w:rFonts w:hint="eastAsia" w:asciiTheme="majorEastAsia" w:hAnsiTheme="majorEastAsia" w:eastAsiaTheme="majorEastAsia" w:cstheme="majorEastAsia"/>
                      <w:color w:val="auto"/>
                      <w:sz w:val="21"/>
                      <w:szCs w:val="21"/>
                      <w:highlight w:val="none"/>
                      <w:lang w:val="en-US" w:eastAsia="zh-CN"/>
                    </w:rPr>
                    <w:t>2、各喷淋水槽槽底采用斜底结构并设有集污沟；</w:t>
                  </w:r>
                </w:p>
                <w:p w14:paraId="556585DB">
                  <w:pPr>
                    <w:adjustRightInd w:val="0"/>
                    <w:snapToGrid w:val="0"/>
                    <w:jc w:val="left"/>
                    <w:rPr>
                      <w:rFonts w:hint="eastAsia" w:asciiTheme="majorEastAsia" w:hAnsiTheme="majorEastAsia" w:eastAsiaTheme="majorEastAsia" w:cstheme="majorEastAsia"/>
                      <w:color w:val="auto"/>
                      <w:spacing w:val="-11"/>
                      <w:sz w:val="21"/>
                      <w:szCs w:val="21"/>
                      <w:highlight w:val="none"/>
                    </w:rPr>
                  </w:pPr>
                  <w:r>
                    <w:rPr>
                      <w:rFonts w:hint="eastAsia" w:asciiTheme="majorEastAsia" w:hAnsiTheme="majorEastAsia" w:eastAsiaTheme="majorEastAsia" w:cstheme="majorEastAsia"/>
                      <w:color w:val="auto"/>
                      <w:sz w:val="21"/>
                      <w:szCs w:val="21"/>
                      <w:highlight w:val="none"/>
                      <w:lang w:val="en-US" w:eastAsia="zh-CN"/>
                    </w:rPr>
                    <w:t>3、排水时各水槽</w:t>
                  </w:r>
                  <w:r>
                    <w:rPr>
                      <w:rFonts w:hint="eastAsia" w:asciiTheme="majorEastAsia" w:hAnsiTheme="majorEastAsia" w:eastAsiaTheme="majorEastAsia" w:cstheme="majorEastAsia"/>
                      <w:color w:val="auto"/>
                      <w:sz w:val="21"/>
                      <w:szCs w:val="21"/>
                      <w:highlight w:val="none"/>
                    </w:rPr>
                    <w:t>添加絮凝沉淀剂</w:t>
                  </w:r>
                  <w:r>
                    <w:rPr>
                      <w:rFonts w:hint="eastAsia" w:asciiTheme="majorEastAsia" w:hAnsiTheme="majorEastAsia" w:eastAsiaTheme="majorEastAsia" w:cstheme="majorEastAsia"/>
                      <w:color w:val="auto"/>
                      <w:sz w:val="21"/>
                      <w:szCs w:val="21"/>
                      <w:highlight w:val="none"/>
                      <w:lang w:eastAsia="zh-CN"/>
                    </w:rPr>
                    <w:t>。</w:t>
                  </w:r>
                </w:p>
              </w:tc>
              <w:tc>
                <w:tcPr>
                  <w:tcW w:w="603" w:type="pct"/>
                  <w:noWrap w:val="0"/>
                  <w:vAlign w:val="center"/>
                </w:tcPr>
                <w:p w14:paraId="2252D8D5">
                  <w:pPr>
                    <w:pStyle w:val="14"/>
                    <w:numPr>
                      <w:ilvl w:val="0"/>
                      <w:numId w:val="0"/>
                    </w:numPr>
                    <w:jc w:val="left"/>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排入园区污水管网，最终进入行唐县第二污水处理厂。</w:t>
                  </w:r>
                </w:p>
                <w:p w14:paraId="0C49B8AF">
                  <w:pPr>
                    <w:adjustRightInd w:val="0"/>
                    <w:snapToGrid w:val="0"/>
                    <w:jc w:val="center"/>
                    <w:rPr>
                      <w:rFonts w:hint="eastAsia" w:asciiTheme="majorEastAsia" w:hAnsiTheme="majorEastAsia" w:eastAsiaTheme="majorEastAsia" w:cstheme="majorEastAsia"/>
                      <w:color w:val="auto"/>
                      <w:spacing w:val="-11"/>
                      <w:sz w:val="21"/>
                      <w:szCs w:val="21"/>
                      <w:highlight w:val="none"/>
                    </w:rPr>
                  </w:pPr>
                </w:p>
              </w:tc>
              <w:tc>
                <w:tcPr>
                  <w:tcW w:w="1060" w:type="pct"/>
                  <w:noWrap w:val="0"/>
                  <w:vAlign w:val="center"/>
                </w:tcPr>
                <w:p w14:paraId="4164942B">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《污水综合排放标准》(GB8978-1996)表4中三级标准、行唐县第二污水处理厂进水水质标准从严执行</w:t>
                  </w:r>
                </w:p>
              </w:tc>
            </w:tr>
            <w:tr w14:paraId="5E07C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97" w:hRule="atLeast"/>
              </w:trPr>
              <w:tc>
                <w:tcPr>
                  <w:tcW w:w="181" w:type="pct"/>
                  <w:vMerge w:val="restart"/>
                  <w:noWrap w:val="0"/>
                  <w:vAlign w:val="center"/>
                </w:tcPr>
                <w:p w14:paraId="7CD84C68">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噪声</w:t>
                  </w:r>
                </w:p>
              </w:tc>
              <w:tc>
                <w:tcPr>
                  <w:tcW w:w="426" w:type="pct"/>
                  <w:noWrap w:val="0"/>
                  <w:vAlign w:val="center"/>
                </w:tcPr>
                <w:p w14:paraId="58504666">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N1</w:t>
                  </w:r>
                  <w:r>
                    <w:rPr>
                      <w:rFonts w:hint="eastAsia" w:asciiTheme="majorEastAsia" w:hAnsiTheme="majorEastAsia" w:eastAsiaTheme="majorEastAsia" w:cstheme="majorEastAsia"/>
                      <w:color w:val="auto"/>
                      <w:sz w:val="21"/>
                      <w:szCs w:val="21"/>
                      <w:highlight w:val="none"/>
                      <w:lang w:eastAsia="zh-CN"/>
                    </w:rPr>
                    <w:t>、</w:t>
                  </w:r>
                  <w:r>
                    <w:rPr>
                      <w:rFonts w:hint="eastAsia" w:asciiTheme="majorEastAsia" w:hAnsiTheme="majorEastAsia" w:eastAsiaTheme="majorEastAsia" w:cstheme="majorEastAsia"/>
                      <w:color w:val="auto"/>
                      <w:sz w:val="21"/>
                      <w:szCs w:val="21"/>
                      <w:highlight w:val="none"/>
                    </w:rPr>
                    <w:t>N2</w:t>
                  </w:r>
                </w:p>
              </w:tc>
              <w:tc>
                <w:tcPr>
                  <w:tcW w:w="811" w:type="pct"/>
                  <w:noWrap w:val="0"/>
                  <w:vAlign w:val="center"/>
                </w:tcPr>
                <w:p w14:paraId="3A8BE893">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kern w:val="0"/>
                      <w:sz w:val="21"/>
                      <w:szCs w:val="21"/>
                      <w:highlight w:val="none"/>
                      <w:lang w:bidi="ar"/>
                    </w:rPr>
                    <w:t>输送装置等电机运转噪声</w:t>
                  </w:r>
                </w:p>
              </w:tc>
              <w:tc>
                <w:tcPr>
                  <w:tcW w:w="847" w:type="pct"/>
                  <w:vMerge w:val="restart"/>
                  <w:noWrap w:val="0"/>
                  <w:vAlign w:val="center"/>
                </w:tcPr>
                <w:p w14:paraId="5FD7A451">
                  <w:pPr>
                    <w:adjustRightInd w:val="0"/>
                    <w:snapToGrid w:val="0"/>
                    <w:jc w:val="center"/>
                    <w:rPr>
                      <w:rFonts w:hint="eastAsia" w:asciiTheme="majorEastAsia" w:hAnsiTheme="majorEastAsia" w:eastAsiaTheme="majorEastAsia" w:cstheme="majorEastAsia"/>
                      <w:color w:val="auto"/>
                      <w:sz w:val="21"/>
                      <w:szCs w:val="21"/>
                      <w:highlight w:val="none"/>
                    </w:rPr>
                  </w:pPr>
                </w:p>
                <w:p w14:paraId="568B6612">
                  <w:pPr>
                    <w:adjustRightInd w:val="0"/>
                    <w:snapToGrid w:val="0"/>
                    <w:jc w:val="center"/>
                    <w:rPr>
                      <w:rFonts w:hint="eastAsia" w:asciiTheme="majorEastAsia" w:hAnsiTheme="majorEastAsia" w:eastAsiaTheme="majorEastAsia" w:cstheme="majorEastAsia"/>
                      <w:color w:val="auto"/>
                      <w:sz w:val="21"/>
                      <w:szCs w:val="21"/>
                      <w:highlight w:val="none"/>
                    </w:rPr>
                  </w:pPr>
                </w:p>
                <w:p w14:paraId="45960F68">
                  <w:pPr>
                    <w:adjustRightInd w:val="0"/>
                    <w:snapToGrid w:val="0"/>
                    <w:jc w:val="center"/>
                    <w:rPr>
                      <w:rFonts w:hint="eastAsia" w:asciiTheme="majorEastAsia" w:hAnsiTheme="majorEastAsia" w:eastAsiaTheme="majorEastAsia" w:cstheme="majorEastAsia"/>
                      <w:color w:val="auto"/>
                      <w:sz w:val="21"/>
                      <w:szCs w:val="21"/>
                      <w:highlight w:val="none"/>
                    </w:rPr>
                  </w:pPr>
                </w:p>
                <w:p w14:paraId="1269C6DD">
                  <w:pPr>
                    <w:adjustRightInd w:val="0"/>
                    <w:snapToGrid w:val="0"/>
                    <w:jc w:val="center"/>
                    <w:rPr>
                      <w:rFonts w:hint="eastAsia" w:asciiTheme="majorEastAsia" w:hAnsiTheme="majorEastAsia" w:eastAsiaTheme="majorEastAsia" w:cstheme="majorEastAsia"/>
                      <w:color w:val="auto"/>
                      <w:sz w:val="21"/>
                      <w:szCs w:val="21"/>
                      <w:highlight w:val="none"/>
                    </w:rPr>
                  </w:pPr>
                </w:p>
                <w:p w14:paraId="1A71F916">
                  <w:pPr>
                    <w:adjustRightInd w:val="0"/>
                    <w:snapToGrid w:val="0"/>
                    <w:jc w:val="center"/>
                    <w:rPr>
                      <w:rFonts w:hint="eastAsia" w:asciiTheme="majorEastAsia" w:hAnsiTheme="majorEastAsia" w:eastAsiaTheme="majorEastAsia" w:cstheme="majorEastAsia"/>
                      <w:color w:val="auto"/>
                      <w:sz w:val="21"/>
                      <w:szCs w:val="21"/>
                      <w:highlight w:val="none"/>
                    </w:rPr>
                  </w:pPr>
                </w:p>
                <w:p w14:paraId="705E23FE">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等效A声级</w:t>
                  </w:r>
                </w:p>
              </w:tc>
              <w:tc>
                <w:tcPr>
                  <w:tcW w:w="1672" w:type="pct"/>
                  <w:gridSpan w:val="2"/>
                  <w:vMerge w:val="restart"/>
                  <w:tcBorders>
                    <w:top w:val="single" w:color="000000" w:sz="4" w:space="0"/>
                  </w:tcBorders>
                  <w:noWrap w:val="0"/>
                  <w:vAlign w:val="center"/>
                </w:tcPr>
                <w:p w14:paraId="2A02E86B">
                  <w:pPr>
                    <w:adjustRightInd w:val="0"/>
                    <w:snapToGrid w:val="0"/>
                    <w:jc w:val="center"/>
                    <w:rPr>
                      <w:rFonts w:hint="eastAsia" w:asciiTheme="majorEastAsia" w:hAnsiTheme="majorEastAsia" w:eastAsiaTheme="majorEastAsia" w:cstheme="majorEastAsia"/>
                      <w:color w:val="auto"/>
                      <w:sz w:val="21"/>
                      <w:szCs w:val="21"/>
                      <w:highlight w:val="none"/>
                    </w:rPr>
                  </w:pPr>
                </w:p>
                <w:p w14:paraId="5A39CC5A">
                  <w:pPr>
                    <w:adjustRightInd w:val="0"/>
                    <w:snapToGrid w:val="0"/>
                    <w:jc w:val="center"/>
                    <w:rPr>
                      <w:rFonts w:hint="eastAsia" w:asciiTheme="majorEastAsia" w:hAnsiTheme="majorEastAsia" w:eastAsiaTheme="majorEastAsia" w:cstheme="majorEastAsia"/>
                      <w:color w:val="auto"/>
                      <w:sz w:val="21"/>
                      <w:szCs w:val="21"/>
                      <w:highlight w:val="none"/>
                    </w:rPr>
                  </w:pPr>
                </w:p>
                <w:p w14:paraId="2E458997">
                  <w:pPr>
                    <w:adjustRightInd w:val="0"/>
                    <w:snapToGrid w:val="0"/>
                    <w:jc w:val="center"/>
                    <w:rPr>
                      <w:rFonts w:hint="eastAsia" w:asciiTheme="majorEastAsia" w:hAnsiTheme="majorEastAsia" w:eastAsiaTheme="majorEastAsia" w:cstheme="majorEastAsia"/>
                      <w:color w:val="auto"/>
                      <w:sz w:val="21"/>
                      <w:szCs w:val="21"/>
                      <w:highlight w:val="none"/>
                    </w:rPr>
                  </w:pPr>
                </w:p>
                <w:p w14:paraId="3A9DC3C4">
                  <w:pPr>
                    <w:adjustRightInd w:val="0"/>
                    <w:snapToGrid w:val="0"/>
                    <w:jc w:val="center"/>
                    <w:rPr>
                      <w:rFonts w:hint="eastAsia" w:asciiTheme="majorEastAsia" w:hAnsiTheme="majorEastAsia" w:eastAsiaTheme="majorEastAsia" w:cstheme="majorEastAsia"/>
                      <w:color w:val="auto"/>
                      <w:sz w:val="21"/>
                      <w:szCs w:val="21"/>
                      <w:highlight w:val="none"/>
                    </w:rPr>
                  </w:pPr>
                </w:p>
                <w:p w14:paraId="073C15E3">
                  <w:pPr>
                    <w:adjustRightInd w:val="0"/>
                    <w:snapToGrid w:val="0"/>
                    <w:jc w:val="center"/>
                    <w:rPr>
                      <w:rFonts w:hint="eastAsia" w:asciiTheme="majorEastAsia" w:hAnsiTheme="majorEastAsia" w:eastAsiaTheme="majorEastAsia" w:cstheme="majorEastAsia"/>
                      <w:color w:val="auto"/>
                      <w:sz w:val="21"/>
                      <w:szCs w:val="21"/>
                      <w:highlight w:val="none"/>
                    </w:rPr>
                  </w:pPr>
                </w:p>
                <w:p w14:paraId="6818090A">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厂房隔声、</w:t>
                  </w:r>
                  <w:r>
                    <w:rPr>
                      <w:rFonts w:hint="eastAsia" w:asciiTheme="majorEastAsia" w:hAnsiTheme="majorEastAsia" w:eastAsiaTheme="majorEastAsia" w:cstheme="majorEastAsia"/>
                      <w:color w:val="auto"/>
                      <w:sz w:val="21"/>
                      <w:szCs w:val="21"/>
                      <w:highlight w:val="none"/>
                      <w:lang w:val="en-US" w:eastAsia="zh-CN"/>
                    </w:rPr>
                    <w:t>基础减振、</w:t>
                  </w:r>
                  <w:r>
                    <w:rPr>
                      <w:rFonts w:hint="eastAsia" w:asciiTheme="majorEastAsia" w:hAnsiTheme="majorEastAsia" w:eastAsiaTheme="majorEastAsia" w:cstheme="majorEastAsia"/>
                      <w:color w:val="auto"/>
                      <w:sz w:val="21"/>
                      <w:szCs w:val="21"/>
                      <w:highlight w:val="none"/>
                    </w:rPr>
                    <w:t>距离衰减</w:t>
                  </w:r>
                </w:p>
              </w:tc>
              <w:tc>
                <w:tcPr>
                  <w:tcW w:w="1060" w:type="pct"/>
                  <w:vMerge w:val="restart"/>
                  <w:noWrap w:val="0"/>
                  <w:vAlign w:val="center"/>
                </w:tcPr>
                <w:p w14:paraId="30D43F4C">
                  <w:pPr>
                    <w:adjustRightInd w:val="0"/>
                    <w:snapToGrid w:val="0"/>
                    <w:jc w:val="center"/>
                    <w:rPr>
                      <w:rFonts w:hint="eastAsia" w:asciiTheme="majorEastAsia" w:hAnsiTheme="majorEastAsia" w:eastAsiaTheme="majorEastAsia" w:cstheme="majorEastAsia"/>
                      <w:color w:val="auto"/>
                      <w:sz w:val="21"/>
                      <w:szCs w:val="21"/>
                      <w:highlight w:val="none"/>
                    </w:rPr>
                  </w:pPr>
                </w:p>
                <w:p w14:paraId="5A21A250">
                  <w:pPr>
                    <w:adjustRightInd w:val="0"/>
                    <w:snapToGrid w:val="0"/>
                    <w:jc w:val="center"/>
                    <w:rPr>
                      <w:rFonts w:hint="eastAsia" w:asciiTheme="majorEastAsia" w:hAnsiTheme="majorEastAsia" w:eastAsiaTheme="majorEastAsia" w:cstheme="majorEastAsia"/>
                      <w:color w:val="auto"/>
                      <w:sz w:val="21"/>
                      <w:szCs w:val="21"/>
                      <w:highlight w:val="none"/>
                    </w:rPr>
                  </w:pPr>
                </w:p>
                <w:p w14:paraId="409DD674">
                  <w:pPr>
                    <w:adjustRightInd w:val="0"/>
                    <w:snapToGrid w:val="0"/>
                    <w:jc w:val="center"/>
                    <w:rPr>
                      <w:rFonts w:hint="eastAsia" w:asciiTheme="majorEastAsia" w:hAnsiTheme="majorEastAsia" w:eastAsiaTheme="majorEastAsia" w:cstheme="majorEastAsia"/>
                      <w:color w:val="auto"/>
                      <w:sz w:val="21"/>
                      <w:szCs w:val="21"/>
                      <w:highlight w:val="none"/>
                    </w:rPr>
                  </w:pPr>
                </w:p>
                <w:p w14:paraId="52CE11EB">
                  <w:pPr>
                    <w:adjustRightInd w:val="0"/>
                    <w:snapToGrid w:val="0"/>
                    <w:jc w:val="center"/>
                    <w:rPr>
                      <w:rFonts w:hint="eastAsia" w:asciiTheme="majorEastAsia" w:hAnsiTheme="majorEastAsia" w:eastAsiaTheme="majorEastAsia" w:cstheme="majorEastAsia"/>
                      <w:color w:val="auto"/>
                      <w:sz w:val="21"/>
                      <w:szCs w:val="21"/>
                      <w:highlight w:val="none"/>
                    </w:rPr>
                  </w:pPr>
                </w:p>
                <w:p w14:paraId="086D3017">
                  <w:pPr>
                    <w:adjustRightInd w:val="0"/>
                    <w:snapToGrid w:val="0"/>
                    <w:jc w:val="center"/>
                    <w:rPr>
                      <w:rFonts w:hint="eastAsia" w:asciiTheme="majorEastAsia" w:hAnsiTheme="majorEastAsia" w:eastAsiaTheme="majorEastAsia" w:cstheme="majorEastAsia"/>
                      <w:color w:val="auto"/>
                      <w:sz w:val="21"/>
                      <w:szCs w:val="21"/>
                      <w:highlight w:val="none"/>
                    </w:rPr>
                  </w:pPr>
                </w:p>
                <w:p w14:paraId="38A08FB4">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《工业企业厂界环境噪声排放标准》（GB12348-2008）</w:t>
                  </w:r>
                </w:p>
                <w:p w14:paraId="555629B8">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3</w:t>
                  </w:r>
                  <w:r>
                    <w:rPr>
                      <w:rFonts w:hint="eastAsia" w:asciiTheme="majorEastAsia" w:hAnsiTheme="majorEastAsia" w:eastAsiaTheme="majorEastAsia" w:cstheme="majorEastAsia"/>
                      <w:color w:val="auto"/>
                      <w:sz w:val="21"/>
                      <w:szCs w:val="21"/>
                      <w:highlight w:val="none"/>
                      <w:lang w:eastAsia="zh-CN"/>
                    </w:rPr>
                    <w:t>、</w:t>
                  </w:r>
                  <w:r>
                    <w:rPr>
                      <w:rFonts w:hint="eastAsia" w:asciiTheme="majorEastAsia" w:hAnsiTheme="majorEastAsia" w:eastAsiaTheme="majorEastAsia" w:cstheme="majorEastAsia"/>
                      <w:color w:val="auto"/>
                      <w:sz w:val="21"/>
                      <w:szCs w:val="21"/>
                      <w:highlight w:val="none"/>
                      <w:lang w:val="en-US" w:eastAsia="zh-CN"/>
                    </w:rPr>
                    <w:t>4</w:t>
                  </w:r>
                  <w:r>
                    <w:rPr>
                      <w:rFonts w:hint="eastAsia" w:asciiTheme="majorEastAsia" w:hAnsiTheme="majorEastAsia" w:eastAsiaTheme="majorEastAsia" w:cstheme="majorEastAsia"/>
                      <w:color w:val="auto"/>
                      <w:sz w:val="21"/>
                      <w:szCs w:val="21"/>
                      <w:highlight w:val="none"/>
                    </w:rPr>
                    <w:t>类标准</w:t>
                  </w:r>
                </w:p>
              </w:tc>
            </w:tr>
            <w:tr w14:paraId="15CB8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76" w:hRule="atLeast"/>
              </w:trPr>
              <w:tc>
                <w:tcPr>
                  <w:tcW w:w="181" w:type="pct"/>
                  <w:vMerge w:val="continue"/>
                  <w:noWrap w:val="0"/>
                  <w:vAlign w:val="center"/>
                </w:tcPr>
                <w:p w14:paraId="51C89711">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4EC8532B">
                  <w:pPr>
                    <w:adjustRightInd w:val="0"/>
                    <w:snapToGrid w:val="0"/>
                    <w:jc w:val="center"/>
                    <w:rPr>
                      <w:rFonts w:hint="eastAsia" w:asciiTheme="majorEastAsia" w:hAnsiTheme="majorEastAsia" w:eastAsiaTheme="majorEastAsia" w:cstheme="majorEastAsia"/>
                      <w:color w:val="auto"/>
                      <w:kern w:val="2"/>
                      <w:sz w:val="21"/>
                      <w:szCs w:val="21"/>
                      <w:highlight w:val="none"/>
                      <w:lang w:val="en-US" w:eastAsia="zh-CN" w:bidi="ar-SA"/>
                    </w:rPr>
                  </w:pPr>
                  <w:r>
                    <w:rPr>
                      <w:rFonts w:hint="eastAsia" w:asciiTheme="majorEastAsia" w:hAnsiTheme="majorEastAsia" w:eastAsiaTheme="majorEastAsia" w:cstheme="majorEastAsia"/>
                      <w:color w:val="auto"/>
                      <w:sz w:val="21"/>
                      <w:szCs w:val="21"/>
                      <w:highlight w:val="none"/>
                      <w:lang w:val="en-US" w:eastAsia="zh-CN"/>
                    </w:rPr>
                    <w:t>N3、N4</w:t>
                  </w:r>
                </w:p>
              </w:tc>
              <w:tc>
                <w:tcPr>
                  <w:tcW w:w="811" w:type="pct"/>
                  <w:noWrap w:val="0"/>
                  <w:vAlign w:val="center"/>
                </w:tcPr>
                <w:p w14:paraId="284A1874">
                  <w:pPr>
                    <w:widowControl/>
                    <w:spacing w:line="240" w:lineRule="exact"/>
                    <w:jc w:val="center"/>
                    <w:textAlignment w:val="center"/>
                    <w:rPr>
                      <w:rFonts w:hint="eastAsia" w:asciiTheme="majorEastAsia" w:hAnsiTheme="majorEastAsia" w:eastAsiaTheme="majorEastAsia" w:cstheme="majorEastAsia"/>
                      <w:color w:val="auto"/>
                      <w:kern w:val="0"/>
                      <w:sz w:val="21"/>
                      <w:szCs w:val="21"/>
                      <w:highlight w:val="none"/>
                      <w:lang w:val="en-US" w:eastAsia="zh-CN" w:bidi="ar"/>
                    </w:rPr>
                  </w:pPr>
                  <w:r>
                    <w:rPr>
                      <w:rFonts w:hint="eastAsia" w:asciiTheme="majorEastAsia" w:hAnsiTheme="majorEastAsia" w:eastAsiaTheme="majorEastAsia" w:cstheme="majorEastAsia"/>
                      <w:color w:val="auto"/>
                      <w:kern w:val="0"/>
                      <w:sz w:val="21"/>
                      <w:szCs w:val="21"/>
                      <w:highlight w:val="none"/>
                      <w:lang w:val="en-US" w:eastAsia="zh-CN" w:bidi="ar"/>
                    </w:rPr>
                    <w:t>预脱脂设备及</w:t>
                  </w:r>
                </w:p>
                <w:p w14:paraId="4D42FB5B">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kern w:val="0"/>
                      <w:sz w:val="21"/>
                      <w:szCs w:val="21"/>
                      <w:highlight w:val="none"/>
                      <w:lang w:bidi="ar"/>
                    </w:rPr>
                    <w:t>喷淋清洗泵</w:t>
                  </w:r>
                </w:p>
              </w:tc>
              <w:tc>
                <w:tcPr>
                  <w:tcW w:w="847" w:type="pct"/>
                  <w:vMerge w:val="continue"/>
                  <w:noWrap w:val="0"/>
                  <w:vAlign w:val="center"/>
                </w:tcPr>
                <w:p w14:paraId="02FA68B2">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672" w:type="pct"/>
                  <w:gridSpan w:val="2"/>
                  <w:vMerge w:val="continue"/>
                  <w:noWrap w:val="0"/>
                  <w:vAlign w:val="center"/>
                </w:tcPr>
                <w:p w14:paraId="1A2CE52A">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6B680ECC">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63777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5" w:hRule="atLeast"/>
              </w:trPr>
              <w:tc>
                <w:tcPr>
                  <w:tcW w:w="181" w:type="pct"/>
                  <w:vMerge w:val="continue"/>
                  <w:noWrap w:val="0"/>
                  <w:vAlign w:val="center"/>
                </w:tcPr>
                <w:p w14:paraId="1D8D3405">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29E37D83">
                  <w:pPr>
                    <w:adjustRightInd w:val="0"/>
                    <w:snapToGrid w:val="0"/>
                    <w:jc w:val="center"/>
                    <w:rPr>
                      <w:rFonts w:hint="eastAsia" w:asciiTheme="majorEastAsia" w:hAnsiTheme="majorEastAsia" w:eastAsiaTheme="majorEastAsia" w:cstheme="majorEastAsia"/>
                      <w:color w:val="auto"/>
                      <w:kern w:val="2"/>
                      <w:sz w:val="21"/>
                      <w:szCs w:val="21"/>
                      <w:highlight w:val="none"/>
                      <w:lang w:val="en-US" w:eastAsia="zh-CN" w:bidi="ar-SA"/>
                    </w:rPr>
                  </w:pPr>
                  <w:r>
                    <w:rPr>
                      <w:rFonts w:hint="eastAsia" w:asciiTheme="majorEastAsia" w:hAnsiTheme="majorEastAsia" w:eastAsiaTheme="majorEastAsia" w:cstheme="majorEastAsia"/>
                      <w:color w:val="auto"/>
                      <w:sz w:val="21"/>
                      <w:szCs w:val="21"/>
                      <w:highlight w:val="none"/>
                      <w:lang w:val="en-US" w:eastAsia="zh-CN"/>
                    </w:rPr>
                    <w:t>N5、N6</w:t>
                  </w:r>
                </w:p>
              </w:tc>
              <w:tc>
                <w:tcPr>
                  <w:tcW w:w="811" w:type="pct"/>
                  <w:noWrap w:val="0"/>
                  <w:vAlign w:val="center"/>
                </w:tcPr>
                <w:p w14:paraId="3E2ED347">
                  <w:pPr>
                    <w:widowControl/>
                    <w:spacing w:line="240" w:lineRule="exact"/>
                    <w:jc w:val="center"/>
                    <w:textAlignment w:val="center"/>
                    <w:rPr>
                      <w:rFonts w:hint="eastAsia" w:asciiTheme="majorEastAsia" w:hAnsiTheme="majorEastAsia" w:eastAsiaTheme="majorEastAsia" w:cstheme="majorEastAsia"/>
                      <w:color w:val="auto"/>
                      <w:kern w:val="0"/>
                      <w:sz w:val="21"/>
                      <w:szCs w:val="21"/>
                      <w:highlight w:val="none"/>
                      <w:lang w:val="en-US" w:eastAsia="zh-CN" w:bidi="ar"/>
                    </w:rPr>
                  </w:pPr>
                  <w:r>
                    <w:rPr>
                      <w:rFonts w:hint="eastAsia" w:asciiTheme="majorEastAsia" w:hAnsiTheme="majorEastAsia" w:eastAsiaTheme="majorEastAsia" w:cstheme="majorEastAsia"/>
                      <w:color w:val="auto"/>
                      <w:kern w:val="0"/>
                      <w:sz w:val="21"/>
                      <w:szCs w:val="21"/>
                      <w:highlight w:val="none"/>
                      <w:lang w:val="en-US" w:eastAsia="zh-CN" w:bidi="ar"/>
                    </w:rPr>
                    <w:t>主脱脂设备及</w:t>
                  </w:r>
                </w:p>
                <w:p w14:paraId="64C07C8C">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kern w:val="0"/>
                      <w:sz w:val="21"/>
                      <w:szCs w:val="21"/>
                      <w:highlight w:val="none"/>
                      <w:lang w:bidi="ar"/>
                    </w:rPr>
                    <w:t>喷淋清洗泵</w:t>
                  </w:r>
                </w:p>
              </w:tc>
              <w:tc>
                <w:tcPr>
                  <w:tcW w:w="847" w:type="pct"/>
                  <w:vMerge w:val="continue"/>
                  <w:noWrap w:val="0"/>
                  <w:vAlign w:val="center"/>
                </w:tcPr>
                <w:p w14:paraId="1A2C0D20">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672" w:type="pct"/>
                  <w:gridSpan w:val="2"/>
                  <w:vMerge w:val="continue"/>
                  <w:noWrap w:val="0"/>
                  <w:vAlign w:val="center"/>
                </w:tcPr>
                <w:p w14:paraId="01F3EAB1">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09C59B36">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5035F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14" w:hRule="atLeast"/>
              </w:trPr>
              <w:tc>
                <w:tcPr>
                  <w:tcW w:w="181" w:type="pct"/>
                  <w:vMerge w:val="continue"/>
                  <w:noWrap w:val="0"/>
                  <w:vAlign w:val="center"/>
                </w:tcPr>
                <w:p w14:paraId="16B70D7D">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79C37672">
                  <w:pPr>
                    <w:adjustRightInd w:val="0"/>
                    <w:snapToGrid w:val="0"/>
                    <w:jc w:val="center"/>
                    <w:rPr>
                      <w:rFonts w:hint="eastAsia" w:asciiTheme="majorEastAsia" w:hAnsiTheme="majorEastAsia" w:eastAsiaTheme="majorEastAsia" w:cstheme="majorEastAsia"/>
                      <w:color w:val="auto"/>
                      <w:kern w:val="2"/>
                      <w:sz w:val="21"/>
                      <w:szCs w:val="21"/>
                      <w:highlight w:val="none"/>
                      <w:lang w:val="en-US" w:eastAsia="zh-CN" w:bidi="ar-SA"/>
                    </w:rPr>
                  </w:pPr>
                  <w:r>
                    <w:rPr>
                      <w:rFonts w:hint="eastAsia" w:asciiTheme="majorEastAsia" w:hAnsiTheme="majorEastAsia" w:eastAsiaTheme="majorEastAsia" w:cstheme="majorEastAsia"/>
                      <w:color w:val="auto"/>
                      <w:sz w:val="21"/>
                      <w:szCs w:val="21"/>
                      <w:highlight w:val="none"/>
                      <w:lang w:val="en-US" w:eastAsia="zh-CN"/>
                    </w:rPr>
                    <w:t>N7、N8</w:t>
                  </w:r>
                </w:p>
              </w:tc>
              <w:tc>
                <w:tcPr>
                  <w:tcW w:w="811" w:type="pct"/>
                  <w:noWrap w:val="0"/>
                  <w:vAlign w:val="center"/>
                </w:tcPr>
                <w:p w14:paraId="3411AAC5">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kern w:val="0"/>
                      <w:sz w:val="21"/>
                      <w:szCs w:val="21"/>
                      <w:highlight w:val="none"/>
                      <w:lang w:val="en-US" w:eastAsia="zh-CN" w:bidi="ar"/>
                    </w:rPr>
                    <w:t>水洗及高压吹水噪声</w:t>
                  </w:r>
                </w:p>
              </w:tc>
              <w:tc>
                <w:tcPr>
                  <w:tcW w:w="847" w:type="pct"/>
                  <w:vMerge w:val="continue"/>
                  <w:noWrap w:val="0"/>
                  <w:vAlign w:val="center"/>
                </w:tcPr>
                <w:p w14:paraId="79AEEECE">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672" w:type="pct"/>
                  <w:gridSpan w:val="2"/>
                  <w:vMerge w:val="continue"/>
                  <w:noWrap w:val="0"/>
                  <w:vAlign w:val="center"/>
                </w:tcPr>
                <w:p w14:paraId="593C239E">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758F952D">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0EB00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19" w:hRule="atLeast"/>
              </w:trPr>
              <w:tc>
                <w:tcPr>
                  <w:tcW w:w="181" w:type="pct"/>
                  <w:vMerge w:val="continue"/>
                  <w:noWrap w:val="0"/>
                  <w:vAlign w:val="center"/>
                </w:tcPr>
                <w:p w14:paraId="48D49B00">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3C5486A5">
                  <w:pPr>
                    <w:adjustRightInd w:val="0"/>
                    <w:snapToGrid w:val="0"/>
                    <w:jc w:val="center"/>
                    <w:rPr>
                      <w:rFonts w:hint="eastAsia" w:asciiTheme="majorEastAsia" w:hAnsiTheme="majorEastAsia" w:eastAsiaTheme="majorEastAsia" w:cstheme="majorEastAsia"/>
                      <w:color w:val="auto"/>
                      <w:kern w:val="2"/>
                      <w:sz w:val="21"/>
                      <w:szCs w:val="21"/>
                      <w:highlight w:val="none"/>
                      <w:lang w:val="en-US" w:eastAsia="zh-CN" w:bidi="ar-SA"/>
                    </w:rPr>
                  </w:pPr>
                  <w:r>
                    <w:rPr>
                      <w:rFonts w:hint="eastAsia" w:asciiTheme="majorEastAsia" w:hAnsiTheme="majorEastAsia" w:eastAsiaTheme="majorEastAsia" w:cstheme="majorEastAsia"/>
                      <w:color w:val="auto"/>
                      <w:sz w:val="21"/>
                      <w:szCs w:val="21"/>
                      <w:highlight w:val="none"/>
                      <w:lang w:val="en-US" w:eastAsia="zh-CN"/>
                    </w:rPr>
                    <w:t>N9、N10</w:t>
                  </w:r>
                </w:p>
              </w:tc>
              <w:tc>
                <w:tcPr>
                  <w:tcW w:w="811" w:type="pct"/>
                  <w:noWrap w:val="0"/>
                  <w:vAlign w:val="center"/>
                </w:tcPr>
                <w:p w14:paraId="5415E5E1">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kern w:val="0"/>
                      <w:sz w:val="21"/>
                      <w:szCs w:val="21"/>
                      <w:highlight w:val="none"/>
                      <w:lang w:val="en-US" w:eastAsia="zh-CN" w:bidi="ar"/>
                    </w:rPr>
                    <w:t>防锈</w:t>
                  </w:r>
                  <w:r>
                    <w:rPr>
                      <w:rFonts w:hint="eastAsia" w:asciiTheme="majorEastAsia" w:hAnsiTheme="majorEastAsia" w:eastAsiaTheme="majorEastAsia" w:cstheme="majorEastAsia"/>
                      <w:color w:val="auto"/>
                      <w:kern w:val="0"/>
                      <w:sz w:val="21"/>
                      <w:szCs w:val="21"/>
                      <w:highlight w:val="none"/>
                      <w:lang w:bidi="ar"/>
                    </w:rPr>
                    <w:t>及高压吹水噪声</w:t>
                  </w:r>
                </w:p>
              </w:tc>
              <w:tc>
                <w:tcPr>
                  <w:tcW w:w="847" w:type="pct"/>
                  <w:vMerge w:val="continue"/>
                  <w:noWrap w:val="0"/>
                  <w:vAlign w:val="center"/>
                </w:tcPr>
                <w:p w14:paraId="5B2D4400">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672" w:type="pct"/>
                  <w:gridSpan w:val="2"/>
                  <w:vMerge w:val="continue"/>
                  <w:noWrap w:val="0"/>
                  <w:vAlign w:val="center"/>
                </w:tcPr>
                <w:p w14:paraId="32B956D7">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2D9FEAC3">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4C116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4" w:hRule="atLeast"/>
              </w:trPr>
              <w:tc>
                <w:tcPr>
                  <w:tcW w:w="181" w:type="pct"/>
                  <w:vMerge w:val="continue"/>
                  <w:noWrap w:val="0"/>
                  <w:vAlign w:val="center"/>
                </w:tcPr>
                <w:p w14:paraId="1E1E7DC6">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65D1A163">
                  <w:pPr>
                    <w:adjustRightInd w:val="0"/>
                    <w:snapToGrid w:val="0"/>
                    <w:jc w:val="center"/>
                    <w:rPr>
                      <w:rFonts w:hint="eastAsia" w:asciiTheme="majorEastAsia" w:hAnsiTheme="majorEastAsia" w:eastAsiaTheme="majorEastAsia" w:cstheme="majorEastAsia"/>
                      <w:color w:val="auto"/>
                      <w:kern w:val="2"/>
                      <w:sz w:val="21"/>
                      <w:szCs w:val="21"/>
                      <w:highlight w:val="none"/>
                      <w:lang w:val="en-US" w:eastAsia="zh-CN" w:bidi="ar-SA"/>
                    </w:rPr>
                  </w:pPr>
                  <w:r>
                    <w:rPr>
                      <w:rFonts w:hint="eastAsia" w:asciiTheme="majorEastAsia" w:hAnsiTheme="majorEastAsia" w:eastAsiaTheme="majorEastAsia" w:cstheme="majorEastAsia"/>
                      <w:color w:val="auto"/>
                      <w:sz w:val="21"/>
                      <w:szCs w:val="21"/>
                      <w:highlight w:val="none"/>
                      <w:lang w:val="en-US" w:eastAsia="zh-CN"/>
                    </w:rPr>
                    <w:t>N11</w:t>
                  </w:r>
                </w:p>
              </w:tc>
              <w:tc>
                <w:tcPr>
                  <w:tcW w:w="811" w:type="pct"/>
                  <w:noWrap w:val="0"/>
                  <w:vAlign w:val="center"/>
                </w:tcPr>
                <w:p w14:paraId="018DCC90">
                  <w:pPr>
                    <w:widowControl/>
                    <w:spacing w:line="240" w:lineRule="exact"/>
                    <w:jc w:val="center"/>
                    <w:textAlignment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kern w:val="0"/>
                      <w:sz w:val="21"/>
                      <w:szCs w:val="21"/>
                      <w:highlight w:val="none"/>
                      <w:lang w:val="en-US" w:eastAsia="zh-CN" w:bidi="ar"/>
                    </w:rPr>
                    <w:t>烘干设备噪声</w:t>
                  </w:r>
                </w:p>
              </w:tc>
              <w:tc>
                <w:tcPr>
                  <w:tcW w:w="847" w:type="pct"/>
                  <w:vMerge w:val="continue"/>
                  <w:noWrap w:val="0"/>
                  <w:vAlign w:val="center"/>
                </w:tcPr>
                <w:p w14:paraId="471427E7">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672" w:type="pct"/>
                  <w:gridSpan w:val="2"/>
                  <w:vMerge w:val="continue"/>
                  <w:noWrap w:val="0"/>
                  <w:vAlign w:val="center"/>
                </w:tcPr>
                <w:p w14:paraId="6FB635C8">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6CC36846">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0A4B4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90" w:hRule="atLeast"/>
              </w:trPr>
              <w:tc>
                <w:tcPr>
                  <w:tcW w:w="181" w:type="pct"/>
                  <w:vMerge w:val="restart"/>
                  <w:noWrap w:val="0"/>
                  <w:vAlign w:val="center"/>
                </w:tcPr>
                <w:p w14:paraId="40D42877">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固废</w:t>
                  </w:r>
                </w:p>
              </w:tc>
              <w:tc>
                <w:tcPr>
                  <w:tcW w:w="426" w:type="pct"/>
                  <w:noWrap w:val="0"/>
                  <w:vAlign w:val="center"/>
                </w:tcPr>
                <w:p w14:paraId="35D50394">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S2</w:t>
                  </w:r>
                  <w:r>
                    <w:rPr>
                      <w:rFonts w:hint="eastAsia" w:asciiTheme="majorEastAsia" w:hAnsiTheme="majorEastAsia" w:eastAsiaTheme="majorEastAsia" w:cstheme="majorEastAsia"/>
                      <w:color w:val="auto"/>
                      <w:sz w:val="21"/>
                      <w:szCs w:val="21"/>
                      <w:highlight w:val="none"/>
                      <w:lang w:eastAsia="zh-CN"/>
                    </w:rPr>
                    <w:t>、</w:t>
                  </w:r>
                  <w:r>
                    <w:rPr>
                      <w:rFonts w:hint="eastAsia" w:asciiTheme="majorEastAsia" w:hAnsiTheme="majorEastAsia" w:eastAsiaTheme="majorEastAsia" w:cstheme="majorEastAsia"/>
                      <w:color w:val="auto"/>
                      <w:sz w:val="21"/>
                      <w:szCs w:val="21"/>
                      <w:highlight w:val="none"/>
                      <w:lang w:val="en-US" w:eastAsia="zh-CN"/>
                    </w:rPr>
                    <w:t>S4、S6、S7</w:t>
                  </w:r>
                </w:p>
              </w:tc>
              <w:tc>
                <w:tcPr>
                  <w:tcW w:w="811" w:type="pct"/>
                  <w:noWrap w:val="0"/>
                  <w:vAlign w:val="center"/>
                </w:tcPr>
                <w:p w14:paraId="4C7F278F">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脱脂、水洗、防锈</w:t>
                  </w:r>
                </w:p>
              </w:tc>
              <w:tc>
                <w:tcPr>
                  <w:tcW w:w="847" w:type="pct"/>
                  <w:noWrap w:val="0"/>
                  <w:vAlign w:val="center"/>
                </w:tcPr>
                <w:p w14:paraId="58C5726A">
                  <w:pPr>
                    <w:adjustRightInd w:val="0"/>
                    <w:snapToGrid w:val="0"/>
                    <w:jc w:val="center"/>
                    <w:rPr>
                      <w:rFonts w:hint="eastAsia" w:asciiTheme="majorEastAsia" w:hAnsiTheme="majorEastAsia" w:eastAsiaTheme="majorEastAsia" w:cstheme="majorEastAsia"/>
                      <w:color w:val="auto"/>
                      <w:sz w:val="21"/>
                      <w:szCs w:val="21"/>
                      <w:highlight w:val="none"/>
                      <w:lang w:eastAsia="zh-CN"/>
                    </w:rPr>
                  </w:pPr>
                  <w:r>
                    <w:rPr>
                      <w:rFonts w:hint="eastAsia" w:asciiTheme="majorEastAsia" w:hAnsiTheme="majorEastAsia" w:eastAsiaTheme="majorEastAsia" w:cstheme="majorEastAsia"/>
                      <w:color w:val="auto"/>
                      <w:sz w:val="21"/>
                      <w:szCs w:val="21"/>
                      <w:highlight w:val="none"/>
                    </w:rPr>
                    <w:t>铁屑</w:t>
                  </w:r>
                  <w:r>
                    <w:rPr>
                      <w:rFonts w:hint="eastAsia" w:asciiTheme="majorEastAsia" w:hAnsiTheme="majorEastAsia" w:eastAsiaTheme="majorEastAsia" w:cstheme="majorEastAsia"/>
                      <w:color w:val="auto"/>
                      <w:sz w:val="21"/>
                      <w:szCs w:val="21"/>
                      <w:highlight w:val="none"/>
                      <w:lang w:val="en-US" w:eastAsia="zh-CN"/>
                    </w:rPr>
                    <w:t>废物</w:t>
                  </w:r>
                </w:p>
              </w:tc>
              <w:tc>
                <w:tcPr>
                  <w:tcW w:w="1672" w:type="pct"/>
                  <w:gridSpan w:val="2"/>
                  <w:tcBorders>
                    <w:top w:val="single" w:color="000000" w:sz="4" w:space="0"/>
                    <w:bottom w:val="single" w:color="000000" w:sz="4" w:space="0"/>
                  </w:tcBorders>
                  <w:noWrap w:val="0"/>
                  <w:vAlign w:val="center"/>
                </w:tcPr>
                <w:p w14:paraId="6F556B5A">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回用至中频电炉</w:t>
                  </w:r>
                </w:p>
              </w:tc>
              <w:tc>
                <w:tcPr>
                  <w:tcW w:w="1060" w:type="pct"/>
                  <w:vMerge w:val="restart"/>
                  <w:noWrap w:val="0"/>
                  <w:vAlign w:val="center"/>
                </w:tcPr>
                <w:p w14:paraId="35896602">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《一般工业固体废物贮存和填埋污染控制标准》（GB18599-2020）相关标准要求</w:t>
                  </w:r>
                </w:p>
              </w:tc>
            </w:tr>
            <w:tr w14:paraId="6A1C4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88" w:hRule="atLeast"/>
              </w:trPr>
              <w:tc>
                <w:tcPr>
                  <w:tcW w:w="181" w:type="pct"/>
                  <w:vMerge w:val="continue"/>
                  <w:noWrap w:val="0"/>
                  <w:vAlign w:val="center"/>
                </w:tcPr>
                <w:p w14:paraId="424D8063">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62480313">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S</w:t>
                  </w:r>
                  <w:r>
                    <w:rPr>
                      <w:rFonts w:hint="eastAsia" w:asciiTheme="majorEastAsia" w:hAnsiTheme="majorEastAsia" w:eastAsiaTheme="majorEastAsia" w:cstheme="majorEastAsia"/>
                      <w:color w:val="auto"/>
                      <w:sz w:val="21"/>
                      <w:szCs w:val="21"/>
                      <w:highlight w:val="none"/>
                      <w:lang w:val="en-US" w:eastAsia="zh-CN"/>
                    </w:rPr>
                    <w:t>1</w:t>
                  </w:r>
                </w:p>
              </w:tc>
              <w:tc>
                <w:tcPr>
                  <w:tcW w:w="811" w:type="pct"/>
                  <w:noWrap w:val="0"/>
                  <w:vAlign w:val="center"/>
                </w:tcPr>
                <w:p w14:paraId="0AF2FC5A">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lang w:val="en-US" w:eastAsia="zh-CN"/>
                    </w:rPr>
                    <w:t>喷淋液配置</w:t>
                  </w:r>
                </w:p>
              </w:tc>
              <w:tc>
                <w:tcPr>
                  <w:tcW w:w="847" w:type="pct"/>
                  <w:noWrap w:val="0"/>
                  <w:vAlign w:val="center"/>
                </w:tcPr>
                <w:p w14:paraId="3851EB3B">
                  <w:pPr>
                    <w:adjustRightInd w:val="0"/>
                    <w:snapToGrid w:val="0"/>
                    <w:jc w:val="center"/>
                    <w:rPr>
                      <w:rFonts w:hint="default"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废重油除垢剂、废防锈剂</w:t>
                  </w:r>
                  <w:r>
                    <w:rPr>
                      <w:rFonts w:hint="eastAsia" w:asciiTheme="majorEastAsia" w:hAnsiTheme="majorEastAsia" w:eastAsiaTheme="majorEastAsia" w:cstheme="majorEastAsia"/>
                      <w:color w:val="auto"/>
                      <w:sz w:val="21"/>
                      <w:szCs w:val="21"/>
                      <w:highlight w:val="none"/>
                      <w:lang w:val="en-US" w:eastAsia="zh-CN"/>
                    </w:rPr>
                    <w:t>外包装桶（未沾染）</w:t>
                  </w:r>
                </w:p>
              </w:tc>
              <w:tc>
                <w:tcPr>
                  <w:tcW w:w="1672" w:type="pct"/>
                  <w:gridSpan w:val="2"/>
                  <w:tcBorders>
                    <w:top w:val="single" w:color="000000" w:sz="4" w:space="0"/>
                    <w:bottom w:val="single" w:color="000000" w:sz="4" w:space="0"/>
                  </w:tcBorders>
                  <w:noWrap w:val="0"/>
                  <w:vAlign w:val="center"/>
                </w:tcPr>
                <w:p w14:paraId="3A7F9A30">
                  <w:pPr>
                    <w:adjustRightInd w:val="0"/>
                    <w:snapToGrid w:val="0"/>
                    <w:jc w:val="center"/>
                    <w:rPr>
                      <w:rFonts w:hint="default"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lang w:val="en-US" w:eastAsia="zh-CN"/>
                    </w:rPr>
                    <w:t>收集后外售</w:t>
                  </w:r>
                </w:p>
              </w:tc>
              <w:tc>
                <w:tcPr>
                  <w:tcW w:w="1060" w:type="pct"/>
                  <w:vMerge w:val="continue"/>
                  <w:noWrap w:val="0"/>
                  <w:vAlign w:val="center"/>
                </w:tcPr>
                <w:p w14:paraId="3CB3E9CA">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010D3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4" w:hRule="atLeast"/>
              </w:trPr>
              <w:tc>
                <w:tcPr>
                  <w:tcW w:w="181" w:type="pct"/>
                  <w:vMerge w:val="continue"/>
                  <w:noWrap w:val="0"/>
                  <w:vAlign w:val="center"/>
                </w:tcPr>
                <w:p w14:paraId="17833B98">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178977D2">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S3</w:t>
                  </w:r>
                  <w:r>
                    <w:rPr>
                      <w:rFonts w:hint="eastAsia" w:asciiTheme="majorEastAsia" w:hAnsiTheme="majorEastAsia" w:eastAsiaTheme="majorEastAsia" w:cstheme="majorEastAsia"/>
                      <w:color w:val="auto"/>
                      <w:sz w:val="21"/>
                      <w:szCs w:val="21"/>
                      <w:highlight w:val="none"/>
                      <w:lang w:eastAsia="zh-CN"/>
                    </w:rPr>
                    <w:t>、</w:t>
                  </w:r>
                  <w:r>
                    <w:rPr>
                      <w:rFonts w:hint="eastAsia" w:asciiTheme="majorEastAsia" w:hAnsiTheme="majorEastAsia" w:eastAsiaTheme="majorEastAsia" w:cstheme="majorEastAsia"/>
                      <w:color w:val="auto"/>
                      <w:sz w:val="21"/>
                      <w:szCs w:val="21"/>
                      <w:highlight w:val="none"/>
                      <w:lang w:val="en-US" w:eastAsia="zh-CN"/>
                    </w:rPr>
                    <w:t>S5</w:t>
                  </w:r>
                </w:p>
              </w:tc>
              <w:tc>
                <w:tcPr>
                  <w:tcW w:w="811" w:type="pct"/>
                  <w:noWrap w:val="0"/>
                  <w:vAlign w:val="center"/>
                </w:tcPr>
                <w:p w14:paraId="001F9F8E">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脱脂</w:t>
                  </w:r>
                </w:p>
              </w:tc>
              <w:tc>
                <w:tcPr>
                  <w:tcW w:w="847" w:type="pct"/>
                  <w:tcBorders>
                    <w:top w:val="single" w:color="000000" w:sz="4" w:space="0"/>
                    <w:bottom w:val="single" w:color="000000" w:sz="4" w:space="0"/>
                  </w:tcBorders>
                  <w:noWrap w:val="0"/>
                  <w:vAlign w:val="center"/>
                </w:tcPr>
                <w:p w14:paraId="61510E38">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石油类</w:t>
                  </w:r>
                  <w:r>
                    <w:rPr>
                      <w:rFonts w:hint="eastAsia" w:asciiTheme="majorEastAsia" w:hAnsiTheme="majorEastAsia" w:eastAsiaTheme="majorEastAsia" w:cstheme="majorEastAsia"/>
                      <w:color w:val="auto"/>
                      <w:sz w:val="21"/>
                      <w:szCs w:val="21"/>
                      <w:highlight w:val="none"/>
                      <w:lang w:val="en-US" w:eastAsia="zh-CN"/>
                    </w:rPr>
                    <w:t>废物</w:t>
                  </w:r>
                </w:p>
              </w:tc>
              <w:tc>
                <w:tcPr>
                  <w:tcW w:w="1672" w:type="pct"/>
                  <w:gridSpan w:val="2"/>
                  <w:vMerge w:val="restart"/>
                  <w:tcBorders>
                    <w:top w:val="single" w:color="000000" w:sz="4" w:space="0"/>
                  </w:tcBorders>
                  <w:noWrap w:val="0"/>
                  <w:vAlign w:val="center"/>
                </w:tcPr>
                <w:p w14:paraId="67866940">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暂存危险废物</w:t>
                  </w:r>
                  <w:r>
                    <w:rPr>
                      <w:rFonts w:hint="eastAsia" w:asciiTheme="majorEastAsia" w:hAnsiTheme="majorEastAsia" w:eastAsiaTheme="majorEastAsia" w:cstheme="majorEastAsia"/>
                      <w:color w:val="auto"/>
                      <w:sz w:val="21"/>
                      <w:szCs w:val="21"/>
                      <w:highlight w:val="none"/>
                      <w:lang w:eastAsia="zh-CN"/>
                    </w:rPr>
                    <w:t>贮存点</w:t>
                  </w:r>
                  <w:r>
                    <w:rPr>
                      <w:rFonts w:hint="eastAsia" w:asciiTheme="majorEastAsia" w:hAnsiTheme="majorEastAsia" w:eastAsiaTheme="majorEastAsia" w:cstheme="majorEastAsia"/>
                      <w:color w:val="auto"/>
                      <w:sz w:val="21"/>
                      <w:szCs w:val="21"/>
                      <w:highlight w:val="none"/>
                    </w:rPr>
                    <w:t>，交资质单位处置</w:t>
                  </w:r>
                </w:p>
                <w:p w14:paraId="109C6B63">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restart"/>
                  <w:tcBorders>
                    <w:top w:val="single" w:color="000000" w:sz="4" w:space="0"/>
                  </w:tcBorders>
                  <w:noWrap w:val="0"/>
                  <w:vAlign w:val="center"/>
                </w:tcPr>
                <w:p w14:paraId="13CE40F9">
                  <w:pPr>
                    <w:adjustRightInd w:val="0"/>
                    <w:snapToGrid w:val="0"/>
                    <w:jc w:val="center"/>
                    <w:rPr>
                      <w:rFonts w:hint="eastAsia" w:asciiTheme="majorEastAsia" w:hAnsiTheme="majorEastAsia" w:eastAsiaTheme="majorEastAsia" w:cstheme="majorEastAsia"/>
                      <w:color w:val="auto"/>
                      <w:sz w:val="21"/>
                      <w:szCs w:val="21"/>
                      <w:highlight w:val="none"/>
                    </w:rPr>
                  </w:pPr>
                  <w:r>
                    <w:rPr>
                      <w:rFonts w:hint="eastAsia" w:asciiTheme="majorEastAsia" w:hAnsiTheme="majorEastAsia" w:eastAsiaTheme="majorEastAsia" w:cstheme="majorEastAsia"/>
                      <w:color w:val="auto"/>
                      <w:sz w:val="21"/>
                      <w:szCs w:val="21"/>
                      <w:highlight w:val="none"/>
                    </w:rPr>
                    <w:t>《危险废物贮存污染控制标准》(GB18597-2023)</w:t>
                  </w:r>
                </w:p>
              </w:tc>
            </w:tr>
            <w:tr w14:paraId="7D39A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8" w:hRule="atLeast"/>
              </w:trPr>
              <w:tc>
                <w:tcPr>
                  <w:tcW w:w="181" w:type="pct"/>
                  <w:vMerge w:val="continue"/>
                  <w:noWrap w:val="0"/>
                  <w:vAlign w:val="center"/>
                </w:tcPr>
                <w:p w14:paraId="74042012">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3F52221C">
                  <w:pPr>
                    <w:adjustRightInd w:val="0"/>
                    <w:snapToGrid w:val="0"/>
                    <w:jc w:val="center"/>
                    <w:rPr>
                      <w:rFonts w:hint="eastAsia" w:asciiTheme="majorEastAsia" w:hAnsiTheme="majorEastAsia" w:eastAsiaTheme="majorEastAsia" w:cstheme="majorEastAsia"/>
                      <w:color w:val="auto"/>
                      <w:sz w:val="21"/>
                      <w:szCs w:val="21"/>
                      <w:highlight w:val="none"/>
                      <w:lang w:eastAsia="zh-CN"/>
                    </w:rPr>
                  </w:pPr>
                  <w:r>
                    <w:rPr>
                      <w:rFonts w:hint="eastAsia" w:asciiTheme="majorEastAsia" w:hAnsiTheme="majorEastAsia" w:eastAsiaTheme="majorEastAsia" w:cstheme="majorEastAsia"/>
                      <w:color w:val="auto"/>
                      <w:sz w:val="21"/>
                      <w:szCs w:val="21"/>
                      <w:highlight w:val="none"/>
                    </w:rPr>
                    <w:t>S</w:t>
                  </w:r>
                  <w:r>
                    <w:rPr>
                      <w:rFonts w:hint="eastAsia" w:asciiTheme="majorEastAsia" w:hAnsiTheme="majorEastAsia" w:eastAsiaTheme="majorEastAsia" w:cstheme="majorEastAsia"/>
                      <w:color w:val="auto"/>
                      <w:sz w:val="21"/>
                      <w:szCs w:val="21"/>
                      <w:highlight w:val="none"/>
                      <w:lang w:val="en-US" w:eastAsia="zh-CN"/>
                    </w:rPr>
                    <w:t>1</w:t>
                  </w:r>
                </w:p>
              </w:tc>
              <w:tc>
                <w:tcPr>
                  <w:tcW w:w="811" w:type="pct"/>
                  <w:noWrap w:val="0"/>
                  <w:vAlign w:val="center"/>
                </w:tcPr>
                <w:p w14:paraId="1FF8F681">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lang w:val="en-US" w:eastAsia="zh-CN"/>
                    </w:rPr>
                    <w:t>喷淋液配置</w:t>
                  </w:r>
                </w:p>
              </w:tc>
              <w:tc>
                <w:tcPr>
                  <w:tcW w:w="847" w:type="pct"/>
                  <w:tcBorders>
                    <w:top w:val="single" w:color="000000" w:sz="4" w:space="0"/>
                    <w:bottom w:val="single" w:color="000000" w:sz="4" w:space="0"/>
                  </w:tcBorders>
                  <w:noWrap w:val="0"/>
                  <w:vAlign w:val="center"/>
                </w:tcPr>
                <w:p w14:paraId="02BD26D2">
                  <w:pPr>
                    <w:adjustRightInd w:val="0"/>
                    <w:snapToGrid w:val="0"/>
                    <w:jc w:val="center"/>
                    <w:rPr>
                      <w:rFonts w:hint="default"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rPr>
                    <w:t>废重油除垢剂、废防锈剂</w:t>
                  </w:r>
                  <w:r>
                    <w:rPr>
                      <w:rFonts w:hint="eastAsia" w:asciiTheme="majorEastAsia" w:hAnsiTheme="majorEastAsia" w:eastAsiaTheme="majorEastAsia" w:cstheme="majorEastAsia"/>
                      <w:color w:val="auto"/>
                      <w:sz w:val="21"/>
                      <w:szCs w:val="21"/>
                      <w:highlight w:val="none"/>
                      <w:lang w:val="en-US" w:eastAsia="zh-CN"/>
                    </w:rPr>
                    <w:t>塑料内衬袋</w:t>
                  </w:r>
                </w:p>
              </w:tc>
              <w:tc>
                <w:tcPr>
                  <w:tcW w:w="1672" w:type="pct"/>
                  <w:gridSpan w:val="2"/>
                  <w:vMerge w:val="continue"/>
                  <w:noWrap w:val="0"/>
                  <w:vAlign w:val="center"/>
                </w:tcPr>
                <w:p w14:paraId="5E804F7E">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noWrap w:val="0"/>
                  <w:vAlign w:val="center"/>
                </w:tcPr>
                <w:p w14:paraId="173BCA33">
                  <w:pPr>
                    <w:adjustRightInd w:val="0"/>
                    <w:snapToGrid w:val="0"/>
                    <w:jc w:val="center"/>
                    <w:rPr>
                      <w:rFonts w:hint="eastAsia" w:asciiTheme="majorEastAsia" w:hAnsiTheme="majorEastAsia" w:eastAsiaTheme="majorEastAsia" w:cstheme="majorEastAsia"/>
                      <w:color w:val="auto"/>
                      <w:sz w:val="21"/>
                      <w:szCs w:val="21"/>
                      <w:highlight w:val="none"/>
                    </w:rPr>
                  </w:pPr>
                </w:p>
              </w:tc>
            </w:tr>
            <w:tr w14:paraId="633E0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3" w:hRule="atLeast"/>
              </w:trPr>
              <w:tc>
                <w:tcPr>
                  <w:tcW w:w="181" w:type="pct"/>
                  <w:noWrap w:val="0"/>
                  <w:vAlign w:val="center"/>
                </w:tcPr>
                <w:p w14:paraId="0EF52A32">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426" w:type="pct"/>
                  <w:noWrap w:val="0"/>
                  <w:vAlign w:val="center"/>
                </w:tcPr>
                <w:p w14:paraId="4DD0958D">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lang w:val="en-US" w:eastAsia="zh-CN"/>
                    </w:rPr>
                    <w:t>S8</w:t>
                  </w:r>
                </w:p>
              </w:tc>
              <w:tc>
                <w:tcPr>
                  <w:tcW w:w="811" w:type="pct"/>
                  <w:noWrap w:val="0"/>
                  <w:vAlign w:val="center"/>
                </w:tcPr>
                <w:p w14:paraId="77797C96">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lang w:val="en-US" w:eastAsia="zh-CN"/>
                    </w:rPr>
                    <w:t>排水时絮凝沉淀</w:t>
                  </w:r>
                </w:p>
              </w:tc>
              <w:tc>
                <w:tcPr>
                  <w:tcW w:w="847" w:type="pct"/>
                  <w:tcBorders>
                    <w:top w:val="single" w:color="000000" w:sz="4" w:space="0"/>
                    <w:bottom w:val="single" w:color="000000" w:sz="4" w:space="0"/>
                  </w:tcBorders>
                  <w:noWrap w:val="0"/>
                  <w:vAlign w:val="center"/>
                </w:tcPr>
                <w:p w14:paraId="16F37FE5">
                  <w:pPr>
                    <w:adjustRightInd w:val="0"/>
                    <w:snapToGrid w:val="0"/>
                    <w:jc w:val="center"/>
                    <w:rPr>
                      <w:rFonts w:hint="eastAsia" w:asciiTheme="majorEastAsia" w:hAnsiTheme="majorEastAsia" w:eastAsiaTheme="majorEastAsia" w:cstheme="majorEastAsia"/>
                      <w:color w:val="auto"/>
                      <w:sz w:val="21"/>
                      <w:szCs w:val="21"/>
                      <w:highlight w:val="none"/>
                      <w:lang w:val="en-US" w:eastAsia="zh-CN"/>
                    </w:rPr>
                  </w:pPr>
                  <w:r>
                    <w:rPr>
                      <w:rFonts w:hint="eastAsia" w:asciiTheme="majorEastAsia" w:hAnsiTheme="majorEastAsia" w:eastAsiaTheme="majorEastAsia" w:cstheme="majorEastAsia"/>
                      <w:color w:val="auto"/>
                      <w:sz w:val="21"/>
                      <w:szCs w:val="21"/>
                      <w:highlight w:val="none"/>
                      <w:lang w:val="en-US" w:eastAsia="zh-CN"/>
                    </w:rPr>
                    <w:t>絮凝沉淀物</w:t>
                  </w:r>
                </w:p>
              </w:tc>
              <w:tc>
                <w:tcPr>
                  <w:tcW w:w="1672" w:type="pct"/>
                  <w:gridSpan w:val="2"/>
                  <w:vMerge w:val="continue"/>
                  <w:tcBorders>
                    <w:bottom w:val="single" w:color="000000" w:sz="4" w:space="0"/>
                  </w:tcBorders>
                  <w:noWrap w:val="0"/>
                  <w:vAlign w:val="center"/>
                </w:tcPr>
                <w:p w14:paraId="0430DCA4">
                  <w:pPr>
                    <w:adjustRightInd w:val="0"/>
                    <w:snapToGrid w:val="0"/>
                    <w:jc w:val="center"/>
                    <w:rPr>
                      <w:rFonts w:hint="eastAsia" w:asciiTheme="majorEastAsia" w:hAnsiTheme="majorEastAsia" w:eastAsiaTheme="majorEastAsia" w:cstheme="majorEastAsia"/>
                      <w:color w:val="auto"/>
                      <w:sz w:val="21"/>
                      <w:szCs w:val="21"/>
                      <w:highlight w:val="none"/>
                    </w:rPr>
                  </w:pPr>
                </w:p>
              </w:tc>
              <w:tc>
                <w:tcPr>
                  <w:tcW w:w="1060" w:type="pct"/>
                  <w:vMerge w:val="continue"/>
                  <w:tcBorders>
                    <w:bottom w:val="single" w:color="000000" w:sz="4" w:space="0"/>
                  </w:tcBorders>
                  <w:noWrap w:val="0"/>
                  <w:vAlign w:val="center"/>
                </w:tcPr>
                <w:p w14:paraId="43E57713">
                  <w:pPr>
                    <w:adjustRightInd w:val="0"/>
                    <w:snapToGrid w:val="0"/>
                    <w:jc w:val="center"/>
                    <w:rPr>
                      <w:rFonts w:hint="eastAsia" w:asciiTheme="majorEastAsia" w:hAnsiTheme="majorEastAsia" w:eastAsiaTheme="majorEastAsia" w:cstheme="majorEastAsia"/>
                      <w:color w:val="auto"/>
                      <w:sz w:val="21"/>
                      <w:szCs w:val="21"/>
                      <w:highlight w:val="none"/>
                    </w:rPr>
                  </w:pPr>
                </w:p>
              </w:tc>
            </w:tr>
          </w:tbl>
          <w:p w14:paraId="42E107FE">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default"/>
                <w:color w:val="auto"/>
                <w:sz w:val="24"/>
                <w:szCs w:val="24"/>
                <w:highlight w:val="none"/>
                <w:lang w:val="en-US" w:eastAsia="zh-CN"/>
              </w:rPr>
            </w:pPr>
          </w:p>
        </w:tc>
      </w:tr>
      <w:tr w14:paraId="141A5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538" w:type="dxa"/>
            <w:noWrap w:val="0"/>
            <w:vAlign w:val="center"/>
          </w:tcPr>
          <w:p w14:paraId="6D817D99">
            <w:pPr>
              <w:pStyle w:val="30"/>
              <w:adjustRightInd w:val="0"/>
              <w:snapToGrid w:val="0"/>
              <w:spacing w:before="0" w:beforeAutospacing="0" w:after="0" w:afterAutospacing="0"/>
              <w:jc w:val="center"/>
              <w:rPr>
                <w:rFonts w:ascii="Times New Roman" w:hAnsi="Times New Roman"/>
                <w:color w:val="auto"/>
                <w:szCs w:val="24"/>
                <w:highlight w:val="none"/>
              </w:rPr>
            </w:pPr>
            <w:r>
              <w:rPr>
                <w:rFonts w:ascii="Times New Roman" w:hAnsi="Times New Roman"/>
                <w:bCs/>
                <w:color w:val="auto"/>
                <w:kern w:val="2"/>
                <w:szCs w:val="24"/>
                <w:highlight w:val="none"/>
              </w:rPr>
              <w:t>与项目有关的原有环境污染问题</w:t>
            </w:r>
          </w:p>
        </w:tc>
        <w:tc>
          <w:tcPr>
            <w:tcW w:w="8446" w:type="dxa"/>
            <w:noWrap w:val="0"/>
            <w:vAlign w:val="top"/>
          </w:tcPr>
          <w:p w14:paraId="137C6346">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200" w:right="0" w:rightChars="0"/>
              <w:jc w:val="left"/>
              <w:textAlignment w:val="auto"/>
              <w:rPr>
                <w:rFonts w:hint="eastAsia"/>
                <w:color w:val="auto"/>
                <w:sz w:val="24"/>
                <w:szCs w:val="24"/>
                <w:highlight w:val="none"/>
                <w:lang w:val="en-US" w:eastAsia="zh-CN"/>
              </w:rPr>
            </w:pPr>
          </w:p>
          <w:p w14:paraId="0E754EF5">
            <w:pPr>
              <w:keepNext w:val="0"/>
              <w:keepLines w:val="0"/>
              <w:pageBreakBefore w:val="0"/>
              <w:widowControl/>
              <w:numPr>
                <w:ilvl w:val="0"/>
                <w:numId w:val="10"/>
              </w:numPr>
              <w:kinsoku/>
              <w:wordWrap/>
              <w:overflowPunct/>
              <w:topLinePunct w:val="0"/>
              <w:autoSpaceDE/>
              <w:autoSpaceDN/>
              <w:bidi w:val="0"/>
              <w:adjustRightInd w:val="0"/>
              <w:snapToGrid w:val="0"/>
              <w:spacing w:line="360" w:lineRule="auto"/>
              <w:ind w:left="0" w:leftChars="0" w:right="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公司现有工程环保手续情况</w:t>
            </w:r>
          </w:p>
          <w:p w14:paraId="3002EE24">
            <w:pPr>
              <w:keepNext w:val="0"/>
              <w:keepLines w:val="0"/>
              <w:pageBreakBefore w:val="0"/>
              <w:widowControl w:val="0"/>
              <w:tabs>
                <w:tab w:val="left" w:pos="8647"/>
              </w:tabs>
              <w:kinsoku/>
              <w:wordWrap/>
              <w:overflowPunct/>
              <w:topLinePunct w:val="0"/>
              <w:autoSpaceDE w:val="0"/>
              <w:autoSpaceDN w:val="0"/>
              <w:bidi w:val="0"/>
              <w:adjustRightInd/>
              <w:snapToGrid/>
              <w:spacing w:line="360" w:lineRule="auto"/>
              <w:ind w:left="0" w:right="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公司现有工程“年产5400吨汽车制动鼓、制动盘精密铸造项目”于2022年设立，并委托第三方机构编制《年产5400吨汽车制动鼓、制动盘精密铸造项目环境影响报告表》，该报告表于2022年08月24日获得行唐县行政审批局批复(文号：行审环表[2022]28号)；2023年2月该项目建设完成并取得《排污许可证》，证书编号：911301256610601239001X，2023年4月16日该项目进行了竣工环境保护自主验收。</w:t>
            </w:r>
          </w:p>
          <w:p w14:paraId="08547EDC">
            <w:pPr>
              <w:keepNext w:val="0"/>
              <w:keepLines w:val="0"/>
              <w:pageBreakBefore w:val="0"/>
              <w:widowControl w:val="0"/>
              <w:tabs>
                <w:tab w:val="left" w:pos="8647"/>
              </w:tabs>
              <w:kinsoku/>
              <w:wordWrap/>
              <w:overflowPunct/>
              <w:topLinePunct w:val="0"/>
              <w:autoSpaceDE w:val="0"/>
              <w:autoSpaceDN w:val="0"/>
              <w:bidi w:val="0"/>
              <w:adjustRightInd/>
              <w:snapToGrid/>
              <w:spacing w:line="360" w:lineRule="auto"/>
              <w:ind w:left="0" w:right="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年产5400吨汽车制动鼓、制动盘精密铸造项目中机加工粗车工序</w:t>
            </w:r>
            <w:r>
              <w:rPr>
                <w:rFonts w:hint="default"/>
                <w:color w:val="auto"/>
                <w:sz w:val="24"/>
                <w:szCs w:val="24"/>
                <w:highlight w:val="none"/>
                <w:lang w:val="en-US" w:eastAsia="zh-CN"/>
              </w:rPr>
              <w:t>废气无组织排放，实际建设将</w:t>
            </w:r>
            <w:r>
              <w:rPr>
                <w:rFonts w:hint="eastAsia"/>
                <w:color w:val="auto"/>
                <w:sz w:val="24"/>
                <w:szCs w:val="24"/>
                <w:highlight w:val="none"/>
                <w:lang w:val="en-US" w:eastAsia="zh-CN"/>
              </w:rPr>
              <w:t>粗车工序</w:t>
            </w:r>
            <w:r>
              <w:rPr>
                <w:rFonts w:hint="default"/>
                <w:color w:val="auto"/>
                <w:sz w:val="24"/>
                <w:szCs w:val="24"/>
                <w:highlight w:val="none"/>
                <w:lang w:val="en-US" w:eastAsia="zh-CN"/>
              </w:rPr>
              <w:t>废气</w:t>
            </w:r>
            <w:r>
              <w:rPr>
                <w:rFonts w:hint="eastAsia"/>
                <w:color w:val="auto"/>
                <w:sz w:val="24"/>
                <w:szCs w:val="24"/>
                <w:highlight w:val="none"/>
                <w:lang w:val="en-US" w:eastAsia="zh-CN"/>
              </w:rPr>
              <w:t>收集引入新增“</w:t>
            </w:r>
            <w:r>
              <w:rPr>
                <w:rFonts w:hint="default"/>
                <w:color w:val="auto"/>
                <w:sz w:val="24"/>
                <w:szCs w:val="24"/>
                <w:highlight w:val="none"/>
                <w:lang w:val="en-US" w:eastAsia="zh-CN"/>
              </w:rPr>
              <w:t>布袋除尘器</w:t>
            </w:r>
            <w:r>
              <w:rPr>
                <w:rFonts w:hint="eastAsia"/>
                <w:color w:val="auto"/>
                <w:sz w:val="24"/>
                <w:szCs w:val="24"/>
                <w:highlight w:val="none"/>
                <w:lang w:val="en-US" w:eastAsia="zh-CN"/>
              </w:rPr>
              <w:t>TA008”处理后由</w:t>
            </w:r>
            <w:r>
              <w:rPr>
                <w:rFonts w:hint="default"/>
                <w:color w:val="auto"/>
                <w:sz w:val="24"/>
                <w:szCs w:val="24"/>
                <w:highlight w:val="none"/>
                <w:lang w:val="en-US" w:eastAsia="zh-CN"/>
              </w:rPr>
              <w:t>18m</w:t>
            </w:r>
            <w:r>
              <w:rPr>
                <w:rFonts w:hint="eastAsia"/>
                <w:color w:val="auto"/>
                <w:sz w:val="24"/>
                <w:szCs w:val="24"/>
                <w:highlight w:val="none"/>
                <w:lang w:val="en-US" w:eastAsia="zh-CN"/>
              </w:rPr>
              <w:t>高</w:t>
            </w:r>
            <w:r>
              <w:rPr>
                <w:rFonts w:hint="default"/>
                <w:color w:val="auto"/>
                <w:sz w:val="24"/>
                <w:szCs w:val="24"/>
                <w:highlight w:val="none"/>
                <w:lang w:val="en-US" w:eastAsia="zh-CN"/>
              </w:rPr>
              <w:t>排气筒</w:t>
            </w:r>
            <w:r>
              <w:rPr>
                <w:rFonts w:hint="eastAsia"/>
                <w:color w:val="auto"/>
                <w:sz w:val="24"/>
                <w:szCs w:val="24"/>
                <w:highlight w:val="none"/>
                <w:lang w:val="en-US" w:eastAsia="zh-CN"/>
              </w:rPr>
              <w:t>DA005</w:t>
            </w:r>
            <w:r>
              <w:rPr>
                <w:rFonts w:hint="default"/>
                <w:color w:val="auto"/>
                <w:sz w:val="24"/>
                <w:szCs w:val="24"/>
                <w:highlight w:val="none"/>
                <w:lang w:val="en-US" w:eastAsia="zh-CN"/>
              </w:rPr>
              <w:t>排放</w:t>
            </w:r>
            <w:r>
              <w:rPr>
                <w:rFonts w:hint="eastAsia"/>
                <w:color w:val="auto"/>
                <w:sz w:val="24"/>
                <w:szCs w:val="24"/>
                <w:highlight w:val="none"/>
                <w:lang w:val="en-US" w:eastAsia="zh-CN"/>
              </w:rPr>
              <w:t>。企业填报《废气治理设施提升改造项目环境影响评价登记表》并完成备案，备案号：202213012500000145。</w:t>
            </w:r>
          </w:p>
          <w:p w14:paraId="11D1BBE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现有工程“年产5400吨汽车制动鼓、制动盘喷漆线技改项目”2023年8月委托第三方机构编制环境影响报告表，该报告表于2023年9月27日取得行唐县行政审批局批复(文号：行审环表[2023]16号)。该项目建设完成企业重新申领了排污许可证，于2024年4月13日对此项目进行了竣工环境保护自主验收。</w:t>
            </w:r>
          </w:p>
          <w:p w14:paraId="6852E8D5">
            <w:pPr>
              <w:keepNext w:val="0"/>
              <w:keepLines w:val="0"/>
              <w:pageBreakBefore w:val="0"/>
              <w:widowControl/>
              <w:numPr>
                <w:ilvl w:val="0"/>
                <w:numId w:val="10"/>
              </w:numPr>
              <w:kinsoku/>
              <w:wordWrap/>
              <w:overflowPunct/>
              <w:topLinePunct w:val="0"/>
              <w:autoSpaceDE/>
              <w:autoSpaceDN/>
              <w:bidi w:val="0"/>
              <w:adjustRightInd w:val="0"/>
              <w:snapToGrid w:val="0"/>
              <w:spacing w:line="360" w:lineRule="auto"/>
              <w:ind w:left="0" w:leftChars="0" w:right="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现有工程实际排放总量</w:t>
            </w:r>
          </w:p>
          <w:p w14:paraId="1797909D">
            <w:pPr>
              <w:pStyle w:val="13"/>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left="0" w:right="0" w:rightChars="0" w:firstLine="480" w:firstLineChars="200"/>
              <w:textAlignment w:val="auto"/>
              <w:rPr>
                <w:rFonts w:hint="eastAsia"/>
                <w:color w:val="auto"/>
                <w:sz w:val="24"/>
                <w:szCs w:val="24"/>
                <w:highlight w:val="none"/>
                <w:lang w:val="en-US" w:eastAsia="zh-CN"/>
              </w:rPr>
            </w:pPr>
            <w:r>
              <w:rPr>
                <w:rFonts w:hint="eastAsia"/>
                <w:color w:val="auto"/>
                <w:sz w:val="24"/>
                <w:szCs w:val="24"/>
                <w:highlight w:val="none"/>
                <w:lang w:val="en-US" w:eastAsia="zh-CN"/>
              </w:rPr>
              <w:t>依据河北华准检测技术有限公司2025年10月09日出具《行唐县龙鑫机械制造有限公司自行监测报告》（HZJC-2025-07063）中相关数据，现有工程实际排放量见下表。</w:t>
            </w:r>
          </w:p>
          <w:p w14:paraId="7ADC5D93">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center"/>
              <w:textAlignment w:val="auto"/>
              <w:rPr>
                <w:rFonts w:hint="default"/>
                <w:b/>
                <w:bCs/>
                <w:color w:val="0D0D0D" w:themeColor="text1" w:themeTint="F2"/>
                <w:sz w:val="24"/>
                <w:szCs w:val="24"/>
                <w:highlight w:val="none"/>
                <w14:textFill>
                  <w14:solidFill>
                    <w14:schemeClr w14:val="tx1">
                      <w14:lumMod w14:val="95000"/>
                      <w14:lumOff w14:val="5000"/>
                    </w14:schemeClr>
                  </w14:solidFill>
                </w14:textFill>
              </w:rPr>
            </w:pPr>
            <w:r>
              <w:rPr>
                <w:rFonts w:hint="default"/>
                <w:b/>
                <w:bCs/>
                <w:color w:val="0D0D0D" w:themeColor="text1" w:themeTint="F2"/>
                <w:sz w:val="24"/>
                <w:szCs w:val="24"/>
                <w:highlight w:val="none"/>
                <w14:textFill>
                  <w14:solidFill>
                    <w14:schemeClr w14:val="tx1">
                      <w14:lumMod w14:val="95000"/>
                      <w14:lumOff w14:val="5000"/>
                    </w14:schemeClr>
                  </w14:solidFill>
                </w14:textFill>
              </w:rPr>
              <w:t>表</w:t>
            </w:r>
            <w:r>
              <w:rPr>
                <w:rFonts w:hint="eastAsia"/>
                <w:b/>
                <w:bCs/>
                <w:color w:val="0D0D0D" w:themeColor="text1" w:themeTint="F2"/>
                <w:sz w:val="24"/>
                <w:szCs w:val="24"/>
                <w:highlight w:val="none"/>
                <w:lang w:val="en-US" w:eastAsia="zh-CN"/>
                <w14:textFill>
                  <w14:solidFill>
                    <w14:schemeClr w14:val="tx1">
                      <w14:lumMod w14:val="95000"/>
                      <w14:lumOff w14:val="5000"/>
                    </w14:schemeClr>
                  </w14:solidFill>
                </w14:textFill>
              </w:rPr>
              <w:t>2-14</w:t>
            </w:r>
            <w:r>
              <w:rPr>
                <w:rFonts w:hint="default"/>
                <w:b/>
                <w:bCs/>
                <w:color w:val="0D0D0D" w:themeColor="text1" w:themeTint="F2"/>
                <w:sz w:val="24"/>
                <w:szCs w:val="24"/>
                <w:highlight w:val="none"/>
                <w14:textFill>
                  <w14:solidFill>
                    <w14:schemeClr w14:val="tx1">
                      <w14:lumMod w14:val="95000"/>
                      <w14:lumOff w14:val="5000"/>
                    </w14:schemeClr>
                  </w14:solidFill>
                </w14:textFill>
              </w:rPr>
              <w:t xml:space="preserve">  </w:t>
            </w:r>
            <w:r>
              <w:rPr>
                <w:rFonts w:hint="eastAsia"/>
                <w:b/>
                <w:bCs/>
                <w:color w:val="0D0D0D" w:themeColor="text1" w:themeTint="F2"/>
                <w:sz w:val="24"/>
                <w:szCs w:val="24"/>
                <w:highlight w:val="none"/>
                <w:lang w:val="en-US" w:eastAsia="zh-CN"/>
                <w14:textFill>
                  <w14:solidFill>
                    <w14:schemeClr w14:val="tx1">
                      <w14:lumMod w14:val="95000"/>
                      <w14:lumOff w14:val="5000"/>
                    </w14:schemeClr>
                  </w14:solidFill>
                </w14:textFill>
              </w:rPr>
              <w:t>现有</w:t>
            </w:r>
            <w:r>
              <w:rPr>
                <w:rFonts w:hint="default"/>
                <w:b/>
                <w:bCs/>
                <w:color w:val="0D0D0D" w:themeColor="text1" w:themeTint="F2"/>
                <w:sz w:val="24"/>
                <w:szCs w:val="24"/>
                <w:highlight w:val="none"/>
                <w14:textFill>
                  <w14:solidFill>
                    <w14:schemeClr w14:val="tx1">
                      <w14:lumMod w14:val="95000"/>
                      <w14:lumOff w14:val="5000"/>
                    </w14:schemeClr>
                  </w14:solidFill>
                </w14:textFill>
              </w:rPr>
              <w:t>项目</w:t>
            </w:r>
            <w:r>
              <w:rPr>
                <w:rFonts w:hint="eastAsia"/>
                <w:b/>
                <w:bCs/>
                <w:color w:val="0D0D0D" w:themeColor="text1" w:themeTint="F2"/>
                <w:sz w:val="24"/>
                <w:szCs w:val="24"/>
                <w:highlight w:val="none"/>
                <w:lang w:val="en-US" w:eastAsia="zh-CN"/>
                <w14:textFill>
                  <w14:solidFill>
                    <w14:schemeClr w14:val="tx1">
                      <w14:lumMod w14:val="95000"/>
                      <w14:lumOff w14:val="5000"/>
                    </w14:schemeClr>
                  </w14:solidFill>
                </w14:textFill>
              </w:rPr>
              <w:t>废气</w:t>
            </w:r>
            <w:r>
              <w:rPr>
                <w:rFonts w:hint="default"/>
                <w:b/>
                <w:bCs/>
                <w:color w:val="0D0D0D" w:themeColor="text1" w:themeTint="F2"/>
                <w:sz w:val="24"/>
                <w:szCs w:val="24"/>
                <w:highlight w:val="none"/>
                <w14:textFill>
                  <w14:solidFill>
                    <w14:schemeClr w14:val="tx1">
                      <w14:lumMod w14:val="95000"/>
                      <w14:lumOff w14:val="5000"/>
                    </w14:schemeClr>
                  </w14:solidFill>
                </w14:textFill>
              </w:rPr>
              <w:t>污染物排放量</w:t>
            </w:r>
          </w:p>
          <w:tbl>
            <w:tblPr>
              <w:tblStyle w:val="36"/>
              <w:tblW w:w="8132" w:type="dxa"/>
              <w:tblInd w:w="-1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997"/>
              <w:gridCol w:w="1118"/>
              <w:gridCol w:w="1173"/>
              <w:gridCol w:w="955"/>
              <w:gridCol w:w="1015"/>
              <w:gridCol w:w="874"/>
            </w:tblGrid>
            <w:tr w14:paraId="57651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6" w:hRule="atLeast"/>
              </w:trPr>
              <w:tc>
                <w:tcPr>
                  <w:tcW w:w="2997" w:type="dxa"/>
                  <w:tcBorders>
                    <w:top w:val="single" w:color="auto" w:sz="4" w:space="0"/>
                    <w:left w:val="single" w:color="auto" w:sz="0" w:space="0"/>
                    <w:bottom w:val="single" w:color="auto" w:sz="4" w:space="0"/>
                    <w:right w:val="single" w:color="auto" w:sz="4" w:space="0"/>
                  </w:tcBorders>
                  <w:shd w:val="clear" w:color="auto" w:fill="auto"/>
                  <w:noWrap/>
                  <w:vAlign w:val="center"/>
                </w:tcPr>
                <w:p w14:paraId="435A63E2">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排放源</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25A975">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污染物种类</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0C2697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cs="宋体"/>
                      <w:b/>
                      <w:bCs/>
                      <w:i w:val="0"/>
                      <w:iCs w:val="0"/>
                      <w:color w:val="auto"/>
                      <w:kern w:val="0"/>
                      <w:sz w:val="21"/>
                      <w:szCs w:val="21"/>
                      <w:highlight w:val="none"/>
                      <w:u w:val="none"/>
                      <w:lang w:val="en-US" w:eastAsia="zh-CN" w:bidi="ar"/>
                    </w:rPr>
                    <w:t>平均</w:t>
                  </w:r>
                  <w:r>
                    <w:rPr>
                      <w:rFonts w:hint="eastAsia" w:ascii="宋体" w:hAnsi="宋体" w:eastAsia="宋体" w:cs="宋体"/>
                      <w:b/>
                      <w:bCs/>
                      <w:i w:val="0"/>
                      <w:iCs w:val="0"/>
                      <w:color w:val="auto"/>
                      <w:kern w:val="0"/>
                      <w:sz w:val="21"/>
                      <w:szCs w:val="21"/>
                      <w:highlight w:val="none"/>
                      <w:u w:val="none"/>
                      <w:lang w:val="en-US" w:eastAsia="zh-CN" w:bidi="ar"/>
                    </w:rPr>
                    <w:t>排放速率kg/h</w:t>
                  </w:r>
                </w:p>
              </w:tc>
              <w:tc>
                <w:tcPr>
                  <w:tcW w:w="955" w:type="dxa"/>
                  <w:tcBorders>
                    <w:top w:val="single" w:color="auto" w:sz="4" w:space="0"/>
                    <w:left w:val="single" w:color="auto" w:sz="4" w:space="0"/>
                    <w:bottom w:val="single" w:color="auto" w:sz="4" w:space="0"/>
                    <w:right w:val="single" w:color="auto" w:sz="4" w:space="0"/>
                  </w:tcBorders>
                  <w:shd w:val="clear" w:color="auto" w:fill="auto"/>
                  <w:vAlign w:val="center"/>
                </w:tcPr>
                <w:p w14:paraId="70E5E170">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运行时间h</w:t>
                  </w:r>
                </w:p>
              </w:tc>
              <w:tc>
                <w:tcPr>
                  <w:tcW w:w="1015" w:type="dxa"/>
                  <w:tcBorders>
                    <w:top w:val="single" w:color="auto" w:sz="4" w:space="0"/>
                    <w:left w:val="single" w:color="auto" w:sz="4" w:space="0"/>
                    <w:bottom w:val="single" w:color="auto" w:sz="4" w:space="0"/>
                    <w:right w:val="single" w:color="auto" w:sz="4" w:space="0"/>
                  </w:tcBorders>
                  <w:shd w:val="clear" w:color="auto" w:fill="auto"/>
                  <w:vAlign w:val="center"/>
                </w:tcPr>
                <w:p w14:paraId="58161C59">
                  <w:pPr>
                    <w:keepNext w:val="0"/>
                    <w:keepLines w:val="0"/>
                    <w:widowControl/>
                    <w:suppressLineNumbers w:val="0"/>
                    <w:jc w:val="center"/>
                    <w:textAlignment w:val="center"/>
                    <w:rPr>
                      <w:rFonts w:hint="default" w:ascii="宋体" w:hAnsi="宋体" w:eastAsia="宋体" w:cs="宋体"/>
                      <w:b/>
                      <w:bCs/>
                      <w:i w:val="0"/>
                      <w:iCs w:val="0"/>
                      <w:color w:val="auto"/>
                      <w:sz w:val="21"/>
                      <w:szCs w:val="21"/>
                      <w:highlight w:val="none"/>
                      <w:u w:val="none"/>
                      <w:lang w:val="en-US"/>
                    </w:rPr>
                  </w:pPr>
                  <w:r>
                    <w:rPr>
                      <w:rFonts w:hint="eastAsia" w:ascii="宋体" w:hAnsi="宋体" w:eastAsia="宋体" w:cs="宋体"/>
                      <w:b/>
                      <w:bCs/>
                      <w:i w:val="0"/>
                      <w:iCs w:val="0"/>
                      <w:color w:val="auto"/>
                      <w:kern w:val="0"/>
                      <w:sz w:val="21"/>
                      <w:szCs w:val="21"/>
                      <w:highlight w:val="none"/>
                      <w:u w:val="none"/>
                      <w:lang w:val="en-US" w:eastAsia="zh-CN" w:bidi="ar"/>
                    </w:rPr>
                    <w:t>排放量t</w:t>
                  </w:r>
                  <w:r>
                    <w:rPr>
                      <w:rFonts w:hint="eastAsia" w:ascii="宋体" w:hAnsi="宋体" w:cs="宋体"/>
                      <w:b/>
                      <w:bCs/>
                      <w:i w:val="0"/>
                      <w:iCs w:val="0"/>
                      <w:color w:val="auto"/>
                      <w:kern w:val="0"/>
                      <w:sz w:val="21"/>
                      <w:szCs w:val="21"/>
                      <w:highlight w:val="none"/>
                      <w:u w:val="none"/>
                      <w:lang w:val="en-US" w:eastAsia="zh-CN" w:bidi="ar"/>
                    </w:rPr>
                    <w:t>/a</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3D751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r>
            <w:tr w14:paraId="34FFF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1"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9EBC9C6">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DA001</w:t>
                  </w:r>
                  <w:r>
                    <w:rPr>
                      <w:rFonts w:hint="eastAsia" w:cs="Times New Roman"/>
                      <w:b w:val="0"/>
                      <w:bCs w:val="0"/>
                      <w:i w:val="0"/>
                      <w:iCs w:val="0"/>
                      <w:color w:val="auto"/>
                      <w:kern w:val="0"/>
                      <w:sz w:val="21"/>
                      <w:szCs w:val="21"/>
                      <w:highlight w:val="none"/>
                      <w:u w:val="none"/>
                      <w:lang w:val="en-US" w:eastAsia="zh-CN" w:bidi="ar"/>
                    </w:rPr>
                    <w:t>电炉熔炼废气排气筒（</w:t>
                  </w:r>
                  <w:r>
                    <w:rPr>
                      <w:rFonts w:hint="eastAsia" w:ascii="宋体" w:hAnsi="宋体" w:eastAsia="宋体" w:cs="宋体"/>
                      <w:b w:val="0"/>
                      <w:bCs w:val="0"/>
                      <w:i w:val="0"/>
                      <w:iCs w:val="0"/>
                      <w:color w:val="auto"/>
                      <w:kern w:val="0"/>
                      <w:sz w:val="21"/>
                      <w:szCs w:val="21"/>
                      <w:highlight w:val="none"/>
                      <w:u w:val="none" w:color="000000"/>
                      <w:lang w:val="en-US" w:eastAsia="zh-CN" w:bidi="ar"/>
                    </w:rPr>
                    <w:t>旋风除尘器</w:t>
                  </w: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w:t>
                  </w:r>
                  <w:r>
                    <w:rPr>
                      <w:rFonts w:hint="eastAsia" w:ascii="宋体" w:hAnsi="宋体" w:eastAsia="宋体" w:cs="宋体"/>
                      <w:b w:val="0"/>
                      <w:bCs w:val="0"/>
                      <w:i w:val="0"/>
                      <w:iCs w:val="0"/>
                      <w:color w:val="auto"/>
                      <w:kern w:val="0"/>
                      <w:sz w:val="21"/>
                      <w:szCs w:val="21"/>
                      <w:highlight w:val="none"/>
                      <w:u w:val="none" w:color="000000"/>
                      <w:lang w:val="en-US" w:eastAsia="zh-CN" w:bidi="ar"/>
                    </w:rPr>
                    <w:t>布袋除尘器</w:t>
                  </w:r>
                  <w:r>
                    <w:rPr>
                      <w:rFonts w:hint="eastAsia" w:ascii="宋体" w:hAnsi="宋体" w:cs="宋体"/>
                      <w:b w:val="0"/>
                      <w:bCs w:val="0"/>
                      <w:i w:val="0"/>
                      <w:iCs w:val="0"/>
                      <w:color w:val="auto"/>
                      <w:kern w:val="0"/>
                      <w:sz w:val="21"/>
                      <w:szCs w:val="21"/>
                      <w:highlight w:val="none"/>
                      <w:u w:val="none" w:color="000000"/>
                      <w:lang w:val="en-US" w:eastAsia="zh-CN" w:bidi="ar"/>
                    </w:rPr>
                    <w:t>）</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418A1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6335D2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0.083</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B29470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2400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A9997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0.199</w:t>
                  </w:r>
                </w:p>
              </w:tc>
              <w:tc>
                <w:tcPr>
                  <w:tcW w:w="87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62C3337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3.208</w:t>
                  </w:r>
                </w:p>
              </w:tc>
            </w:tr>
            <w:tr w14:paraId="2B86F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0972B8">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DA002</w:t>
                  </w:r>
                  <w:r>
                    <w:rPr>
                      <w:rFonts w:hint="eastAsia" w:cs="Times New Roman"/>
                      <w:b w:val="0"/>
                      <w:bCs w:val="0"/>
                      <w:i w:val="0"/>
                      <w:iCs w:val="0"/>
                      <w:color w:val="auto"/>
                      <w:kern w:val="0"/>
                      <w:sz w:val="21"/>
                      <w:szCs w:val="21"/>
                      <w:highlight w:val="none"/>
                      <w:u w:val="none"/>
                      <w:lang w:val="en-US" w:eastAsia="zh-CN" w:bidi="ar"/>
                    </w:rPr>
                    <w:t>翻箱落砂及抛丸废气排气筒（</w:t>
                  </w:r>
                  <w:r>
                    <w:rPr>
                      <w:rFonts w:hint="eastAsia" w:ascii="宋体" w:hAnsi="宋体" w:eastAsia="宋体" w:cs="宋体"/>
                      <w:b w:val="0"/>
                      <w:bCs w:val="0"/>
                      <w:i w:val="0"/>
                      <w:iCs w:val="0"/>
                      <w:color w:val="auto"/>
                      <w:kern w:val="0"/>
                      <w:sz w:val="21"/>
                      <w:szCs w:val="21"/>
                      <w:highlight w:val="none"/>
                      <w:u w:val="none" w:color="000000"/>
                      <w:lang w:val="en-US" w:eastAsia="zh-CN" w:bidi="ar"/>
                    </w:rPr>
                    <w:t>布袋除尘器</w:t>
                  </w:r>
                  <w:r>
                    <w:rPr>
                      <w:rFonts w:hint="eastAsia" w:ascii="宋体" w:hAnsi="宋体" w:cs="宋体"/>
                      <w:b w:val="0"/>
                      <w:bCs w:val="0"/>
                      <w:i w:val="0"/>
                      <w:iCs w:val="0"/>
                      <w:color w:val="auto"/>
                      <w:kern w:val="0"/>
                      <w:sz w:val="21"/>
                      <w:szCs w:val="21"/>
                      <w:highlight w:val="none"/>
                      <w:u w:val="none" w:color="000000"/>
                      <w:lang w:val="en-US" w:eastAsia="zh-CN" w:bidi="ar"/>
                    </w:rPr>
                    <w:t>）</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D9F3D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FCC41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0.3541</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C98B76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3600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359BC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1.275</w:t>
                  </w:r>
                </w:p>
              </w:tc>
              <w:tc>
                <w:tcPr>
                  <w:tcW w:w="87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2ED29A6">
                  <w:pPr>
                    <w:jc w:val="center"/>
                    <w:rPr>
                      <w:rFonts w:hint="default" w:ascii="Times New Roman" w:hAnsi="Times New Roman" w:eastAsia="宋体" w:cs="Times New Roman"/>
                      <w:i w:val="0"/>
                      <w:iCs w:val="0"/>
                      <w:color w:val="auto"/>
                      <w:sz w:val="21"/>
                      <w:szCs w:val="21"/>
                      <w:highlight w:val="none"/>
                      <w:u w:val="none"/>
                    </w:rPr>
                  </w:pPr>
                </w:p>
              </w:tc>
            </w:tr>
            <w:tr w14:paraId="58C1E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79055A">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DA003</w:t>
                  </w:r>
                  <w:r>
                    <w:rPr>
                      <w:rFonts w:hint="eastAsia" w:cs="Times New Roman"/>
                      <w:b w:val="0"/>
                      <w:bCs w:val="0"/>
                      <w:i w:val="0"/>
                      <w:iCs w:val="0"/>
                      <w:color w:val="auto"/>
                      <w:kern w:val="0"/>
                      <w:sz w:val="21"/>
                      <w:szCs w:val="21"/>
                      <w:highlight w:val="none"/>
                      <w:u w:val="none"/>
                      <w:lang w:val="en-US" w:eastAsia="zh-CN" w:bidi="ar"/>
                    </w:rPr>
                    <w:t>混砂浇注及砂处理废气排气筒（</w:t>
                  </w:r>
                  <w:r>
                    <w:rPr>
                      <w:rFonts w:hint="eastAsia" w:ascii="宋体" w:hAnsi="宋体" w:eastAsia="宋体" w:cs="宋体"/>
                      <w:b w:val="0"/>
                      <w:bCs w:val="0"/>
                      <w:i w:val="0"/>
                      <w:iCs w:val="0"/>
                      <w:color w:val="auto"/>
                      <w:kern w:val="0"/>
                      <w:sz w:val="21"/>
                      <w:szCs w:val="21"/>
                      <w:highlight w:val="none"/>
                      <w:u w:val="none" w:color="000000"/>
                      <w:lang w:val="en-US" w:eastAsia="zh-CN" w:bidi="ar"/>
                    </w:rPr>
                    <w:t>布袋除尘器</w:t>
                  </w:r>
                  <w:r>
                    <w:rPr>
                      <w:rFonts w:hint="eastAsia" w:ascii="宋体" w:hAnsi="宋体" w:cs="宋体"/>
                      <w:b w:val="0"/>
                      <w:bCs w:val="0"/>
                      <w:i w:val="0"/>
                      <w:iCs w:val="0"/>
                      <w:color w:val="auto"/>
                      <w:kern w:val="0"/>
                      <w:sz w:val="21"/>
                      <w:szCs w:val="21"/>
                      <w:highlight w:val="none"/>
                      <w:u w:val="none" w:color="000000"/>
                      <w:lang w:val="en-US" w:eastAsia="zh-CN" w:bidi="ar"/>
                    </w:rPr>
                    <w:t>）</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03F85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F210B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0.1974</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354C4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2400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DC70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0.474</w:t>
                  </w:r>
                </w:p>
              </w:tc>
              <w:tc>
                <w:tcPr>
                  <w:tcW w:w="87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44A4284">
                  <w:pPr>
                    <w:jc w:val="center"/>
                    <w:rPr>
                      <w:rFonts w:hint="default" w:ascii="Times New Roman" w:hAnsi="Times New Roman" w:eastAsia="宋体" w:cs="Times New Roman"/>
                      <w:i w:val="0"/>
                      <w:iCs w:val="0"/>
                      <w:color w:val="auto"/>
                      <w:sz w:val="21"/>
                      <w:szCs w:val="21"/>
                      <w:highlight w:val="none"/>
                      <w:u w:val="none"/>
                    </w:rPr>
                  </w:pPr>
                </w:p>
              </w:tc>
            </w:tr>
            <w:tr w14:paraId="42658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C4AEC3">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w:t>
                  </w:r>
                  <w:r>
                    <w:rPr>
                      <w:rFonts w:hint="eastAsia" w:cs="Times New Roman"/>
                      <w:b w:val="0"/>
                      <w:bCs w:val="0"/>
                      <w:i w:val="0"/>
                      <w:iCs w:val="0"/>
                      <w:color w:val="auto"/>
                      <w:kern w:val="0"/>
                      <w:sz w:val="21"/>
                      <w:szCs w:val="21"/>
                      <w:highlight w:val="none"/>
                      <w:u w:val="none"/>
                      <w:lang w:val="en-US" w:eastAsia="zh-CN" w:bidi="ar"/>
                    </w:rPr>
                    <w:t>7调漆喷漆烘干及危废间废气排气筒（</w:t>
                  </w:r>
                  <w:r>
                    <w:rPr>
                      <w:rFonts w:hint="eastAsia" w:ascii="宋体" w:hAnsi="宋体" w:eastAsia="宋体" w:cs="宋体"/>
                      <w:b w:val="0"/>
                      <w:bCs w:val="0"/>
                      <w:i w:val="0"/>
                      <w:iCs w:val="0"/>
                      <w:color w:val="auto"/>
                      <w:kern w:val="0"/>
                      <w:sz w:val="21"/>
                      <w:szCs w:val="21"/>
                      <w:highlight w:val="none"/>
                      <w:u w:val="none" w:color="000000"/>
                      <w:lang w:val="en-US" w:eastAsia="zh-CN" w:bidi="ar"/>
                    </w:rPr>
                    <w:t>两级过滤棉</w:t>
                  </w: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w:t>
                  </w:r>
                  <w:r>
                    <w:rPr>
                      <w:rFonts w:hint="eastAsia" w:ascii="宋体" w:hAnsi="宋体" w:eastAsia="宋体" w:cs="宋体"/>
                      <w:b w:val="0"/>
                      <w:bCs w:val="0"/>
                      <w:i w:val="0"/>
                      <w:iCs w:val="0"/>
                      <w:color w:val="auto"/>
                      <w:kern w:val="0"/>
                      <w:sz w:val="21"/>
                      <w:szCs w:val="21"/>
                      <w:highlight w:val="none"/>
                      <w:u w:val="none" w:color="000000"/>
                      <w:lang w:val="en-US" w:eastAsia="zh-CN" w:bidi="ar"/>
                    </w:rPr>
                    <w:t>活性炭吸附脱附催化燃烧装置</w:t>
                  </w:r>
                  <w:r>
                    <w:rPr>
                      <w:rFonts w:hint="eastAsia" w:ascii="宋体" w:hAnsi="宋体" w:cs="宋体"/>
                      <w:b w:val="0"/>
                      <w:bCs w:val="0"/>
                      <w:i w:val="0"/>
                      <w:iCs w:val="0"/>
                      <w:color w:val="auto"/>
                      <w:kern w:val="0"/>
                      <w:sz w:val="21"/>
                      <w:szCs w:val="21"/>
                      <w:highlight w:val="none"/>
                      <w:u w:val="none" w:color="000000"/>
                      <w:lang w:val="en-US" w:eastAsia="zh-CN" w:bidi="ar"/>
                    </w:rPr>
                    <w:t>）</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400CC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B26B9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0.048</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1A96A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1200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B7BD6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0.058</w:t>
                  </w:r>
                </w:p>
              </w:tc>
              <w:tc>
                <w:tcPr>
                  <w:tcW w:w="87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6E6C0A0">
                  <w:pPr>
                    <w:jc w:val="center"/>
                    <w:rPr>
                      <w:rFonts w:hint="default" w:ascii="Times New Roman" w:hAnsi="Times New Roman" w:eastAsia="宋体" w:cs="Times New Roman"/>
                      <w:i w:val="0"/>
                      <w:iCs w:val="0"/>
                      <w:color w:val="auto"/>
                      <w:sz w:val="21"/>
                      <w:szCs w:val="21"/>
                      <w:highlight w:val="none"/>
                      <w:u w:val="none"/>
                    </w:rPr>
                  </w:pPr>
                </w:p>
              </w:tc>
            </w:tr>
            <w:tr w14:paraId="52E83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1C2BC7">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w:t>
                  </w:r>
                  <w:r>
                    <w:rPr>
                      <w:rFonts w:hint="eastAsia" w:cs="Times New Roman"/>
                      <w:b w:val="0"/>
                      <w:bCs w:val="0"/>
                      <w:i w:val="0"/>
                      <w:iCs w:val="0"/>
                      <w:color w:val="auto"/>
                      <w:kern w:val="0"/>
                      <w:sz w:val="21"/>
                      <w:szCs w:val="21"/>
                      <w:highlight w:val="none"/>
                      <w:u w:val="none"/>
                      <w:lang w:val="en-US" w:eastAsia="zh-CN" w:bidi="ar"/>
                    </w:rPr>
                    <w:t>6机加工废气排气筒（</w:t>
                  </w:r>
                  <w:r>
                    <w:rPr>
                      <w:rFonts w:hint="eastAsia" w:ascii="宋体" w:hAnsi="宋体" w:eastAsia="宋体" w:cs="宋体"/>
                      <w:b w:val="0"/>
                      <w:bCs w:val="0"/>
                      <w:i w:val="0"/>
                      <w:iCs w:val="0"/>
                      <w:color w:val="auto"/>
                      <w:kern w:val="0"/>
                      <w:sz w:val="21"/>
                      <w:szCs w:val="21"/>
                      <w:highlight w:val="none"/>
                      <w:u w:val="none" w:color="000000"/>
                      <w:lang w:val="en-US" w:eastAsia="zh-CN" w:bidi="ar"/>
                    </w:rPr>
                    <w:t>布袋除尘器</w:t>
                  </w:r>
                  <w:r>
                    <w:rPr>
                      <w:rFonts w:hint="eastAsia" w:ascii="宋体" w:hAnsi="宋体" w:cs="宋体"/>
                      <w:b w:val="0"/>
                      <w:bCs w:val="0"/>
                      <w:i w:val="0"/>
                      <w:iCs w:val="0"/>
                      <w:color w:val="auto"/>
                      <w:kern w:val="0"/>
                      <w:sz w:val="21"/>
                      <w:szCs w:val="21"/>
                      <w:highlight w:val="none"/>
                      <w:u w:val="none" w:color="000000"/>
                      <w:lang w:val="en-US" w:eastAsia="zh-CN" w:bidi="ar"/>
                    </w:rPr>
                    <w:t>）</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0D55B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2D61D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0.3342</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50BE9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3600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3BC62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1.203</w:t>
                  </w:r>
                </w:p>
              </w:tc>
              <w:tc>
                <w:tcPr>
                  <w:tcW w:w="87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3F6D3D1">
                  <w:pPr>
                    <w:jc w:val="center"/>
                    <w:rPr>
                      <w:rFonts w:hint="default" w:ascii="Times New Roman" w:hAnsi="Times New Roman" w:eastAsia="宋体" w:cs="Times New Roman"/>
                      <w:i w:val="0"/>
                      <w:iCs w:val="0"/>
                      <w:color w:val="auto"/>
                      <w:sz w:val="21"/>
                      <w:szCs w:val="21"/>
                      <w:highlight w:val="none"/>
                      <w:u w:val="none"/>
                    </w:rPr>
                  </w:pPr>
                </w:p>
              </w:tc>
            </w:tr>
            <w:tr w14:paraId="11B08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29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C113C1">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DA007调漆喷漆烘干及危废间废气排气筒（两级过滤棉+活性炭吸附脱附催化燃烧装置）</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A8BF75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非甲烷总烃</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FBB46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0.0365</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6C455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1200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47C3D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0.044</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C59BA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0.044</w:t>
                  </w:r>
                </w:p>
              </w:tc>
            </w:tr>
            <w:tr w14:paraId="57BB6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trPr>
              <w:tc>
                <w:tcPr>
                  <w:tcW w:w="2997" w:type="dxa"/>
                  <w:vMerge w:val="restart"/>
                  <w:tcBorders>
                    <w:top w:val="single" w:color="auto" w:sz="4" w:space="0"/>
                    <w:left w:val="single" w:color="auto" w:sz="4" w:space="0"/>
                    <w:right w:val="single" w:color="auto" w:sz="4" w:space="0"/>
                  </w:tcBorders>
                  <w:shd w:val="clear" w:color="auto" w:fill="auto"/>
                  <w:noWrap/>
                  <w:vAlign w:val="center"/>
                </w:tcPr>
                <w:p w14:paraId="2BA08463">
                  <w:pPr>
                    <w:keepNext w:val="0"/>
                    <w:keepLines w:val="0"/>
                    <w:widowControl/>
                    <w:suppressLineNumbers w:val="0"/>
                    <w:jc w:val="center"/>
                    <w:textAlignment w:val="center"/>
                    <w:rPr>
                      <w:rFonts w:hint="default" w:ascii="Times New Roman" w:hAnsi="Times New Roman" w:eastAsia="宋体" w:cs="Times New Roman"/>
                      <w:b/>
                      <w:bCs/>
                      <w:i w:val="0"/>
                      <w:iCs w:val="0"/>
                      <w:color w:val="auto"/>
                      <w:kern w:val="0"/>
                      <w:sz w:val="21"/>
                      <w:szCs w:val="21"/>
                      <w:highlight w:val="none"/>
                      <w:u w:val="none"/>
                      <w:lang w:val="en-US" w:eastAsia="zh-CN" w:bidi="ar"/>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DA00</w:t>
                  </w:r>
                  <w:r>
                    <w:rPr>
                      <w:rFonts w:hint="eastAsia" w:cs="Times New Roman"/>
                      <w:b w:val="0"/>
                      <w:bCs w:val="0"/>
                      <w:i w:val="0"/>
                      <w:iCs w:val="0"/>
                      <w:color w:val="auto"/>
                      <w:kern w:val="0"/>
                      <w:sz w:val="21"/>
                      <w:szCs w:val="21"/>
                      <w:highlight w:val="none"/>
                      <w:u w:val="none"/>
                      <w:lang w:val="en-US" w:eastAsia="zh-CN" w:bidi="ar"/>
                    </w:rPr>
                    <w:t>8天然气燃烧机废气排气筒</w:t>
                  </w: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7C4A3A">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颗粒物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4DFE2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0.0211</w:t>
                  </w:r>
                </w:p>
              </w:tc>
              <w:tc>
                <w:tcPr>
                  <w:tcW w:w="955" w:type="dxa"/>
                  <w:vMerge w:val="restart"/>
                  <w:tcBorders>
                    <w:top w:val="single" w:color="auto" w:sz="4" w:space="0"/>
                    <w:left w:val="single" w:color="auto" w:sz="4" w:space="0"/>
                    <w:right w:val="single" w:color="auto" w:sz="4" w:space="0"/>
                  </w:tcBorders>
                  <w:shd w:val="clear" w:color="auto" w:fill="auto"/>
                  <w:noWrap/>
                  <w:vAlign w:val="center"/>
                </w:tcPr>
                <w:p w14:paraId="07088AA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1200</w:t>
                  </w: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3A62A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0.025</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09DFF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0.025</w:t>
                  </w:r>
                </w:p>
              </w:tc>
            </w:tr>
            <w:tr w14:paraId="1E6A6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5" w:hRule="atLeast"/>
              </w:trPr>
              <w:tc>
                <w:tcPr>
                  <w:tcW w:w="2997" w:type="dxa"/>
                  <w:vMerge w:val="continue"/>
                  <w:tcBorders>
                    <w:left w:val="single" w:color="auto" w:sz="4" w:space="0"/>
                    <w:right w:val="single" w:color="auto" w:sz="4" w:space="0"/>
                  </w:tcBorders>
                  <w:shd w:val="clear" w:color="auto" w:fill="auto"/>
                  <w:noWrap/>
                  <w:vAlign w:val="center"/>
                </w:tcPr>
                <w:p w14:paraId="4C0F1A52">
                  <w:pPr>
                    <w:keepNext w:val="0"/>
                    <w:keepLines w:val="0"/>
                    <w:widowControl/>
                    <w:suppressLineNumbers w:val="0"/>
                    <w:jc w:val="center"/>
                    <w:textAlignment w:val="center"/>
                    <w:rPr>
                      <w:rFonts w:hint="default" w:ascii="Times New Roman" w:hAnsi="Times New Roman" w:eastAsia="宋体" w:cs="Times New Roman"/>
                      <w:b/>
                      <w:bCs/>
                      <w:i w:val="0"/>
                      <w:iCs w:val="0"/>
                      <w:color w:val="auto"/>
                      <w:kern w:val="0"/>
                      <w:sz w:val="21"/>
                      <w:szCs w:val="21"/>
                      <w:highlight w:val="none"/>
                      <w:u w:val="none"/>
                      <w:lang w:val="en-US" w:eastAsia="zh-CN" w:bidi="ar"/>
                    </w:rPr>
                  </w:pP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EB0DE4">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二氧化硫</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C9A0F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ND</w:t>
                  </w:r>
                </w:p>
              </w:tc>
              <w:tc>
                <w:tcPr>
                  <w:tcW w:w="955" w:type="dxa"/>
                  <w:vMerge w:val="continue"/>
                  <w:tcBorders>
                    <w:left w:val="single" w:color="auto" w:sz="4" w:space="0"/>
                    <w:right w:val="single" w:color="auto" w:sz="4" w:space="0"/>
                  </w:tcBorders>
                  <w:shd w:val="clear" w:color="auto" w:fill="auto"/>
                  <w:noWrap/>
                  <w:vAlign w:val="center"/>
                </w:tcPr>
                <w:p w14:paraId="0B8355A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88451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2B92C8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r>
            <w:tr w14:paraId="7A727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9" w:hRule="atLeast"/>
              </w:trPr>
              <w:tc>
                <w:tcPr>
                  <w:tcW w:w="2997" w:type="dxa"/>
                  <w:vMerge w:val="continue"/>
                  <w:tcBorders>
                    <w:left w:val="single" w:color="auto" w:sz="4" w:space="0"/>
                    <w:bottom w:val="single" w:color="auto" w:sz="4" w:space="0"/>
                    <w:right w:val="single" w:color="auto" w:sz="4" w:space="0"/>
                  </w:tcBorders>
                  <w:shd w:val="clear" w:color="auto" w:fill="auto"/>
                  <w:noWrap/>
                  <w:vAlign w:val="center"/>
                </w:tcPr>
                <w:p w14:paraId="5CE6392B">
                  <w:pPr>
                    <w:keepNext w:val="0"/>
                    <w:keepLines w:val="0"/>
                    <w:widowControl/>
                    <w:suppressLineNumbers w:val="0"/>
                    <w:jc w:val="center"/>
                    <w:textAlignment w:val="center"/>
                    <w:rPr>
                      <w:rFonts w:hint="default" w:ascii="Times New Roman" w:hAnsi="Times New Roman" w:eastAsia="宋体" w:cs="Times New Roman"/>
                      <w:b/>
                      <w:bCs/>
                      <w:i w:val="0"/>
                      <w:iCs w:val="0"/>
                      <w:color w:val="auto"/>
                      <w:kern w:val="0"/>
                      <w:sz w:val="21"/>
                      <w:szCs w:val="21"/>
                      <w:highlight w:val="none"/>
                      <w:u w:val="none"/>
                      <w:lang w:val="en-US" w:eastAsia="zh-CN" w:bidi="ar"/>
                    </w:rPr>
                  </w:pPr>
                </w:p>
              </w:tc>
              <w:tc>
                <w:tcPr>
                  <w:tcW w:w="1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913C94">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氮氧化物</w:t>
                  </w:r>
                </w:p>
              </w:tc>
              <w:tc>
                <w:tcPr>
                  <w:tcW w:w="11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5FB30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0.0343</w:t>
                  </w:r>
                </w:p>
              </w:tc>
              <w:tc>
                <w:tcPr>
                  <w:tcW w:w="955" w:type="dxa"/>
                  <w:vMerge w:val="continue"/>
                  <w:tcBorders>
                    <w:left w:val="single" w:color="auto" w:sz="4" w:space="0"/>
                    <w:bottom w:val="single" w:color="auto" w:sz="4" w:space="0"/>
                    <w:right w:val="single" w:color="auto" w:sz="4" w:space="0"/>
                  </w:tcBorders>
                  <w:shd w:val="clear" w:color="auto" w:fill="auto"/>
                  <w:noWrap/>
                  <w:vAlign w:val="center"/>
                </w:tcPr>
                <w:p w14:paraId="7A7D4766">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p>
              </w:tc>
              <w:tc>
                <w:tcPr>
                  <w:tcW w:w="10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10869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0.041</w:t>
                  </w:r>
                </w:p>
              </w:tc>
              <w:tc>
                <w:tcPr>
                  <w:tcW w:w="87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184EBB">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0.041</w:t>
                  </w:r>
                </w:p>
              </w:tc>
            </w:tr>
          </w:tbl>
          <w:p w14:paraId="43E68F40">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b/>
                <w:bCs/>
                <w:color w:val="000000" w:themeColor="text1"/>
                <w:sz w:val="24"/>
                <w:szCs w:val="24"/>
                <w:highlight w:val="none"/>
                <w14:textFill>
                  <w14:solidFill>
                    <w14:schemeClr w14:val="tx1"/>
                  </w14:solidFill>
                </w14:textFill>
              </w:rPr>
            </w:pPr>
            <w:r>
              <w:rPr>
                <w:rFonts w:hint="default"/>
                <w:b/>
                <w:bCs/>
                <w:color w:val="000000" w:themeColor="text1"/>
                <w:sz w:val="24"/>
                <w:szCs w:val="24"/>
                <w:highlight w:val="none"/>
                <w14:textFill>
                  <w14:solidFill>
                    <w14:schemeClr w14:val="tx1"/>
                  </w14:solidFill>
                </w14:textFill>
              </w:rPr>
              <w:t>表</w:t>
            </w:r>
            <w:r>
              <w:rPr>
                <w:rFonts w:hint="eastAsia"/>
                <w:b/>
                <w:bCs/>
                <w:color w:val="000000" w:themeColor="text1"/>
                <w:sz w:val="24"/>
                <w:szCs w:val="24"/>
                <w:highlight w:val="none"/>
                <w:lang w:val="en-US" w:eastAsia="zh-CN"/>
                <w14:textFill>
                  <w14:solidFill>
                    <w14:schemeClr w14:val="tx1"/>
                  </w14:solidFill>
                </w14:textFill>
              </w:rPr>
              <w:t>2-15</w:t>
            </w:r>
            <w:r>
              <w:rPr>
                <w:rFonts w:hint="default"/>
                <w:b/>
                <w:bCs/>
                <w:color w:val="000000" w:themeColor="text1"/>
                <w:sz w:val="24"/>
                <w:szCs w:val="24"/>
                <w:highlight w:val="none"/>
                <w14:textFill>
                  <w14:solidFill>
                    <w14:schemeClr w14:val="tx1"/>
                  </w14:solidFill>
                </w14:textFill>
              </w:rPr>
              <w:t xml:space="preserve">  </w:t>
            </w:r>
            <w:r>
              <w:rPr>
                <w:rFonts w:hint="eastAsia"/>
                <w:b/>
                <w:bCs/>
                <w:color w:val="000000" w:themeColor="text1"/>
                <w:sz w:val="24"/>
                <w:szCs w:val="24"/>
                <w:highlight w:val="none"/>
                <w:lang w:val="en-US" w:eastAsia="zh-CN"/>
                <w14:textFill>
                  <w14:solidFill>
                    <w14:schemeClr w14:val="tx1"/>
                  </w14:solidFill>
                </w14:textFill>
              </w:rPr>
              <w:t>现有</w:t>
            </w:r>
            <w:r>
              <w:rPr>
                <w:rFonts w:hint="default"/>
                <w:b/>
                <w:bCs/>
                <w:color w:val="000000" w:themeColor="text1"/>
                <w:sz w:val="24"/>
                <w:szCs w:val="24"/>
                <w:highlight w:val="none"/>
                <w14:textFill>
                  <w14:solidFill>
                    <w14:schemeClr w14:val="tx1"/>
                  </w14:solidFill>
                </w14:textFill>
              </w:rPr>
              <w:t>项目</w:t>
            </w:r>
            <w:r>
              <w:rPr>
                <w:rFonts w:hint="eastAsia"/>
                <w:b/>
                <w:bCs/>
                <w:color w:val="000000" w:themeColor="text1"/>
                <w:sz w:val="24"/>
                <w:szCs w:val="24"/>
                <w:highlight w:val="none"/>
                <w:lang w:val="en-US" w:eastAsia="zh-CN"/>
                <w14:textFill>
                  <w14:solidFill>
                    <w14:schemeClr w14:val="tx1"/>
                  </w14:solidFill>
                </w14:textFill>
              </w:rPr>
              <w:t>废水</w:t>
            </w:r>
            <w:r>
              <w:rPr>
                <w:rFonts w:hint="default"/>
                <w:b/>
                <w:bCs/>
                <w:color w:val="000000" w:themeColor="text1"/>
                <w:sz w:val="24"/>
                <w:szCs w:val="24"/>
                <w:highlight w:val="none"/>
                <w14:textFill>
                  <w14:solidFill>
                    <w14:schemeClr w14:val="tx1"/>
                  </w14:solidFill>
                </w14:textFill>
              </w:rPr>
              <w:t>污染物排放总量计算</w:t>
            </w:r>
          </w:p>
          <w:tbl>
            <w:tblPr>
              <w:tblStyle w:val="36"/>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6"/>
              <w:gridCol w:w="1558"/>
              <w:gridCol w:w="1558"/>
              <w:gridCol w:w="1569"/>
              <w:gridCol w:w="943"/>
              <w:gridCol w:w="1250"/>
            </w:tblGrid>
            <w:tr w14:paraId="74BFE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jc w:val="center"/>
              </w:trPr>
              <w:tc>
                <w:tcPr>
                  <w:tcW w:w="858" w:type="pct"/>
                  <w:tcBorders>
                    <w:top w:val="single" w:color="auto" w:sz="4" w:space="0"/>
                    <w:left w:val="single" w:color="000000" w:sz="4" w:space="0"/>
                    <w:bottom w:val="single" w:color="auto" w:sz="4" w:space="0"/>
                    <w:right w:val="single" w:color="auto" w:sz="4" w:space="0"/>
                  </w:tcBorders>
                  <w:shd w:val="clear" w:color="auto" w:fill="auto"/>
                  <w:vAlign w:val="center"/>
                </w:tcPr>
                <w:p w14:paraId="6B4F4C49">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污染物种类</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249B461C">
                  <w:pPr>
                    <w:keepNext w:val="0"/>
                    <w:keepLines w:val="0"/>
                    <w:widowControl/>
                    <w:suppressLineNumbers w:val="0"/>
                    <w:jc w:val="center"/>
                    <w:textAlignment w:val="center"/>
                    <w:rPr>
                      <w:rFonts w:hint="default" w:ascii="Times New Roman" w:hAnsi="Times New Roman" w:eastAsia="宋体" w:cs="Times New Roman"/>
                      <w:b/>
                      <w:bCs/>
                      <w:i w:val="0"/>
                      <w:iCs w:val="0"/>
                      <w:color w:val="auto"/>
                      <w:sz w:val="21"/>
                      <w:szCs w:val="21"/>
                      <w:highlight w:val="none"/>
                      <w:u w:val="none"/>
                    </w:rPr>
                  </w:pPr>
                  <w:r>
                    <w:rPr>
                      <w:rFonts w:hint="default" w:ascii="Times New Roman" w:hAnsi="Times New Roman" w:eastAsia="宋体" w:cs="Times New Roman"/>
                      <w:b/>
                      <w:bCs/>
                      <w:i w:val="0"/>
                      <w:iCs w:val="0"/>
                      <w:color w:val="auto"/>
                      <w:kern w:val="0"/>
                      <w:sz w:val="21"/>
                      <w:szCs w:val="21"/>
                      <w:highlight w:val="none"/>
                      <w:u w:val="none"/>
                      <w:lang w:val="en-US" w:eastAsia="zh-CN" w:bidi="ar"/>
                    </w:rPr>
                    <w:t>单位</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51839333">
                  <w:pPr>
                    <w:keepNext w:val="0"/>
                    <w:keepLines w:val="0"/>
                    <w:widowControl/>
                    <w:suppressLineNumbers w:val="0"/>
                    <w:jc w:val="center"/>
                    <w:textAlignment w:val="center"/>
                    <w:rPr>
                      <w:rFonts w:hint="default" w:ascii="Times New Roman" w:hAnsi="Times New Roman" w:eastAsia="宋体" w:cs="Times New Roman"/>
                      <w:b/>
                      <w:bCs/>
                      <w:i w:val="0"/>
                      <w:iCs w:val="0"/>
                      <w:color w:val="auto"/>
                      <w:sz w:val="21"/>
                      <w:szCs w:val="21"/>
                      <w:highlight w:val="none"/>
                      <w:u w:val="none"/>
                    </w:rPr>
                  </w:pPr>
                  <w:r>
                    <w:rPr>
                      <w:rFonts w:hint="default" w:ascii="Times New Roman" w:hAnsi="Times New Roman" w:eastAsia="宋体" w:cs="Times New Roman"/>
                      <w:b/>
                      <w:bCs/>
                      <w:i w:val="0"/>
                      <w:iCs w:val="0"/>
                      <w:color w:val="auto"/>
                      <w:kern w:val="0"/>
                      <w:sz w:val="21"/>
                      <w:szCs w:val="21"/>
                      <w:highlight w:val="none"/>
                      <w:u w:val="none"/>
                      <w:lang w:val="en-US" w:eastAsia="zh-CN" w:bidi="ar"/>
                    </w:rPr>
                    <w:t>平均值</w:t>
                  </w:r>
                </w:p>
              </w:tc>
              <w:tc>
                <w:tcPr>
                  <w:tcW w:w="944" w:type="pct"/>
                  <w:tcBorders>
                    <w:top w:val="single" w:color="auto" w:sz="4" w:space="0"/>
                    <w:left w:val="single" w:color="auto" w:sz="4" w:space="0"/>
                    <w:bottom w:val="single" w:color="auto" w:sz="4" w:space="0"/>
                    <w:right w:val="single" w:color="auto" w:sz="4" w:space="0"/>
                  </w:tcBorders>
                  <w:shd w:val="clear" w:color="auto" w:fill="auto"/>
                  <w:vAlign w:val="center"/>
                </w:tcPr>
                <w:p w14:paraId="356E0FFC">
                  <w:pPr>
                    <w:keepNext w:val="0"/>
                    <w:keepLines w:val="0"/>
                    <w:widowControl/>
                    <w:suppressLineNumbers w:val="0"/>
                    <w:jc w:val="center"/>
                    <w:textAlignment w:val="center"/>
                    <w:rPr>
                      <w:rFonts w:hint="default" w:ascii="Times New Roman" w:hAnsi="Times New Roman" w:eastAsia="宋体" w:cs="Times New Roman"/>
                      <w:b/>
                      <w:bCs/>
                      <w:i w:val="0"/>
                      <w:iCs w:val="0"/>
                      <w:color w:val="auto"/>
                      <w:sz w:val="21"/>
                      <w:szCs w:val="21"/>
                      <w:highlight w:val="none"/>
                      <w:u w:val="none"/>
                    </w:rPr>
                  </w:pPr>
                  <w:r>
                    <w:rPr>
                      <w:rFonts w:hint="default" w:ascii="Times New Roman" w:hAnsi="Times New Roman" w:eastAsia="宋体" w:cs="Times New Roman"/>
                      <w:b/>
                      <w:bCs/>
                      <w:i w:val="0"/>
                      <w:iCs w:val="0"/>
                      <w:color w:val="auto"/>
                      <w:kern w:val="0"/>
                      <w:sz w:val="21"/>
                      <w:szCs w:val="21"/>
                      <w:highlight w:val="none"/>
                      <w:u w:val="none"/>
                      <w:lang w:val="en-US" w:eastAsia="zh-CN" w:bidi="ar"/>
                    </w:rPr>
                    <w:t>年工作时间</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4456F57A">
                  <w:pPr>
                    <w:keepNext w:val="0"/>
                    <w:keepLines w:val="0"/>
                    <w:widowControl/>
                    <w:suppressLineNumbers w:val="0"/>
                    <w:jc w:val="center"/>
                    <w:textAlignment w:val="center"/>
                    <w:rPr>
                      <w:rFonts w:hint="default" w:ascii="Times New Roman" w:hAnsi="Times New Roman" w:eastAsia="宋体" w:cs="Times New Roman"/>
                      <w:b/>
                      <w:bCs/>
                      <w:i w:val="0"/>
                      <w:iCs w:val="0"/>
                      <w:color w:val="auto"/>
                      <w:sz w:val="21"/>
                      <w:szCs w:val="21"/>
                      <w:highlight w:val="none"/>
                      <w:u w:val="none"/>
                    </w:rPr>
                  </w:pPr>
                  <w:r>
                    <w:rPr>
                      <w:rFonts w:hint="default" w:ascii="Times New Roman" w:hAnsi="Times New Roman" w:eastAsia="宋体" w:cs="Times New Roman"/>
                      <w:b/>
                      <w:bCs/>
                      <w:i w:val="0"/>
                      <w:iCs w:val="0"/>
                      <w:color w:val="auto"/>
                      <w:kern w:val="0"/>
                      <w:sz w:val="21"/>
                      <w:szCs w:val="21"/>
                      <w:highlight w:val="none"/>
                      <w:u w:val="none"/>
                      <w:lang w:val="en-US" w:eastAsia="zh-CN" w:bidi="ar"/>
                    </w:rPr>
                    <w:t>废水排放量</w:t>
                  </w:r>
                  <w:r>
                    <w:rPr>
                      <w:rFonts w:hint="default" w:ascii="Times New Roman" w:hAnsi="Times New Roman" w:eastAsia="宋体" w:cs="Times New Roman"/>
                      <w:b/>
                      <w:bCs/>
                      <w:i w:val="0"/>
                      <w:iCs w:val="0"/>
                      <w:color w:val="auto"/>
                      <w:kern w:val="0"/>
                      <w:sz w:val="21"/>
                      <w:szCs w:val="21"/>
                      <w:highlight w:val="none"/>
                      <w:u w:val="none" w:color="000000"/>
                      <w:lang w:val="en-US" w:eastAsia="zh-CN" w:bidi="ar"/>
                    </w:rPr>
                    <w:t>m</w:t>
                  </w:r>
                  <w:r>
                    <w:rPr>
                      <w:rFonts w:hint="default" w:ascii="Times New Roman" w:hAnsi="Times New Roman" w:eastAsia="宋体" w:cs="Times New Roman"/>
                      <w:b/>
                      <w:bCs/>
                      <w:i w:val="0"/>
                      <w:iCs w:val="0"/>
                      <w:color w:val="auto"/>
                      <w:kern w:val="0"/>
                      <w:sz w:val="21"/>
                      <w:szCs w:val="21"/>
                      <w:highlight w:val="none"/>
                      <w:u w:val="none" w:color="000000"/>
                      <w:vertAlign w:val="superscript"/>
                      <w:lang w:val="en-US" w:eastAsia="zh-CN" w:bidi="ar"/>
                    </w:rPr>
                    <w:t>3</w:t>
                  </w:r>
                  <w:r>
                    <w:rPr>
                      <w:rFonts w:hint="default" w:ascii="Times New Roman" w:hAnsi="Times New Roman" w:eastAsia="宋体" w:cs="Times New Roman"/>
                      <w:b/>
                      <w:bCs/>
                      <w:i w:val="0"/>
                      <w:iCs w:val="0"/>
                      <w:color w:val="auto"/>
                      <w:kern w:val="0"/>
                      <w:sz w:val="21"/>
                      <w:szCs w:val="21"/>
                      <w:highlight w:val="none"/>
                      <w:u w:val="none" w:color="000000"/>
                      <w:lang w:val="en-US" w:eastAsia="zh-CN" w:bidi="ar"/>
                    </w:rPr>
                    <w:t>/d</w:t>
                  </w: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69B3B33A">
                  <w:pPr>
                    <w:keepNext w:val="0"/>
                    <w:keepLines w:val="0"/>
                    <w:widowControl/>
                    <w:suppressLineNumbers w:val="0"/>
                    <w:jc w:val="center"/>
                    <w:textAlignment w:val="center"/>
                    <w:rPr>
                      <w:rFonts w:hint="default" w:ascii="Times New Roman" w:hAnsi="Times New Roman" w:eastAsia="宋体" w:cs="Times New Roman"/>
                      <w:b/>
                      <w:bCs/>
                      <w:i w:val="0"/>
                      <w:iCs w:val="0"/>
                      <w:color w:val="auto"/>
                      <w:sz w:val="21"/>
                      <w:szCs w:val="21"/>
                      <w:highlight w:val="none"/>
                      <w:u w:val="none"/>
                      <w:lang w:val="en-US"/>
                    </w:rPr>
                  </w:pPr>
                  <w:r>
                    <w:rPr>
                      <w:rFonts w:hint="default" w:ascii="Times New Roman" w:hAnsi="Times New Roman" w:eastAsia="宋体" w:cs="Times New Roman"/>
                      <w:b/>
                      <w:bCs/>
                      <w:i w:val="0"/>
                      <w:iCs w:val="0"/>
                      <w:color w:val="auto"/>
                      <w:kern w:val="0"/>
                      <w:sz w:val="21"/>
                      <w:szCs w:val="21"/>
                      <w:highlight w:val="none"/>
                      <w:u w:val="none"/>
                      <w:lang w:val="en-US" w:eastAsia="zh-CN" w:bidi="ar"/>
                    </w:rPr>
                    <w:t>年排放量</w:t>
                  </w:r>
                  <w:r>
                    <w:rPr>
                      <w:rFonts w:hint="eastAsia" w:cs="Times New Roman"/>
                      <w:b/>
                      <w:bCs/>
                      <w:i w:val="0"/>
                      <w:iCs w:val="0"/>
                      <w:color w:val="auto"/>
                      <w:kern w:val="0"/>
                      <w:sz w:val="21"/>
                      <w:szCs w:val="21"/>
                      <w:highlight w:val="none"/>
                      <w:u w:val="none"/>
                      <w:lang w:val="en-US" w:eastAsia="zh-CN" w:bidi="ar"/>
                    </w:rPr>
                    <w:t>t</w:t>
                  </w:r>
                </w:p>
              </w:tc>
            </w:tr>
            <w:tr w14:paraId="0A66A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7"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78D53A20">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化学需氧量</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1759282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008BF5F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116</w:t>
                  </w:r>
                </w:p>
              </w:tc>
              <w:tc>
                <w:tcPr>
                  <w:tcW w:w="94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F68AAF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300</w:t>
                  </w:r>
                </w:p>
              </w:tc>
              <w:tc>
                <w:tcPr>
                  <w:tcW w:w="56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110AC3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3.789</w:t>
                  </w: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6EB6B5D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0.1</w:t>
                  </w:r>
                  <w:r>
                    <w:rPr>
                      <w:rFonts w:hint="eastAsia" w:cs="Times New Roman"/>
                      <w:i w:val="0"/>
                      <w:iCs w:val="0"/>
                      <w:color w:val="auto"/>
                      <w:kern w:val="0"/>
                      <w:sz w:val="21"/>
                      <w:szCs w:val="21"/>
                      <w:highlight w:val="none"/>
                      <w:u w:val="none"/>
                      <w:lang w:val="en-US" w:eastAsia="zh-CN" w:bidi="ar"/>
                    </w:rPr>
                    <w:t>32</w:t>
                  </w:r>
                </w:p>
              </w:tc>
            </w:tr>
            <w:tr w14:paraId="7A8FF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3F5BE1FA">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五日生化需氧量</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79708B7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0DD4DB3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31.5</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1F8DA3">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13DAF83">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06489CD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0.03</w:t>
                  </w:r>
                  <w:r>
                    <w:rPr>
                      <w:rFonts w:hint="eastAsia" w:cs="Times New Roman"/>
                      <w:i w:val="0"/>
                      <w:iCs w:val="0"/>
                      <w:color w:val="auto"/>
                      <w:kern w:val="0"/>
                      <w:sz w:val="21"/>
                      <w:szCs w:val="21"/>
                      <w:highlight w:val="none"/>
                      <w:u w:val="none"/>
                      <w:lang w:val="en-US" w:eastAsia="zh-CN" w:bidi="ar"/>
                    </w:rPr>
                    <w:t>6</w:t>
                  </w:r>
                </w:p>
              </w:tc>
            </w:tr>
            <w:tr w14:paraId="61F43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22BB675F">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lang w:val="en-US" w:eastAsia="zh-CN" w:bidi="ar"/>
                    </w:rPr>
                    <w:t>氨氮（以N计）</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627D5CB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4CD0635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eastAsia" w:cs="Times New Roman"/>
                      <w:i w:val="0"/>
                      <w:iCs w:val="0"/>
                      <w:color w:val="auto"/>
                      <w:kern w:val="0"/>
                      <w:sz w:val="21"/>
                      <w:szCs w:val="21"/>
                      <w:highlight w:val="none"/>
                      <w:u w:val="none"/>
                      <w:lang w:val="en-US" w:eastAsia="zh-CN" w:bidi="ar"/>
                    </w:rPr>
                    <w:t>6.08</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DA45C1">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48669F">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473173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0.007 </w:t>
                  </w:r>
                </w:p>
              </w:tc>
            </w:tr>
            <w:tr w14:paraId="3393F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103AFAE0">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总磷</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360BD7B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3F8CBB5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0.5</w:t>
                  </w:r>
                  <w:r>
                    <w:rPr>
                      <w:rFonts w:hint="eastAsia" w:cs="Times New Roman"/>
                      <w:i w:val="0"/>
                      <w:iCs w:val="0"/>
                      <w:color w:val="auto"/>
                      <w:kern w:val="0"/>
                      <w:sz w:val="21"/>
                      <w:szCs w:val="21"/>
                      <w:highlight w:val="none"/>
                      <w:u w:val="none"/>
                      <w:lang w:val="en-US" w:eastAsia="zh-CN" w:bidi="ar"/>
                    </w:rPr>
                    <w:t>3</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6B61DB">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7529E3">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411D9D9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0.001 </w:t>
                  </w:r>
                </w:p>
              </w:tc>
            </w:tr>
            <w:tr w14:paraId="1C19C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07384DE0">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总氮</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09E7205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2C599FB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10.</w:t>
                  </w:r>
                  <w:r>
                    <w:rPr>
                      <w:rFonts w:hint="eastAsia" w:cs="Times New Roman"/>
                      <w:i w:val="0"/>
                      <w:iCs w:val="0"/>
                      <w:color w:val="auto"/>
                      <w:kern w:val="0"/>
                      <w:sz w:val="21"/>
                      <w:szCs w:val="21"/>
                      <w:highlight w:val="none"/>
                      <w:u w:val="none"/>
                      <w:lang w:val="en-US" w:eastAsia="zh-CN" w:bidi="ar"/>
                    </w:rPr>
                    <w:t>8</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66FA2BC">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EB7788">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00764BB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0.012 </w:t>
                  </w:r>
                </w:p>
              </w:tc>
            </w:tr>
            <w:tr w14:paraId="1FC27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2BED0D67">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悬浮物</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23CD1C6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7CB389D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84</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B946DF6">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C3F866">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20DD3EB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0.095 </w:t>
                  </w:r>
                </w:p>
              </w:tc>
            </w:tr>
            <w:tr w14:paraId="1302A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858" w:type="pct"/>
                  <w:tcBorders>
                    <w:top w:val="single" w:color="auto" w:sz="4" w:space="0"/>
                    <w:left w:val="single" w:color="auto" w:sz="4" w:space="0"/>
                    <w:bottom w:val="single" w:color="auto" w:sz="4" w:space="0"/>
                    <w:right w:val="single" w:color="auto" w:sz="4" w:space="0"/>
                  </w:tcBorders>
                  <w:shd w:val="clear" w:color="auto" w:fill="auto"/>
                  <w:vAlign w:val="center"/>
                </w:tcPr>
                <w:p w14:paraId="3444DA82">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rPr>
                  </w:pPr>
                  <w:r>
                    <w:rPr>
                      <w:rFonts w:hint="default" w:ascii="Times New Roman" w:hAnsi="Times New Roman" w:eastAsia="宋体" w:cs="Times New Roman"/>
                      <w:b w:val="0"/>
                      <w:bCs w:val="0"/>
                      <w:i w:val="0"/>
                      <w:iCs w:val="0"/>
                      <w:color w:val="auto"/>
                      <w:kern w:val="0"/>
                      <w:sz w:val="21"/>
                      <w:szCs w:val="21"/>
                      <w:highlight w:val="none"/>
                      <w:u w:val="none" w:color="000000"/>
                      <w:lang w:val="en-US" w:eastAsia="zh-CN" w:bidi="ar"/>
                    </w:rPr>
                    <w:t>动植物油类</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768229B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color="000000"/>
                      <w:lang w:val="en-US" w:eastAsia="zh-CN" w:bidi="ar"/>
                    </w:rPr>
                    <w:t>mg/L</w:t>
                  </w:r>
                </w:p>
              </w:tc>
              <w:tc>
                <w:tcPr>
                  <w:tcW w:w="937" w:type="pct"/>
                  <w:tcBorders>
                    <w:top w:val="single" w:color="auto" w:sz="4" w:space="0"/>
                    <w:left w:val="single" w:color="auto" w:sz="4" w:space="0"/>
                    <w:bottom w:val="single" w:color="auto" w:sz="4" w:space="0"/>
                    <w:right w:val="single" w:color="auto" w:sz="4" w:space="0"/>
                  </w:tcBorders>
                  <w:shd w:val="clear" w:color="auto" w:fill="auto"/>
                  <w:vAlign w:val="center"/>
                </w:tcPr>
                <w:p w14:paraId="466EE5D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0.</w:t>
                  </w:r>
                  <w:r>
                    <w:rPr>
                      <w:rFonts w:hint="eastAsia" w:cs="Times New Roman"/>
                      <w:i w:val="0"/>
                      <w:iCs w:val="0"/>
                      <w:color w:val="auto"/>
                      <w:kern w:val="0"/>
                      <w:sz w:val="21"/>
                      <w:szCs w:val="21"/>
                      <w:highlight w:val="none"/>
                      <w:u w:val="none"/>
                      <w:lang w:val="en-US" w:eastAsia="zh-CN" w:bidi="ar"/>
                    </w:rPr>
                    <w:t>34</w:t>
                  </w:r>
                </w:p>
              </w:tc>
              <w:tc>
                <w:tcPr>
                  <w:tcW w:w="94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72A64D">
                  <w:pPr>
                    <w:jc w:val="center"/>
                    <w:rPr>
                      <w:rFonts w:hint="default" w:ascii="Times New Roman" w:hAnsi="Times New Roman" w:eastAsia="宋体" w:cs="Times New Roman"/>
                      <w:i w:val="0"/>
                      <w:iCs w:val="0"/>
                      <w:color w:val="auto"/>
                      <w:sz w:val="21"/>
                      <w:szCs w:val="21"/>
                      <w:highlight w:val="none"/>
                      <w:u w:val="none"/>
                    </w:rPr>
                  </w:pPr>
                </w:p>
              </w:tc>
              <w:tc>
                <w:tcPr>
                  <w:tcW w:w="56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9C22D7">
                  <w:pPr>
                    <w:jc w:val="center"/>
                    <w:rPr>
                      <w:rFonts w:hint="default" w:ascii="Times New Roman" w:hAnsi="Times New Roman" w:eastAsia="宋体" w:cs="Times New Roman"/>
                      <w:i w:val="0"/>
                      <w:iCs w:val="0"/>
                      <w:color w:val="auto"/>
                      <w:sz w:val="21"/>
                      <w:szCs w:val="21"/>
                      <w:highlight w:val="none"/>
                      <w:u w:val="none"/>
                    </w:rPr>
                  </w:pPr>
                </w:p>
              </w:tc>
              <w:tc>
                <w:tcPr>
                  <w:tcW w:w="752" w:type="pct"/>
                  <w:tcBorders>
                    <w:top w:val="single" w:color="auto" w:sz="4" w:space="0"/>
                    <w:left w:val="single" w:color="auto" w:sz="4" w:space="0"/>
                    <w:bottom w:val="single" w:color="auto" w:sz="4" w:space="0"/>
                    <w:right w:val="single" w:color="auto" w:sz="4" w:space="0"/>
                  </w:tcBorders>
                  <w:shd w:val="clear" w:color="auto" w:fill="auto"/>
                  <w:vAlign w:val="center"/>
                </w:tcPr>
                <w:p w14:paraId="6CC5F08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0.000</w:t>
                  </w:r>
                  <w:r>
                    <w:rPr>
                      <w:rFonts w:hint="eastAsia" w:cs="Times New Roman"/>
                      <w:i w:val="0"/>
                      <w:iCs w:val="0"/>
                      <w:color w:val="auto"/>
                      <w:kern w:val="0"/>
                      <w:sz w:val="21"/>
                      <w:szCs w:val="21"/>
                      <w:highlight w:val="none"/>
                      <w:u w:val="none"/>
                      <w:lang w:val="en-US" w:eastAsia="zh-CN" w:bidi="ar"/>
                    </w:rPr>
                    <w:t>4</w:t>
                  </w:r>
                  <w:r>
                    <w:rPr>
                      <w:rFonts w:hint="default" w:ascii="Times New Roman" w:hAnsi="Times New Roman" w:eastAsia="宋体" w:cs="Times New Roman"/>
                      <w:i w:val="0"/>
                      <w:iCs w:val="0"/>
                      <w:color w:val="auto"/>
                      <w:kern w:val="0"/>
                      <w:sz w:val="21"/>
                      <w:szCs w:val="21"/>
                      <w:highlight w:val="none"/>
                      <w:u w:val="none"/>
                      <w:lang w:val="en-US" w:eastAsia="zh-CN" w:bidi="ar"/>
                    </w:rPr>
                    <w:t xml:space="preserve"> </w:t>
                  </w:r>
                </w:p>
              </w:tc>
            </w:tr>
          </w:tbl>
          <w:p w14:paraId="3846E6EA">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eastAsia"/>
                <w:b/>
                <w:bCs/>
                <w:color w:val="auto"/>
                <w:sz w:val="24"/>
                <w:szCs w:val="24"/>
                <w:highlight w:val="none"/>
                <w:lang w:val="en-US" w:eastAsia="zh-CN"/>
              </w:rPr>
            </w:pPr>
            <w:r>
              <w:rPr>
                <w:rFonts w:hint="default"/>
                <w:b/>
                <w:bCs/>
                <w:color w:val="auto"/>
                <w:sz w:val="24"/>
                <w:szCs w:val="24"/>
                <w:highlight w:val="none"/>
              </w:rPr>
              <w:t>表</w:t>
            </w:r>
            <w:r>
              <w:rPr>
                <w:rFonts w:hint="eastAsia"/>
                <w:b/>
                <w:bCs/>
                <w:color w:val="auto"/>
                <w:sz w:val="24"/>
                <w:szCs w:val="24"/>
                <w:highlight w:val="none"/>
                <w:lang w:val="en-US" w:eastAsia="zh-CN"/>
              </w:rPr>
              <w:t>2-16</w:t>
            </w:r>
            <w:r>
              <w:rPr>
                <w:rFonts w:hint="default"/>
                <w:b/>
                <w:bCs/>
                <w:color w:val="auto"/>
                <w:sz w:val="24"/>
                <w:szCs w:val="24"/>
                <w:highlight w:val="none"/>
              </w:rPr>
              <w:t xml:space="preserve">  </w:t>
            </w:r>
            <w:r>
              <w:rPr>
                <w:rFonts w:hint="eastAsia"/>
                <w:b/>
                <w:bCs/>
                <w:color w:val="auto"/>
                <w:sz w:val="24"/>
                <w:szCs w:val="24"/>
                <w:highlight w:val="none"/>
                <w:lang w:val="en-US" w:eastAsia="zh-CN"/>
              </w:rPr>
              <w:t>现有</w:t>
            </w:r>
            <w:r>
              <w:rPr>
                <w:rFonts w:hint="default"/>
                <w:b/>
                <w:bCs/>
                <w:color w:val="auto"/>
                <w:sz w:val="24"/>
                <w:szCs w:val="24"/>
                <w:highlight w:val="none"/>
              </w:rPr>
              <w:t>项目</w:t>
            </w:r>
            <w:r>
              <w:rPr>
                <w:rFonts w:hint="eastAsia"/>
                <w:b/>
                <w:bCs/>
                <w:color w:val="auto"/>
                <w:sz w:val="24"/>
                <w:szCs w:val="24"/>
                <w:highlight w:val="none"/>
                <w:lang w:val="en-US" w:eastAsia="zh-CN"/>
              </w:rPr>
              <w:t>固体废物排放量</w:t>
            </w:r>
          </w:p>
          <w:tbl>
            <w:tblPr>
              <w:tblStyle w:val="36"/>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5"/>
              <w:gridCol w:w="1570"/>
              <w:gridCol w:w="1147"/>
              <w:gridCol w:w="816"/>
              <w:gridCol w:w="1380"/>
              <w:gridCol w:w="1102"/>
              <w:gridCol w:w="752"/>
              <w:gridCol w:w="959"/>
            </w:tblGrid>
            <w:tr w14:paraId="2AFCD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41" w:type="pct"/>
                  <w:noWrap w:val="0"/>
                  <w:vAlign w:val="center"/>
                </w:tcPr>
                <w:p w14:paraId="6B5AD389">
                  <w:pPr>
                    <w:pStyle w:val="59"/>
                    <w:keepNext w:val="0"/>
                    <w:keepLines w:val="0"/>
                    <w:pageBreakBefore w:val="0"/>
                    <w:widowControl w:val="0"/>
                    <w:kinsoku/>
                    <w:wordWrap/>
                    <w:overflowPunct/>
                    <w:topLinePunct w:val="0"/>
                    <w:autoSpaceDE/>
                    <w:autoSpaceDN/>
                    <w:bidi w:val="0"/>
                    <w:spacing w:line="240" w:lineRule="auto"/>
                    <w:ind w:left="0" w:leftChars="0" w:firstLine="0" w:firstLineChars="0"/>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序号</w:t>
                  </w:r>
                </w:p>
              </w:tc>
              <w:tc>
                <w:tcPr>
                  <w:tcW w:w="946" w:type="pct"/>
                  <w:noWrap w:val="0"/>
                  <w:vAlign w:val="center"/>
                </w:tcPr>
                <w:p w14:paraId="480C0F1E">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名称</w:t>
                  </w:r>
                </w:p>
              </w:tc>
              <w:tc>
                <w:tcPr>
                  <w:tcW w:w="691" w:type="pct"/>
                  <w:noWrap w:val="0"/>
                  <w:vAlign w:val="center"/>
                </w:tcPr>
                <w:p w14:paraId="5B9CB3A2">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rPr>
                  </w:pPr>
                  <w:r>
                    <w:rPr>
                      <w:rFonts w:hint="default" w:ascii="Times New Roman" w:hAnsi="Times New Roman" w:eastAsia="宋体" w:cs="Times New Roman"/>
                      <w:b/>
                      <w:bCs w:val="0"/>
                      <w:color w:val="auto"/>
                      <w:spacing w:val="0"/>
                      <w:w w:val="100"/>
                      <w:kern w:val="2"/>
                      <w:sz w:val="21"/>
                      <w:szCs w:val="21"/>
                      <w:highlight w:val="none"/>
                      <w:lang w:val="en-US" w:eastAsia="zh-CN"/>
                    </w:rPr>
                    <w:t>来源</w:t>
                  </w:r>
                </w:p>
              </w:tc>
              <w:tc>
                <w:tcPr>
                  <w:tcW w:w="492" w:type="pct"/>
                  <w:noWrap w:val="0"/>
                  <w:vAlign w:val="center"/>
                </w:tcPr>
                <w:p w14:paraId="777A05D2">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bidi="ar-SA"/>
                    </w:rPr>
                  </w:pPr>
                  <w:r>
                    <w:rPr>
                      <w:rFonts w:hint="default" w:ascii="Times New Roman" w:hAnsi="Times New Roman" w:eastAsia="宋体" w:cs="Times New Roman"/>
                      <w:b/>
                      <w:bCs w:val="0"/>
                      <w:color w:val="auto"/>
                      <w:spacing w:val="0"/>
                      <w:w w:val="100"/>
                      <w:kern w:val="2"/>
                      <w:sz w:val="21"/>
                      <w:szCs w:val="21"/>
                      <w:highlight w:val="none"/>
                    </w:rPr>
                    <w:t>固废类型</w:t>
                  </w:r>
                </w:p>
              </w:tc>
              <w:tc>
                <w:tcPr>
                  <w:tcW w:w="832" w:type="pct"/>
                  <w:noWrap w:val="0"/>
                  <w:vAlign w:val="center"/>
                </w:tcPr>
                <w:p w14:paraId="7DFA8B9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Times New Roman" w:hAnsi="Times New Roman" w:eastAsia="宋体" w:cs="Times New Roman"/>
                      <w:b/>
                      <w:bCs w:val="0"/>
                      <w:color w:val="auto"/>
                      <w:kern w:val="2"/>
                      <w:sz w:val="21"/>
                      <w:szCs w:val="21"/>
                      <w:highlight w:val="none"/>
                      <w:lang w:val="en-US" w:eastAsia="zh-CN" w:bidi="ar-SA"/>
                    </w:rPr>
                  </w:pPr>
                  <w:r>
                    <w:rPr>
                      <w:rFonts w:hint="default" w:ascii="Times New Roman" w:hAnsi="Times New Roman" w:eastAsia="宋体" w:cs="Times New Roman"/>
                      <w:b/>
                      <w:bCs w:val="0"/>
                      <w:color w:val="auto"/>
                      <w:sz w:val="21"/>
                      <w:szCs w:val="21"/>
                      <w:highlight w:val="none"/>
                    </w:rPr>
                    <w:t>废物代码</w:t>
                  </w:r>
                </w:p>
              </w:tc>
              <w:tc>
                <w:tcPr>
                  <w:tcW w:w="664" w:type="pct"/>
                  <w:noWrap w:val="0"/>
                  <w:vAlign w:val="center"/>
                </w:tcPr>
                <w:p w14:paraId="7728CE13">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bidi="ar-SA"/>
                    </w:rPr>
                  </w:pPr>
                  <w:r>
                    <w:rPr>
                      <w:rFonts w:hint="default" w:ascii="Times New Roman" w:hAnsi="Times New Roman" w:eastAsia="宋体" w:cs="Times New Roman"/>
                      <w:b/>
                      <w:bCs w:val="0"/>
                      <w:color w:val="auto"/>
                      <w:spacing w:val="0"/>
                      <w:w w:val="100"/>
                      <w:kern w:val="2"/>
                      <w:sz w:val="21"/>
                      <w:szCs w:val="21"/>
                      <w:highlight w:val="none"/>
                    </w:rPr>
                    <w:t>产生量</w:t>
                  </w:r>
                  <w:r>
                    <w:rPr>
                      <w:rFonts w:hint="default" w:ascii="Times New Roman" w:hAnsi="Times New Roman" w:eastAsia="宋体" w:cs="Times New Roman"/>
                      <w:b/>
                      <w:bCs w:val="0"/>
                      <w:color w:val="auto"/>
                      <w:kern w:val="0"/>
                      <w:sz w:val="21"/>
                      <w:szCs w:val="21"/>
                      <w:highlight w:val="none"/>
                      <w:lang w:val="en-US" w:eastAsia="zh-CN"/>
                    </w:rPr>
                    <w:t>（t/a）</w:t>
                  </w:r>
                </w:p>
              </w:tc>
              <w:tc>
                <w:tcPr>
                  <w:tcW w:w="453" w:type="pct"/>
                  <w:noWrap w:val="0"/>
                  <w:vAlign w:val="center"/>
                </w:tcPr>
                <w:p w14:paraId="647E273A">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rPr>
                  </w:pPr>
                  <w:r>
                    <w:rPr>
                      <w:rFonts w:hint="default" w:ascii="Times New Roman" w:hAnsi="Times New Roman" w:eastAsia="宋体" w:cs="Times New Roman"/>
                      <w:b/>
                      <w:bCs w:val="0"/>
                      <w:color w:val="auto"/>
                      <w:spacing w:val="0"/>
                      <w:w w:val="100"/>
                      <w:kern w:val="2"/>
                      <w:sz w:val="21"/>
                      <w:szCs w:val="21"/>
                      <w:highlight w:val="none"/>
                      <w:lang w:val="en-US" w:eastAsia="zh-CN"/>
                    </w:rPr>
                    <w:t>贮存场所</w:t>
                  </w:r>
                </w:p>
              </w:tc>
              <w:tc>
                <w:tcPr>
                  <w:tcW w:w="578" w:type="pct"/>
                  <w:noWrap w:val="0"/>
                  <w:vAlign w:val="center"/>
                </w:tcPr>
                <w:p w14:paraId="28F7E7F8">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处理处置方式</w:t>
                  </w:r>
                </w:p>
              </w:tc>
            </w:tr>
            <w:tr w14:paraId="0DA91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341" w:type="pct"/>
                  <w:noWrap w:val="0"/>
                  <w:vAlign w:val="center"/>
                </w:tcPr>
                <w:p w14:paraId="2A343127">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w:t>
                  </w:r>
                </w:p>
              </w:tc>
              <w:tc>
                <w:tcPr>
                  <w:tcW w:w="946" w:type="pct"/>
                  <w:noWrap w:val="0"/>
                  <w:vAlign w:val="center"/>
                </w:tcPr>
                <w:p w14:paraId="51AA3C5E">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炉渣</w:t>
                  </w:r>
                </w:p>
              </w:tc>
              <w:tc>
                <w:tcPr>
                  <w:tcW w:w="691" w:type="pct"/>
                  <w:noWrap w:val="0"/>
                  <w:vAlign w:val="center"/>
                </w:tcPr>
                <w:p w14:paraId="2155E9EA">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中频感应电炉</w:t>
                  </w:r>
                </w:p>
              </w:tc>
              <w:tc>
                <w:tcPr>
                  <w:tcW w:w="492" w:type="pct"/>
                  <w:vMerge w:val="restart"/>
                  <w:noWrap w:val="0"/>
                  <w:vAlign w:val="center"/>
                </w:tcPr>
                <w:p w14:paraId="6A5130C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w:t>
                  </w:r>
                </w:p>
                <w:p w14:paraId="4EC6F9BE">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noWrap w:val="0"/>
                  <w:vAlign w:val="center"/>
                </w:tcPr>
                <w:p w14:paraId="46FAFD09">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339-001-64</w:t>
                  </w:r>
                </w:p>
              </w:tc>
              <w:tc>
                <w:tcPr>
                  <w:tcW w:w="664" w:type="pct"/>
                  <w:noWrap w:val="0"/>
                  <w:vAlign w:val="center"/>
                </w:tcPr>
                <w:p w14:paraId="5B9E994B">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271.858</w:t>
                  </w:r>
                </w:p>
              </w:tc>
              <w:tc>
                <w:tcPr>
                  <w:tcW w:w="453" w:type="pct"/>
                  <w:vMerge w:val="restart"/>
                  <w:noWrap w:val="0"/>
                  <w:vAlign w:val="center"/>
                </w:tcPr>
                <w:p w14:paraId="291DC3BE">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一般固废储存间</w:t>
                  </w:r>
                </w:p>
                <w:p w14:paraId="1F90C477">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restart"/>
                  <w:noWrap w:val="0"/>
                  <w:vAlign w:val="center"/>
                </w:tcPr>
                <w:p w14:paraId="7D29239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收集后外售</w:t>
                  </w:r>
                </w:p>
              </w:tc>
            </w:tr>
            <w:tr w14:paraId="322FD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341" w:type="pct"/>
                  <w:vAlign w:val="center"/>
                </w:tcPr>
                <w:p w14:paraId="240BE333">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w:t>
                  </w:r>
                </w:p>
              </w:tc>
              <w:tc>
                <w:tcPr>
                  <w:tcW w:w="946" w:type="pct"/>
                  <w:vAlign w:val="center"/>
                </w:tcPr>
                <w:p w14:paraId="08D970A1">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废砂</w:t>
                  </w:r>
                </w:p>
              </w:tc>
              <w:tc>
                <w:tcPr>
                  <w:tcW w:w="691" w:type="pct"/>
                  <w:vAlign w:val="center"/>
                </w:tcPr>
                <w:p w14:paraId="7DF5815F">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砂处理</w:t>
                  </w:r>
                </w:p>
              </w:tc>
              <w:tc>
                <w:tcPr>
                  <w:tcW w:w="492" w:type="pct"/>
                  <w:vMerge w:val="continue"/>
                  <w:vAlign w:val="center"/>
                </w:tcPr>
                <w:p w14:paraId="0E62BE2C">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vAlign w:val="center"/>
                </w:tcPr>
                <w:p w14:paraId="37C32082">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339-002-99</w:t>
                  </w:r>
                </w:p>
              </w:tc>
              <w:tc>
                <w:tcPr>
                  <w:tcW w:w="664" w:type="pct"/>
                  <w:vAlign w:val="center"/>
                </w:tcPr>
                <w:p w14:paraId="740C97DC">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15.15</w:t>
                  </w:r>
                </w:p>
              </w:tc>
              <w:tc>
                <w:tcPr>
                  <w:tcW w:w="453" w:type="pct"/>
                  <w:vMerge w:val="continue"/>
                  <w:vAlign w:val="center"/>
                </w:tcPr>
                <w:p w14:paraId="7DCF4DCC">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204A44EE">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r>
            <w:tr w14:paraId="49B91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341" w:type="pct"/>
                  <w:vAlign w:val="center"/>
                </w:tcPr>
                <w:p w14:paraId="12887B83">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w:t>
                  </w:r>
                </w:p>
              </w:tc>
              <w:tc>
                <w:tcPr>
                  <w:tcW w:w="946" w:type="pct"/>
                  <w:vAlign w:val="center"/>
                </w:tcPr>
                <w:p w14:paraId="2942A13C">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废浇冒口</w:t>
                  </w:r>
                </w:p>
              </w:tc>
              <w:tc>
                <w:tcPr>
                  <w:tcW w:w="691" w:type="pct"/>
                  <w:vAlign w:val="center"/>
                </w:tcPr>
                <w:p w14:paraId="2E48616C">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去浇冒口</w:t>
                  </w:r>
                </w:p>
              </w:tc>
              <w:tc>
                <w:tcPr>
                  <w:tcW w:w="492" w:type="pct"/>
                  <w:vMerge w:val="continue"/>
                  <w:vAlign w:val="center"/>
                </w:tcPr>
                <w:p w14:paraId="4A523204">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vAlign w:val="center"/>
                </w:tcPr>
                <w:p w14:paraId="4B667CF4">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339-001-99</w:t>
                  </w:r>
                </w:p>
              </w:tc>
              <w:tc>
                <w:tcPr>
                  <w:tcW w:w="664" w:type="pct"/>
                  <w:vAlign w:val="center"/>
                </w:tcPr>
                <w:p w14:paraId="11D4F94E">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12</w:t>
                  </w:r>
                </w:p>
              </w:tc>
              <w:tc>
                <w:tcPr>
                  <w:tcW w:w="453" w:type="pct"/>
                  <w:vMerge w:val="continue"/>
                  <w:vAlign w:val="center"/>
                </w:tcPr>
                <w:p w14:paraId="7B47FD28">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restart"/>
                  <w:vAlign w:val="center"/>
                </w:tcPr>
                <w:p w14:paraId="2A559991">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收集后回用</w:t>
                  </w:r>
                </w:p>
              </w:tc>
            </w:tr>
            <w:tr w14:paraId="7D268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341" w:type="pct"/>
                  <w:vAlign w:val="center"/>
                </w:tcPr>
                <w:p w14:paraId="5CE40686">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4</w:t>
                  </w:r>
                </w:p>
              </w:tc>
              <w:tc>
                <w:tcPr>
                  <w:tcW w:w="946" w:type="pct"/>
                  <w:vAlign w:val="center"/>
                </w:tcPr>
                <w:p w14:paraId="2D0992B7">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金属边角料</w:t>
                  </w:r>
                </w:p>
              </w:tc>
              <w:tc>
                <w:tcPr>
                  <w:tcW w:w="691" w:type="pct"/>
                  <w:vMerge w:val="restart"/>
                  <w:vAlign w:val="center"/>
                </w:tcPr>
                <w:p w14:paraId="06898B09">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抛丸清理、机加工</w:t>
                  </w:r>
                </w:p>
              </w:tc>
              <w:tc>
                <w:tcPr>
                  <w:tcW w:w="492" w:type="pct"/>
                  <w:vMerge w:val="continue"/>
                  <w:vAlign w:val="center"/>
                </w:tcPr>
                <w:p w14:paraId="1E8D85DD">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vAlign w:val="center"/>
                </w:tcPr>
                <w:p w14:paraId="70EED6E2">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339-001-54</w:t>
                  </w:r>
                </w:p>
              </w:tc>
              <w:tc>
                <w:tcPr>
                  <w:tcW w:w="664" w:type="pct"/>
                  <w:vMerge w:val="restart"/>
                  <w:vAlign w:val="center"/>
                </w:tcPr>
                <w:p w14:paraId="678E7C2A">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992</w:t>
                  </w:r>
                </w:p>
              </w:tc>
              <w:tc>
                <w:tcPr>
                  <w:tcW w:w="453" w:type="pct"/>
                  <w:vMerge w:val="continue"/>
                  <w:vAlign w:val="center"/>
                </w:tcPr>
                <w:p w14:paraId="3B3D87BF">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5AEE2339">
                  <w:pPr>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default" w:ascii="Times New Roman" w:hAnsi="Times New Roman" w:eastAsia="宋体" w:cs="Times New Roman"/>
                      <w:b w:val="0"/>
                      <w:bCs/>
                      <w:color w:val="auto"/>
                      <w:kern w:val="0"/>
                      <w:sz w:val="21"/>
                      <w:szCs w:val="21"/>
                      <w:highlight w:val="none"/>
                      <w:lang w:val="en-US" w:eastAsia="zh-CN" w:bidi="ar-SA"/>
                    </w:rPr>
                  </w:pPr>
                </w:p>
              </w:tc>
            </w:tr>
            <w:tr w14:paraId="15CB0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341" w:type="pct"/>
                  <w:vAlign w:val="center"/>
                </w:tcPr>
                <w:p w14:paraId="2073C3A5">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5</w:t>
                  </w:r>
                </w:p>
              </w:tc>
              <w:tc>
                <w:tcPr>
                  <w:tcW w:w="946" w:type="pct"/>
                  <w:vAlign w:val="center"/>
                </w:tcPr>
                <w:p w14:paraId="44FD086B">
                  <w:pPr>
                    <w:keepNext w:val="0"/>
                    <w:keepLines w:val="0"/>
                    <w:widowControl/>
                    <w:suppressLineNumbers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金属屑、废钢丸</w:t>
                  </w:r>
                </w:p>
              </w:tc>
              <w:tc>
                <w:tcPr>
                  <w:tcW w:w="691" w:type="pct"/>
                  <w:vMerge w:val="continue"/>
                  <w:vAlign w:val="center"/>
                </w:tcPr>
                <w:p w14:paraId="09A251A7">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c>
                <w:tcPr>
                  <w:tcW w:w="492" w:type="pct"/>
                  <w:vMerge w:val="continue"/>
                  <w:vAlign w:val="center"/>
                </w:tcPr>
                <w:p w14:paraId="796E637D">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vAlign w:val="center"/>
                </w:tcPr>
                <w:p w14:paraId="5AD29EA4">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339-001-09</w:t>
                  </w:r>
                </w:p>
              </w:tc>
              <w:tc>
                <w:tcPr>
                  <w:tcW w:w="664" w:type="pct"/>
                  <w:vMerge w:val="continue"/>
                  <w:vAlign w:val="center"/>
                </w:tcPr>
                <w:p w14:paraId="3F53639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c>
                <w:tcPr>
                  <w:tcW w:w="453" w:type="pct"/>
                  <w:vMerge w:val="continue"/>
                  <w:vAlign w:val="center"/>
                </w:tcPr>
                <w:p w14:paraId="3A7E9BAD">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3EA6F5D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r>
            <w:tr w14:paraId="3C70A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341" w:type="pct"/>
                  <w:vAlign w:val="center"/>
                </w:tcPr>
                <w:p w14:paraId="7456E04A">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6</w:t>
                  </w:r>
                </w:p>
              </w:tc>
              <w:tc>
                <w:tcPr>
                  <w:tcW w:w="946" w:type="pct"/>
                  <w:vAlign w:val="center"/>
                </w:tcPr>
                <w:p w14:paraId="600646D7">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除尘灰</w:t>
                  </w:r>
                </w:p>
              </w:tc>
              <w:tc>
                <w:tcPr>
                  <w:tcW w:w="691" w:type="pct"/>
                  <w:vAlign w:val="center"/>
                </w:tcPr>
                <w:p w14:paraId="6B227D91">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除尘器</w:t>
                  </w:r>
                </w:p>
              </w:tc>
              <w:tc>
                <w:tcPr>
                  <w:tcW w:w="492" w:type="pct"/>
                  <w:vMerge w:val="continue"/>
                  <w:vAlign w:val="center"/>
                </w:tcPr>
                <w:p w14:paraId="6F78996F">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2" w:type="pct"/>
                  <w:vAlign w:val="center"/>
                </w:tcPr>
                <w:p w14:paraId="2B8B7D9B">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339-001-66</w:t>
                  </w:r>
                </w:p>
              </w:tc>
              <w:tc>
                <w:tcPr>
                  <w:tcW w:w="664" w:type="pct"/>
                  <w:vAlign w:val="center"/>
                </w:tcPr>
                <w:p w14:paraId="4E09E389">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205.186</w:t>
                  </w:r>
                </w:p>
              </w:tc>
              <w:tc>
                <w:tcPr>
                  <w:tcW w:w="453" w:type="pct"/>
                  <w:vMerge w:val="continue"/>
                  <w:vAlign w:val="center"/>
                </w:tcPr>
                <w:p w14:paraId="224FF07D">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Align w:val="center"/>
                </w:tcPr>
                <w:p w14:paraId="10F36DC2">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收集后外售</w:t>
                  </w:r>
                </w:p>
              </w:tc>
            </w:tr>
            <w:tr w14:paraId="49A02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41" w:type="pct"/>
                  <w:vAlign w:val="center"/>
                </w:tcPr>
                <w:p w14:paraId="5AE5DBEB">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7</w:t>
                  </w:r>
                </w:p>
              </w:tc>
              <w:tc>
                <w:tcPr>
                  <w:tcW w:w="946" w:type="pct"/>
                  <w:vAlign w:val="center"/>
                </w:tcPr>
                <w:p w14:paraId="43806973">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生活垃圾</w:t>
                  </w:r>
                </w:p>
              </w:tc>
              <w:tc>
                <w:tcPr>
                  <w:tcW w:w="691" w:type="pct"/>
                  <w:vMerge w:val="restart"/>
                  <w:vAlign w:val="center"/>
                </w:tcPr>
                <w:p w14:paraId="3EDE36AF">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员工生活</w:t>
                  </w:r>
                </w:p>
              </w:tc>
              <w:tc>
                <w:tcPr>
                  <w:tcW w:w="492" w:type="pct"/>
                  <w:vAlign w:val="center"/>
                </w:tcPr>
                <w:p w14:paraId="4204D65D">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832" w:type="pct"/>
                  <w:vAlign w:val="center"/>
                </w:tcPr>
                <w:p w14:paraId="420E7A9F">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664" w:type="pct"/>
                  <w:vAlign w:val="center"/>
                </w:tcPr>
                <w:p w14:paraId="558C4BF3">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7.95</w:t>
                  </w:r>
                </w:p>
              </w:tc>
              <w:tc>
                <w:tcPr>
                  <w:tcW w:w="453" w:type="pct"/>
                  <w:vAlign w:val="center"/>
                </w:tcPr>
                <w:p w14:paraId="4350BFC4">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578" w:type="pct"/>
                  <w:vMerge w:val="restart"/>
                  <w:vAlign w:val="center"/>
                </w:tcPr>
                <w:p w14:paraId="44D37086">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定期由环卫部门清运处理</w:t>
                  </w:r>
                </w:p>
              </w:tc>
            </w:tr>
            <w:tr w14:paraId="510EF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41" w:type="pct"/>
                  <w:vAlign w:val="center"/>
                </w:tcPr>
                <w:p w14:paraId="167278C3">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8</w:t>
                  </w:r>
                </w:p>
              </w:tc>
              <w:tc>
                <w:tcPr>
                  <w:tcW w:w="946" w:type="pct"/>
                  <w:vAlign w:val="center"/>
                </w:tcPr>
                <w:p w14:paraId="36C32EF8">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化粪池污泥</w:t>
                  </w:r>
                </w:p>
              </w:tc>
              <w:tc>
                <w:tcPr>
                  <w:tcW w:w="691" w:type="pct"/>
                  <w:vMerge w:val="continue"/>
                  <w:vAlign w:val="center"/>
                </w:tcPr>
                <w:p w14:paraId="5035A48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p>
              </w:tc>
              <w:tc>
                <w:tcPr>
                  <w:tcW w:w="492" w:type="pct"/>
                  <w:vAlign w:val="center"/>
                </w:tcPr>
                <w:p w14:paraId="25F91416">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832" w:type="pct"/>
                  <w:vAlign w:val="center"/>
                </w:tcPr>
                <w:p w14:paraId="2280523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664" w:type="pct"/>
                  <w:vAlign w:val="center"/>
                </w:tcPr>
                <w:p w14:paraId="08982D4D">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0.084</w:t>
                  </w:r>
                </w:p>
              </w:tc>
              <w:tc>
                <w:tcPr>
                  <w:tcW w:w="453" w:type="pct"/>
                  <w:vAlign w:val="center"/>
                </w:tcPr>
                <w:p w14:paraId="00F496C3">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578" w:type="pct"/>
                  <w:vMerge w:val="continue"/>
                  <w:vAlign w:val="center"/>
                </w:tcPr>
                <w:p w14:paraId="583B12C1">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5CB4A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341" w:type="pct"/>
                  <w:vAlign w:val="center"/>
                </w:tcPr>
                <w:p w14:paraId="723197F0">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9</w:t>
                  </w:r>
                </w:p>
              </w:tc>
              <w:tc>
                <w:tcPr>
                  <w:tcW w:w="946" w:type="pct"/>
                  <w:vAlign w:val="center"/>
                </w:tcPr>
                <w:p w14:paraId="304A7893">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漆渣</w:t>
                  </w:r>
                </w:p>
              </w:tc>
              <w:tc>
                <w:tcPr>
                  <w:tcW w:w="691" w:type="pct"/>
                  <w:vMerge w:val="restart"/>
                  <w:vAlign w:val="center"/>
                </w:tcPr>
                <w:p w14:paraId="0567542D">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喷 漆</w:t>
                  </w:r>
                </w:p>
              </w:tc>
              <w:tc>
                <w:tcPr>
                  <w:tcW w:w="492" w:type="pct"/>
                  <w:vMerge w:val="restart"/>
                  <w:vAlign w:val="center"/>
                </w:tcPr>
                <w:p w14:paraId="29C4B5C0">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r>
                    <w:rPr>
                      <w:rFonts w:hint="default" w:ascii="Times New Roman" w:hAnsi="Times New Roman" w:eastAsia="宋体" w:cs="Times New Roman"/>
                      <w:b w:val="0"/>
                      <w:bCs/>
                      <w:color w:val="auto"/>
                      <w:kern w:val="0"/>
                      <w:sz w:val="21"/>
                      <w:szCs w:val="21"/>
                      <w:highlight w:val="none"/>
                      <w:lang w:val="en-US" w:eastAsia="zh-CN"/>
                    </w:rPr>
                    <w:t>危险废物</w:t>
                  </w:r>
                </w:p>
                <w:p w14:paraId="72FA697B">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0FA2A928">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HW12</w:t>
                  </w:r>
                </w:p>
                <w:p w14:paraId="6E11215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900-252-12</w:t>
                  </w:r>
                </w:p>
              </w:tc>
              <w:tc>
                <w:tcPr>
                  <w:tcW w:w="664" w:type="pct"/>
                  <w:vAlign w:val="center"/>
                </w:tcPr>
                <w:p w14:paraId="6E54C1E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0.038</w:t>
                  </w:r>
                </w:p>
              </w:tc>
              <w:tc>
                <w:tcPr>
                  <w:tcW w:w="453" w:type="pct"/>
                  <w:vMerge w:val="restart"/>
                  <w:vAlign w:val="center"/>
                </w:tcPr>
                <w:p w14:paraId="70FF6570">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p w14:paraId="0277E515">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restart"/>
                  <w:vAlign w:val="center"/>
                </w:tcPr>
                <w:p w14:paraId="688BBF45">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kern w:val="0"/>
                      <w:sz w:val="21"/>
                      <w:szCs w:val="21"/>
                      <w:highlight w:val="none"/>
                      <w:lang w:val="en-US" w:eastAsia="zh-CN"/>
                    </w:rPr>
                    <w:t>收集后存放于厂区</w:t>
                  </w:r>
                  <w:r>
                    <w:rPr>
                      <w:rFonts w:hint="default" w:ascii="Times New Roman" w:hAnsi="Times New Roman" w:eastAsia="宋体" w:cs="Times New Roman"/>
                      <w:color w:val="auto"/>
                      <w:sz w:val="21"/>
                      <w:szCs w:val="21"/>
                      <w:highlight w:val="none"/>
                      <w:lang w:val="en-US" w:eastAsia="zh-CN"/>
                    </w:rPr>
                    <w:t>危废间</w:t>
                  </w:r>
                  <w:r>
                    <w:rPr>
                      <w:rFonts w:hint="default" w:ascii="Times New Roman" w:hAnsi="Times New Roman" w:eastAsia="宋体" w:cs="Times New Roman"/>
                      <w:b w:val="0"/>
                      <w:bCs/>
                      <w:color w:val="auto"/>
                      <w:kern w:val="0"/>
                      <w:sz w:val="21"/>
                      <w:szCs w:val="21"/>
                      <w:highlight w:val="none"/>
                      <w:lang w:val="en-US" w:eastAsia="zh-CN"/>
                    </w:rPr>
                    <w:t>，定期交由有资质单位处理</w:t>
                  </w:r>
                </w:p>
              </w:tc>
            </w:tr>
            <w:tr w14:paraId="3176E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41" w:type="pct"/>
                  <w:vAlign w:val="center"/>
                </w:tcPr>
                <w:p w14:paraId="3BC5935B">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10</w:t>
                  </w:r>
                </w:p>
              </w:tc>
              <w:tc>
                <w:tcPr>
                  <w:tcW w:w="946" w:type="pct"/>
                  <w:vAlign w:val="center"/>
                </w:tcPr>
                <w:p w14:paraId="4C39114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废漆桶</w:t>
                  </w:r>
                </w:p>
              </w:tc>
              <w:tc>
                <w:tcPr>
                  <w:tcW w:w="691" w:type="pct"/>
                  <w:vMerge w:val="continue"/>
                  <w:vAlign w:val="center"/>
                </w:tcPr>
                <w:p w14:paraId="66D6710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c>
                <w:tcPr>
                  <w:tcW w:w="492" w:type="pct"/>
                  <w:vMerge w:val="continue"/>
                  <w:vAlign w:val="center"/>
                </w:tcPr>
                <w:p w14:paraId="7DE9F6B6">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10A9E011">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59C057A7">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64" w:type="pct"/>
                  <w:vAlign w:val="center"/>
                </w:tcPr>
                <w:p w14:paraId="439462D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0.14</w:t>
                  </w:r>
                </w:p>
              </w:tc>
              <w:tc>
                <w:tcPr>
                  <w:tcW w:w="453" w:type="pct"/>
                  <w:vMerge w:val="continue"/>
                  <w:vAlign w:val="center"/>
                </w:tcPr>
                <w:p w14:paraId="5764B0DD">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207FD58D">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2885D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41" w:type="pct"/>
                  <w:vAlign w:val="center"/>
                </w:tcPr>
                <w:p w14:paraId="3166BCF2">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11</w:t>
                  </w:r>
                </w:p>
              </w:tc>
              <w:tc>
                <w:tcPr>
                  <w:tcW w:w="946" w:type="pct"/>
                  <w:vAlign w:val="center"/>
                </w:tcPr>
                <w:p w14:paraId="430DCB4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w:t>
                  </w:r>
                </w:p>
              </w:tc>
              <w:tc>
                <w:tcPr>
                  <w:tcW w:w="691" w:type="pct"/>
                  <w:vMerge w:val="restart"/>
                  <w:vAlign w:val="center"/>
                </w:tcPr>
                <w:p w14:paraId="3B94F1E8">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设备润滑</w:t>
                  </w:r>
                </w:p>
              </w:tc>
              <w:tc>
                <w:tcPr>
                  <w:tcW w:w="492" w:type="pct"/>
                  <w:vMerge w:val="continue"/>
                  <w:vAlign w:val="center"/>
                </w:tcPr>
                <w:p w14:paraId="1021B2D5">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2A99094C">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4409B1F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w:t>
                  </w:r>
                  <w:r>
                    <w:rPr>
                      <w:rFonts w:hint="default" w:ascii="Times New Roman" w:hAnsi="Times New Roman" w:eastAsia="宋体"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rPr>
                    <w:t>-49</w:t>
                  </w:r>
                </w:p>
              </w:tc>
              <w:tc>
                <w:tcPr>
                  <w:tcW w:w="664" w:type="pct"/>
                  <w:vAlign w:val="center"/>
                </w:tcPr>
                <w:p w14:paraId="30341E55">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453" w:type="pct"/>
                  <w:vMerge w:val="continue"/>
                  <w:vAlign w:val="center"/>
                </w:tcPr>
                <w:p w14:paraId="5FFA6DD0">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36EA4D4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2A35B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41" w:type="pct"/>
                  <w:vAlign w:val="center"/>
                </w:tcPr>
                <w:p w14:paraId="18624A45">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12</w:t>
                  </w:r>
                </w:p>
              </w:tc>
              <w:tc>
                <w:tcPr>
                  <w:tcW w:w="946" w:type="pct"/>
                  <w:vAlign w:val="center"/>
                </w:tcPr>
                <w:p w14:paraId="55B042B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废润滑油桶</w:t>
                  </w:r>
                </w:p>
              </w:tc>
              <w:tc>
                <w:tcPr>
                  <w:tcW w:w="691" w:type="pct"/>
                  <w:vMerge w:val="continue"/>
                  <w:vAlign w:val="center"/>
                </w:tcPr>
                <w:p w14:paraId="306F8889">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92" w:type="pct"/>
                  <w:vMerge w:val="continue"/>
                  <w:vAlign w:val="center"/>
                </w:tcPr>
                <w:p w14:paraId="1215158F">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3D9DC59A">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7711CBD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64" w:type="pct"/>
                  <w:vAlign w:val="center"/>
                </w:tcPr>
                <w:p w14:paraId="72390ABA">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453" w:type="pct"/>
                  <w:vMerge w:val="continue"/>
                  <w:vAlign w:val="center"/>
                </w:tcPr>
                <w:p w14:paraId="5010EAA5">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3F62DC52">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18712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341" w:type="pct"/>
                  <w:vAlign w:val="center"/>
                </w:tcPr>
                <w:p w14:paraId="402C2026">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13</w:t>
                  </w:r>
                </w:p>
              </w:tc>
              <w:tc>
                <w:tcPr>
                  <w:tcW w:w="946" w:type="pct"/>
                  <w:vAlign w:val="center"/>
                </w:tcPr>
                <w:p w14:paraId="5D525D2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废过滤棉</w:t>
                  </w:r>
                </w:p>
              </w:tc>
              <w:tc>
                <w:tcPr>
                  <w:tcW w:w="691" w:type="pct"/>
                  <w:vMerge w:val="restart"/>
                  <w:vAlign w:val="center"/>
                </w:tcPr>
                <w:p w14:paraId="44130B7D">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喷漆烘干废气处理</w:t>
                  </w:r>
                </w:p>
              </w:tc>
              <w:tc>
                <w:tcPr>
                  <w:tcW w:w="492" w:type="pct"/>
                  <w:vMerge w:val="continue"/>
                  <w:vAlign w:val="center"/>
                </w:tcPr>
                <w:p w14:paraId="22D187B7">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2B797BB1">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555E251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64" w:type="pct"/>
                  <w:vAlign w:val="center"/>
                </w:tcPr>
                <w:p w14:paraId="1CB7073A">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0.148</w:t>
                  </w:r>
                </w:p>
              </w:tc>
              <w:tc>
                <w:tcPr>
                  <w:tcW w:w="453" w:type="pct"/>
                  <w:vMerge w:val="continue"/>
                  <w:vAlign w:val="center"/>
                </w:tcPr>
                <w:p w14:paraId="4E5EEAB8">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750A6701">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1353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1" w:type="pct"/>
                  <w:vAlign w:val="center"/>
                </w:tcPr>
                <w:p w14:paraId="6A548CC1">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14</w:t>
                  </w:r>
                </w:p>
              </w:tc>
              <w:tc>
                <w:tcPr>
                  <w:tcW w:w="946" w:type="pct"/>
                  <w:vAlign w:val="center"/>
                </w:tcPr>
                <w:p w14:paraId="0E91C68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691" w:type="pct"/>
                  <w:vMerge w:val="continue"/>
                  <w:vAlign w:val="center"/>
                </w:tcPr>
                <w:p w14:paraId="0F3D1DED">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92" w:type="pct"/>
                  <w:vMerge w:val="continue"/>
                  <w:vAlign w:val="center"/>
                </w:tcPr>
                <w:p w14:paraId="547B44C6">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798DA2DF">
                  <w:pPr>
                    <w:pStyle w:val="103"/>
                    <w:bidi w:val="0"/>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9</w:t>
                  </w:r>
                </w:p>
                <w:p w14:paraId="5D38B833">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900-039-49</w:t>
                  </w:r>
                </w:p>
              </w:tc>
              <w:tc>
                <w:tcPr>
                  <w:tcW w:w="664" w:type="pct"/>
                  <w:vAlign w:val="center"/>
                </w:tcPr>
                <w:p w14:paraId="1386FF95">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2.6</w:t>
                  </w:r>
                </w:p>
              </w:tc>
              <w:tc>
                <w:tcPr>
                  <w:tcW w:w="453" w:type="pct"/>
                  <w:vMerge w:val="continue"/>
                  <w:vAlign w:val="center"/>
                </w:tcPr>
                <w:p w14:paraId="1DD21A90">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36C28FA1">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697C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341" w:type="pct"/>
                  <w:vAlign w:val="center"/>
                </w:tcPr>
                <w:p w14:paraId="33EE764F">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15</w:t>
                  </w:r>
                </w:p>
              </w:tc>
              <w:tc>
                <w:tcPr>
                  <w:tcW w:w="946" w:type="pct"/>
                  <w:vAlign w:val="center"/>
                </w:tcPr>
                <w:p w14:paraId="7C726E4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废催化剂</w:t>
                  </w:r>
                </w:p>
              </w:tc>
              <w:tc>
                <w:tcPr>
                  <w:tcW w:w="691" w:type="pct"/>
                  <w:vMerge w:val="continue"/>
                  <w:vAlign w:val="center"/>
                </w:tcPr>
                <w:p w14:paraId="3B30E449">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92" w:type="pct"/>
                  <w:vMerge w:val="continue"/>
                  <w:vAlign w:val="center"/>
                </w:tcPr>
                <w:p w14:paraId="5BDFFBBD">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2" w:type="pct"/>
                  <w:vAlign w:val="center"/>
                </w:tcPr>
                <w:p w14:paraId="33A76B89">
                  <w:pPr>
                    <w:pStyle w:val="103"/>
                    <w:bidi w:val="0"/>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9</w:t>
                  </w:r>
                </w:p>
                <w:p w14:paraId="786265D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900-041-49</w:t>
                  </w:r>
                </w:p>
              </w:tc>
              <w:tc>
                <w:tcPr>
                  <w:tcW w:w="664" w:type="pct"/>
                  <w:vAlign w:val="center"/>
                </w:tcPr>
                <w:p w14:paraId="5C6ED4D9">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0.004</w:t>
                  </w:r>
                </w:p>
              </w:tc>
              <w:tc>
                <w:tcPr>
                  <w:tcW w:w="453" w:type="pct"/>
                  <w:vMerge w:val="continue"/>
                  <w:vAlign w:val="center"/>
                </w:tcPr>
                <w:p w14:paraId="27948FF6">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78" w:type="pct"/>
                  <w:vMerge w:val="continue"/>
                  <w:vAlign w:val="center"/>
                </w:tcPr>
                <w:p w14:paraId="57D84F26">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bl>
          <w:p w14:paraId="1E4AE008">
            <w:pPr>
              <w:keepNext w:val="0"/>
              <w:keepLines w:val="0"/>
              <w:pageBreakBefore w:val="0"/>
              <w:widowControl w:val="0"/>
              <w:kinsoku/>
              <w:wordWrap/>
              <w:overflowPunct/>
              <w:topLinePunct w:val="0"/>
              <w:autoSpaceDE/>
              <w:autoSpaceDN/>
              <w:bidi w:val="0"/>
              <w:adjustRightInd/>
              <w:snapToGrid/>
              <w:spacing w:line="480" w:lineRule="exact"/>
              <w:ind w:firstLine="482" w:firstLineChars="200"/>
              <w:jc w:val="center"/>
              <w:textAlignment w:val="auto"/>
              <w:rPr>
                <w:rFonts w:hint="default"/>
                <w:b/>
                <w:bCs/>
                <w:color w:val="auto"/>
                <w:sz w:val="24"/>
                <w:szCs w:val="24"/>
                <w:highlight w:val="none"/>
                <w:lang w:val="en-US" w:eastAsia="zh-CN"/>
              </w:rPr>
            </w:pPr>
            <w:r>
              <w:rPr>
                <w:rFonts w:hint="default"/>
                <w:b/>
                <w:bCs/>
                <w:color w:val="auto"/>
                <w:sz w:val="24"/>
                <w:szCs w:val="24"/>
                <w:highlight w:val="none"/>
              </w:rPr>
              <w:t>表</w:t>
            </w:r>
            <w:r>
              <w:rPr>
                <w:rFonts w:hint="eastAsia"/>
                <w:b/>
                <w:bCs/>
                <w:color w:val="auto"/>
                <w:sz w:val="24"/>
                <w:szCs w:val="24"/>
                <w:highlight w:val="none"/>
                <w:lang w:val="en-US" w:eastAsia="zh-CN"/>
              </w:rPr>
              <w:t>2-17</w:t>
            </w:r>
            <w:r>
              <w:rPr>
                <w:rFonts w:hint="default"/>
                <w:b/>
                <w:bCs/>
                <w:color w:val="auto"/>
                <w:sz w:val="24"/>
                <w:szCs w:val="24"/>
                <w:highlight w:val="none"/>
              </w:rPr>
              <w:t xml:space="preserve"> </w:t>
            </w:r>
            <w:r>
              <w:rPr>
                <w:rFonts w:hint="eastAsia"/>
                <w:b/>
                <w:bCs/>
                <w:color w:val="auto"/>
                <w:sz w:val="24"/>
                <w:szCs w:val="24"/>
                <w:highlight w:val="none"/>
                <w:lang w:val="en-US" w:eastAsia="zh-CN"/>
              </w:rPr>
              <w:t>现有</w:t>
            </w:r>
            <w:r>
              <w:rPr>
                <w:rFonts w:hint="default"/>
                <w:b/>
                <w:bCs/>
                <w:color w:val="auto"/>
                <w:sz w:val="24"/>
                <w:szCs w:val="24"/>
                <w:highlight w:val="none"/>
              </w:rPr>
              <w:t>项目</w:t>
            </w:r>
            <w:r>
              <w:rPr>
                <w:rFonts w:hint="eastAsia"/>
                <w:b/>
                <w:bCs/>
                <w:color w:val="auto"/>
                <w:sz w:val="24"/>
                <w:szCs w:val="24"/>
                <w:highlight w:val="none"/>
                <w:lang w:val="en-US" w:eastAsia="zh-CN"/>
              </w:rPr>
              <w:t>厂界噪声监测结果</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990"/>
              <w:gridCol w:w="1702"/>
              <w:gridCol w:w="990"/>
              <w:gridCol w:w="995"/>
              <w:gridCol w:w="3619"/>
            </w:tblGrid>
            <w:tr w14:paraId="622DE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434" w:hRule="atLeast"/>
                <w:jc w:val="center"/>
              </w:trPr>
              <w:tc>
                <w:tcPr>
                  <w:tcW w:w="597" w:type="pct"/>
                  <w:shd w:val="clear" w:color="auto" w:fill="auto"/>
                  <w:noWrap/>
                  <w:vAlign w:val="center"/>
                </w:tcPr>
                <w:p w14:paraId="4AB3F3CE">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p>
              </w:tc>
              <w:tc>
                <w:tcPr>
                  <w:tcW w:w="1026" w:type="pct"/>
                  <w:shd w:val="clear" w:color="auto" w:fill="auto"/>
                  <w:noWrap/>
                  <w:vAlign w:val="center"/>
                </w:tcPr>
                <w:p w14:paraId="0DF8183A">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东厂界</w:t>
                  </w:r>
                </w:p>
              </w:tc>
              <w:tc>
                <w:tcPr>
                  <w:tcW w:w="597" w:type="pct"/>
                  <w:shd w:val="clear" w:color="auto" w:fill="auto"/>
                  <w:noWrap/>
                  <w:vAlign w:val="center"/>
                </w:tcPr>
                <w:p w14:paraId="66BAB002">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南厂界</w:t>
                  </w:r>
                </w:p>
              </w:tc>
              <w:tc>
                <w:tcPr>
                  <w:tcW w:w="600" w:type="pct"/>
                  <w:shd w:val="clear" w:color="auto" w:fill="auto"/>
                  <w:noWrap/>
                  <w:vAlign w:val="center"/>
                </w:tcPr>
                <w:p w14:paraId="5ACE3D5B">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北厂界</w:t>
                  </w:r>
                </w:p>
              </w:tc>
              <w:tc>
                <w:tcPr>
                  <w:tcW w:w="2178" w:type="pct"/>
                  <w:shd w:val="clear" w:color="auto" w:fill="auto"/>
                  <w:noWrap/>
                  <w:vAlign w:val="center"/>
                </w:tcPr>
                <w:p w14:paraId="77C6B0CB">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备注</w:t>
                  </w:r>
                </w:p>
              </w:tc>
            </w:tr>
            <w:tr w14:paraId="15ABC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1" w:hRule="atLeast"/>
                <w:jc w:val="center"/>
              </w:trPr>
              <w:tc>
                <w:tcPr>
                  <w:tcW w:w="597" w:type="pct"/>
                  <w:shd w:val="clear" w:color="auto" w:fill="auto"/>
                  <w:noWrap/>
                  <w:vAlign w:val="center"/>
                </w:tcPr>
                <w:p w14:paraId="16F5A02E">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昼间</w:t>
                  </w:r>
                </w:p>
              </w:tc>
              <w:tc>
                <w:tcPr>
                  <w:tcW w:w="1026" w:type="pct"/>
                  <w:shd w:val="clear" w:color="auto" w:fill="auto"/>
                  <w:noWrap/>
                  <w:vAlign w:val="center"/>
                </w:tcPr>
                <w:p w14:paraId="09C7A352">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56.6</w:t>
                  </w:r>
                </w:p>
              </w:tc>
              <w:tc>
                <w:tcPr>
                  <w:tcW w:w="597" w:type="pct"/>
                  <w:shd w:val="clear" w:color="auto" w:fill="auto"/>
                  <w:noWrap/>
                  <w:vAlign w:val="center"/>
                </w:tcPr>
                <w:p w14:paraId="7117302E">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55.1</w:t>
                  </w:r>
                </w:p>
              </w:tc>
              <w:tc>
                <w:tcPr>
                  <w:tcW w:w="600" w:type="pct"/>
                  <w:shd w:val="clear" w:color="auto" w:fill="auto"/>
                  <w:noWrap/>
                  <w:vAlign w:val="center"/>
                </w:tcPr>
                <w:p w14:paraId="7912B8A6">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57.2</w:t>
                  </w:r>
                </w:p>
              </w:tc>
              <w:tc>
                <w:tcPr>
                  <w:tcW w:w="2178" w:type="pct"/>
                  <w:vMerge w:val="restart"/>
                  <w:shd w:val="clear" w:color="auto" w:fill="auto"/>
                  <w:noWrap/>
                  <w:vAlign w:val="center"/>
                </w:tcPr>
                <w:p w14:paraId="34353397">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西厂界近邻其他企业不具备检测条件</w:t>
                  </w:r>
                </w:p>
              </w:tc>
            </w:tr>
            <w:tr w14:paraId="532D5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59" w:hRule="atLeast"/>
                <w:jc w:val="center"/>
              </w:trPr>
              <w:tc>
                <w:tcPr>
                  <w:tcW w:w="597" w:type="pct"/>
                  <w:shd w:val="clear" w:color="auto" w:fill="auto"/>
                  <w:noWrap/>
                  <w:vAlign w:val="center"/>
                </w:tcPr>
                <w:p w14:paraId="7EC493DD">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夜间</w:t>
                  </w:r>
                </w:p>
              </w:tc>
              <w:tc>
                <w:tcPr>
                  <w:tcW w:w="1026" w:type="pct"/>
                  <w:shd w:val="clear" w:color="auto" w:fill="auto"/>
                  <w:noWrap/>
                  <w:vAlign w:val="center"/>
                </w:tcPr>
                <w:p w14:paraId="54F648C0">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47.4</w:t>
                  </w:r>
                </w:p>
              </w:tc>
              <w:tc>
                <w:tcPr>
                  <w:tcW w:w="597" w:type="pct"/>
                  <w:shd w:val="clear" w:color="auto" w:fill="auto"/>
                  <w:noWrap/>
                  <w:vAlign w:val="center"/>
                </w:tcPr>
                <w:p w14:paraId="2376DEFE">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46.2</w:t>
                  </w:r>
                </w:p>
              </w:tc>
              <w:tc>
                <w:tcPr>
                  <w:tcW w:w="600" w:type="pct"/>
                  <w:shd w:val="clear" w:color="auto" w:fill="auto"/>
                  <w:noWrap/>
                  <w:vAlign w:val="center"/>
                </w:tcPr>
                <w:p w14:paraId="668A25FC">
                  <w:pPr>
                    <w:pStyle w:val="103"/>
                    <w:bidi w:val="0"/>
                    <w:spacing w:line="240" w:lineRule="auto"/>
                    <w:ind w:left="21" w:leftChars="10" w:right="21" w:rightChars="1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47.9</w:t>
                  </w:r>
                </w:p>
              </w:tc>
              <w:tc>
                <w:tcPr>
                  <w:tcW w:w="2178" w:type="pct"/>
                  <w:vMerge w:val="continue"/>
                  <w:shd w:val="clear" w:color="auto" w:fill="auto"/>
                  <w:noWrap/>
                  <w:vAlign w:val="center"/>
                </w:tcPr>
                <w:p w14:paraId="35312DFE">
                  <w:pPr>
                    <w:pStyle w:val="103"/>
                    <w:bidi w:val="0"/>
                    <w:spacing w:line="240" w:lineRule="auto"/>
                    <w:ind w:left="21" w:leftChars="10" w:right="21" w:rightChars="10"/>
                    <w:jc w:val="center"/>
                    <w:rPr>
                      <w:rFonts w:hint="eastAsia" w:ascii="Times New Roman" w:hAnsi="Times New Roman" w:eastAsia="宋体" w:cs="Times New Roman"/>
                      <w:color w:val="auto"/>
                      <w:sz w:val="21"/>
                      <w:szCs w:val="21"/>
                      <w:highlight w:val="none"/>
                      <w:lang w:val="en-US" w:eastAsia="zh-CN"/>
                    </w:rPr>
                  </w:pPr>
                </w:p>
              </w:tc>
            </w:tr>
          </w:tbl>
          <w:p w14:paraId="6F4BA5B7">
            <w:pPr>
              <w:pStyle w:val="14"/>
              <w:numPr>
                <w:ilvl w:val="0"/>
                <w:numId w:val="0"/>
              </w:numPr>
              <w:rPr>
                <w:rFonts w:hint="default"/>
                <w:color w:val="auto"/>
                <w:highlight w:val="none"/>
              </w:rPr>
            </w:pPr>
          </w:p>
          <w:p w14:paraId="6EC21E97">
            <w:pPr>
              <w:pStyle w:val="13"/>
              <w:keepNext w:val="0"/>
              <w:keepLines w:val="0"/>
              <w:pageBreakBefore w:val="0"/>
              <w:numPr>
                <w:ilvl w:val="0"/>
                <w:numId w:val="0"/>
              </w:numPr>
              <w:kinsoku/>
              <w:wordWrap/>
              <w:overflowPunct/>
              <w:topLinePunct w:val="0"/>
              <w:bidi w:val="0"/>
              <w:adjustRightInd/>
              <w:spacing w:before="0" w:after="0" w:line="360" w:lineRule="auto"/>
              <w:ind w:leftChars="0" w:right="0" w:rightChars="0" w:firstLine="480" w:firstLineChars="200"/>
              <w:textAlignment w:val="auto"/>
              <w:rPr>
                <w:rFonts w:hint="default"/>
                <w:color w:val="auto"/>
                <w:sz w:val="24"/>
                <w:szCs w:val="24"/>
                <w:highlight w:val="none"/>
                <w:lang w:val="en-US" w:eastAsia="zh-CN"/>
              </w:rPr>
            </w:pPr>
            <w:r>
              <w:rPr>
                <w:rFonts w:hint="default"/>
                <w:color w:val="auto"/>
                <w:sz w:val="24"/>
                <w:szCs w:val="24"/>
                <w:highlight w:val="none"/>
              </w:rPr>
              <w:t>因此，</w:t>
            </w:r>
            <w:r>
              <w:rPr>
                <w:rFonts w:hint="eastAsia"/>
                <w:color w:val="auto"/>
                <w:sz w:val="24"/>
                <w:szCs w:val="24"/>
                <w:highlight w:val="none"/>
                <w:lang w:val="en-US" w:eastAsia="zh-CN"/>
              </w:rPr>
              <w:t>现有</w:t>
            </w:r>
            <w:r>
              <w:rPr>
                <w:rFonts w:hint="default"/>
                <w:color w:val="auto"/>
                <w:sz w:val="24"/>
                <w:szCs w:val="24"/>
                <w:highlight w:val="none"/>
              </w:rPr>
              <w:t>项目</w:t>
            </w:r>
            <w:r>
              <w:rPr>
                <w:rFonts w:hint="default"/>
                <w:color w:val="auto"/>
                <w:sz w:val="24"/>
                <w:szCs w:val="24"/>
                <w:highlight w:val="none"/>
                <w:lang w:eastAsia="zh-CN"/>
              </w:rPr>
              <w:t>实际</w:t>
            </w:r>
            <w:r>
              <w:rPr>
                <w:rFonts w:hint="eastAsia"/>
                <w:color w:val="auto"/>
                <w:sz w:val="24"/>
                <w:szCs w:val="24"/>
                <w:highlight w:val="none"/>
                <w:lang w:val="en-US" w:eastAsia="zh-CN"/>
              </w:rPr>
              <w:t>主要</w:t>
            </w:r>
            <w:r>
              <w:rPr>
                <w:rFonts w:hint="default"/>
                <w:color w:val="auto"/>
                <w:sz w:val="24"/>
                <w:szCs w:val="24"/>
                <w:highlight w:val="none"/>
                <w:lang w:eastAsia="zh-CN"/>
              </w:rPr>
              <w:t>污染物排放</w:t>
            </w:r>
            <w:r>
              <w:rPr>
                <w:rFonts w:hint="default"/>
                <w:color w:val="auto"/>
                <w:sz w:val="24"/>
                <w:szCs w:val="24"/>
                <w:highlight w:val="none"/>
              </w:rPr>
              <w:t>总量</w:t>
            </w:r>
            <w:r>
              <w:rPr>
                <w:rFonts w:hint="default"/>
                <w:color w:val="auto"/>
                <w:sz w:val="24"/>
                <w:szCs w:val="24"/>
                <w:highlight w:val="none"/>
                <w:lang w:eastAsia="zh-CN"/>
              </w:rPr>
              <w:t>为</w:t>
            </w:r>
            <w:r>
              <w:rPr>
                <w:color w:val="auto"/>
                <w:sz w:val="24"/>
                <w:szCs w:val="24"/>
                <w:highlight w:val="none"/>
              </w:rPr>
              <w:t>COD：</w:t>
            </w:r>
            <w:r>
              <w:rPr>
                <w:rFonts w:hint="eastAsia"/>
                <w:color w:val="auto"/>
                <w:sz w:val="24"/>
                <w:szCs w:val="24"/>
                <w:highlight w:val="none"/>
                <w:lang w:val="en-US" w:eastAsia="zh-CN"/>
              </w:rPr>
              <w:t>0.132</w:t>
            </w:r>
            <w:r>
              <w:rPr>
                <w:color w:val="auto"/>
                <w:sz w:val="24"/>
                <w:szCs w:val="24"/>
                <w:highlight w:val="none"/>
              </w:rPr>
              <w:t>t/a；NH</w:t>
            </w:r>
            <w:r>
              <w:rPr>
                <w:color w:val="auto"/>
                <w:sz w:val="24"/>
                <w:szCs w:val="24"/>
                <w:highlight w:val="none"/>
                <w:vertAlign w:val="subscript"/>
              </w:rPr>
              <w:t>3</w:t>
            </w:r>
            <w:r>
              <w:rPr>
                <w:color w:val="auto"/>
                <w:sz w:val="24"/>
                <w:szCs w:val="24"/>
                <w:highlight w:val="none"/>
              </w:rPr>
              <w:t>-N：</w:t>
            </w:r>
            <w:r>
              <w:rPr>
                <w:rFonts w:hint="eastAsia"/>
                <w:color w:val="auto"/>
                <w:sz w:val="24"/>
                <w:szCs w:val="24"/>
                <w:highlight w:val="none"/>
                <w:lang w:val="en-US" w:eastAsia="zh-CN"/>
              </w:rPr>
              <w:t>0.007</w:t>
            </w:r>
            <w:r>
              <w:rPr>
                <w:color w:val="auto"/>
                <w:sz w:val="24"/>
                <w:szCs w:val="24"/>
                <w:highlight w:val="none"/>
              </w:rPr>
              <w:t>t/a；SO</w:t>
            </w:r>
            <w:r>
              <w:rPr>
                <w:color w:val="auto"/>
                <w:sz w:val="24"/>
                <w:szCs w:val="24"/>
                <w:highlight w:val="none"/>
                <w:vertAlign w:val="subscript"/>
              </w:rPr>
              <w:t>2</w:t>
            </w:r>
            <w:r>
              <w:rPr>
                <w:color w:val="auto"/>
                <w:sz w:val="24"/>
                <w:szCs w:val="24"/>
                <w:highlight w:val="none"/>
              </w:rPr>
              <w:t>：</w:t>
            </w:r>
            <w:r>
              <w:rPr>
                <w:rFonts w:hint="eastAsia"/>
                <w:color w:val="auto"/>
                <w:sz w:val="24"/>
                <w:szCs w:val="24"/>
                <w:highlight w:val="none"/>
              </w:rPr>
              <w:t>0</w:t>
            </w:r>
            <w:r>
              <w:rPr>
                <w:color w:val="auto"/>
                <w:sz w:val="24"/>
                <w:szCs w:val="24"/>
                <w:highlight w:val="none"/>
              </w:rPr>
              <w:t>t/a、NO</w:t>
            </w:r>
            <w:r>
              <w:rPr>
                <w:rFonts w:hint="eastAsia"/>
                <w:color w:val="auto"/>
                <w:sz w:val="24"/>
                <w:szCs w:val="24"/>
                <w:highlight w:val="none"/>
                <w:lang w:val="en-US" w:eastAsia="zh-CN"/>
              </w:rPr>
              <w:t>x</w:t>
            </w:r>
            <w:r>
              <w:rPr>
                <w:color w:val="auto"/>
                <w:sz w:val="24"/>
                <w:szCs w:val="24"/>
                <w:highlight w:val="none"/>
              </w:rPr>
              <w:t>：</w:t>
            </w:r>
            <w:r>
              <w:rPr>
                <w:rFonts w:hint="eastAsia"/>
                <w:color w:val="auto"/>
                <w:sz w:val="24"/>
                <w:szCs w:val="24"/>
                <w:highlight w:val="none"/>
                <w:lang w:val="en-US" w:eastAsia="zh-CN"/>
              </w:rPr>
              <w:t>0.041</w:t>
            </w:r>
            <w:r>
              <w:rPr>
                <w:color w:val="auto"/>
                <w:sz w:val="24"/>
                <w:szCs w:val="24"/>
                <w:highlight w:val="none"/>
              </w:rPr>
              <w:t>t/a、颗</w:t>
            </w:r>
            <w:r>
              <w:rPr>
                <w:rFonts w:hint="default"/>
                <w:color w:val="auto"/>
                <w:sz w:val="24"/>
                <w:szCs w:val="24"/>
                <w:highlight w:val="none"/>
                <w:lang w:val="en-US" w:eastAsia="zh-CN"/>
              </w:rPr>
              <w:t>粒物：</w:t>
            </w:r>
            <w:r>
              <w:rPr>
                <w:rFonts w:hint="eastAsia"/>
                <w:color w:val="auto"/>
                <w:sz w:val="24"/>
                <w:szCs w:val="24"/>
                <w:highlight w:val="none"/>
                <w:lang w:val="en-US" w:eastAsia="zh-CN"/>
              </w:rPr>
              <w:t>3.233</w:t>
            </w:r>
            <w:r>
              <w:rPr>
                <w:rFonts w:hint="default"/>
                <w:color w:val="auto"/>
                <w:sz w:val="24"/>
                <w:szCs w:val="24"/>
                <w:highlight w:val="none"/>
                <w:lang w:val="en-US" w:eastAsia="zh-CN"/>
              </w:rPr>
              <w:t>t/a</w:t>
            </w:r>
            <w:r>
              <w:rPr>
                <w:rFonts w:hint="eastAsia"/>
                <w:color w:val="auto"/>
                <w:sz w:val="24"/>
                <w:szCs w:val="24"/>
                <w:highlight w:val="none"/>
                <w:lang w:val="en-US" w:eastAsia="zh-CN"/>
              </w:rPr>
              <w:t>、非甲烷总烃</w:t>
            </w:r>
            <w:r>
              <w:rPr>
                <w:rFonts w:hint="default"/>
                <w:color w:val="auto"/>
                <w:sz w:val="24"/>
                <w:szCs w:val="24"/>
                <w:highlight w:val="none"/>
                <w:lang w:val="en-US" w:eastAsia="zh-CN"/>
              </w:rPr>
              <w:t>：</w:t>
            </w:r>
            <w:r>
              <w:rPr>
                <w:rFonts w:hint="eastAsia"/>
                <w:color w:val="auto"/>
                <w:sz w:val="24"/>
                <w:szCs w:val="24"/>
                <w:highlight w:val="none"/>
                <w:lang w:val="en-US" w:eastAsia="zh-CN"/>
              </w:rPr>
              <w:t>0.044</w:t>
            </w:r>
            <w:r>
              <w:rPr>
                <w:rFonts w:hint="default"/>
                <w:color w:val="auto"/>
                <w:sz w:val="24"/>
                <w:szCs w:val="24"/>
                <w:highlight w:val="none"/>
                <w:lang w:val="en-US" w:eastAsia="zh-CN"/>
              </w:rPr>
              <w:t>t/</w:t>
            </w:r>
            <w:r>
              <w:rPr>
                <w:color w:val="auto"/>
                <w:sz w:val="24"/>
                <w:szCs w:val="24"/>
                <w:highlight w:val="none"/>
              </w:rPr>
              <w:t>a，</w:t>
            </w:r>
            <w:r>
              <w:rPr>
                <w:rFonts w:hint="default"/>
                <w:color w:val="auto"/>
                <w:sz w:val="24"/>
                <w:szCs w:val="24"/>
                <w:highlight w:val="none"/>
              </w:rPr>
              <w:t>满足</w:t>
            </w:r>
            <w:r>
              <w:rPr>
                <w:rFonts w:hint="eastAsia"/>
                <w:color w:val="auto"/>
                <w:sz w:val="24"/>
                <w:szCs w:val="24"/>
                <w:highlight w:val="none"/>
                <w:lang w:val="en-US" w:eastAsia="zh-CN"/>
              </w:rPr>
              <w:t>现有项目许可、环评批复量指标：</w:t>
            </w:r>
            <w:r>
              <w:rPr>
                <w:rFonts w:hint="default"/>
                <w:color w:val="auto"/>
                <w:sz w:val="24"/>
                <w:szCs w:val="24"/>
                <w:highlight w:val="none"/>
                <w:lang w:val="en-US" w:eastAsia="zh-CN"/>
              </w:rPr>
              <w:t>COD：</w:t>
            </w:r>
            <w:r>
              <w:rPr>
                <w:rFonts w:hint="eastAsia"/>
                <w:color w:val="auto"/>
                <w:sz w:val="24"/>
                <w:szCs w:val="24"/>
                <w:highlight w:val="none"/>
                <w:lang w:val="en-US" w:eastAsia="zh-CN"/>
              </w:rPr>
              <w:t>0.512</w:t>
            </w:r>
            <w:r>
              <w:rPr>
                <w:rFonts w:hint="default"/>
                <w:color w:val="auto"/>
                <w:sz w:val="24"/>
                <w:szCs w:val="24"/>
                <w:highlight w:val="none"/>
                <w:lang w:val="en-US" w:eastAsia="zh-CN"/>
              </w:rPr>
              <w:t>t/a；NH</w:t>
            </w:r>
            <w:r>
              <w:rPr>
                <w:rFonts w:hint="default"/>
                <w:color w:val="auto"/>
                <w:sz w:val="24"/>
                <w:szCs w:val="24"/>
                <w:highlight w:val="none"/>
                <w:vertAlign w:val="subscript"/>
                <w:lang w:val="en-US" w:eastAsia="zh-CN"/>
              </w:rPr>
              <w:t>3</w:t>
            </w:r>
            <w:r>
              <w:rPr>
                <w:rFonts w:hint="default"/>
                <w:color w:val="auto"/>
                <w:sz w:val="24"/>
                <w:szCs w:val="24"/>
                <w:highlight w:val="none"/>
                <w:lang w:val="en-US" w:eastAsia="zh-CN"/>
              </w:rPr>
              <w:t>-N：</w:t>
            </w:r>
            <w:r>
              <w:rPr>
                <w:rFonts w:hint="eastAsia"/>
                <w:color w:val="auto"/>
                <w:sz w:val="24"/>
                <w:szCs w:val="24"/>
                <w:highlight w:val="none"/>
                <w:lang w:val="en-US" w:eastAsia="zh-CN"/>
              </w:rPr>
              <w:t>0.045</w:t>
            </w:r>
            <w:r>
              <w:rPr>
                <w:rFonts w:hint="default"/>
                <w:color w:val="auto"/>
                <w:sz w:val="24"/>
                <w:szCs w:val="24"/>
                <w:highlight w:val="none"/>
                <w:lang w:val="en-US" w:eastAsia="zh-CN"/>
              </w:rPr>
              <w:t>t/a；SO</w:t>
            </w:r>
            <w:r>
              <w:rPr>
                <w:rFonts w:hint="default"/>
                <w:color w:val="auto"/>
                <w:sz w:val="24"/>
                <w:szCs w:val="24"/>
                <w:highlight w:val="none"/>
                <w:vertAlign w:val="subscript"/>
                <w:lang w:val="en-US" w:eastAsia="zh-CN"/>
              </w:rPr>
              <w:t>2</w:t>
            </w:r>
            <w:r>
              <w:rPr>
                <w:rFonts w:hint="default"/>
                <w:color w:val="auto"/>
                <w:sz w:val="24"/>
                <w:szCs w:val="24"/>
                <w:highlight w:val="none"/>
                <w:lang w:val="en-US" w:eastAsia="zh-CN"/>
              </w:rPr>
              <w:t>：0.312t/a；NO</w:t>
            </w:r>
            <w:r>
              <w:rPr>
                <w:rFonts w:hint="default"/>
                <w:color w:val="auto"/>
                <w:sz w:val="24"/>
                <w:szCs w:val="24"/>
                <w:highlight w:val="none"/>
                <w:vertAlign w:val="subscript"/>
                <w:lang w:val="en-US" w:eastAsia="zh-CN"/>
              </w:rPr>
              <w:t>X</w:t>
            </w:r>
            <w:r>
              <w:rPr>
                <w:rFonts w:hint="default"/>
                <w:color w:val="auto"/>
                <w:sz w:val="24"/>
                <w:szCs w:val="24"/>
                <w:highlight w:val="none"/>
                <w:lang w:val="en-US" w:eastAsia="zh-CN"/>
              </w:rPr>
              <w:t>：0.936t/a；颗粒物：</w:t>
            </w:r>
            <w:r>
              <w:rPr>
                <w:rFonts w:hint="eastAsia"/>
                <w:color w:val="auto"/>
                <w:sz w:val="24"/>
                <w:szCs w:val="24"/>
                <w:highlight w:val="none"/>
                <w:lang w:val="en-US" w:eastAsia="zh-CN"/>
              </w:rPr>
              <w:t>4.725</w:t>
            </w:r>
            <w:r>
              <w:rPr>
                <w:rFonts w:hint="default"/>
                <w:color w:val="auto"/>
                <w:sz w:val="24"/>
                <w:szCs w:val="24"/>
                <w:highlight w:val="none"/>
                <w:lang w:val="en-US" w:eastAsia="zh-CN"/>
              </w:rPr>
              <w:t>t/a</w:t>
            </w:r>
            <w:r>
              <w:rPr>
                <w:rFonts w:hint="eastAsia"/>
                <w:color w:val="auto"/>
                <w:sz w:val="24"/>
                <w:szCs w:val="24"/>
                <w:highlight w:val="none"/>
                <w:lang w:val="en-US" w:eastAsia="zh-CN"/>
              </w:rPr>
              <w:t>；VOC</w:t>
            </w:r>
            <w:r>
              <w:rPr>
                <w:rFonts w:hint="eastAsia"/>
                <w:color w:val="auto"/>
                <w:sz w:val="24"/>
                <w:szCs w:val="24"/>
                <w:highlight w:val="none"/>
                <w:vertAlign w:val="subscript"/>
                <w:lang w:val="en-US" w:eastAsia="zh-CN"/>
              </w:rPr>
              <w:t>S</w:t>
            </w:r>
            <w:r>
              <w:rPr>
                <w:rFonts w:hint="eastAsia"/>
                <w:color w:val="auto"/>
                <w:sz w:val="24"/>
                <w:szCs w:val="24"/>
                <w:highlight w:val="none"/>
                <w:lang w:val="en-US" w:eastAsia="zh-CN"/>
              </w:rPr>
              <w:t>（非甲烷总烃）</w:t>
            </w:r>
            <w:r>
              <w:rPr>
                <w:rFonts w:hint="default"/>
                <w:color w:val="auto"/>
                <w:sz w:val="24"/>
                <w:szCs w:val="24"/>
                <w:highlight w:val="none"/>
                <w:lang w:val="en-US" w:eastAsia="zh-CN"/>
              </w:rPr>
              <w:t>：</w:t>
            </w:r>
            <w:r>
              <w:rPr>
                <w:rFonts w:hint="eastAsia"/>
                <w:color w:val="auto"/>
                <w:sz w:val="24"/>
                <w:szCs w:val="24"/>
                <w:highlight w:val="none"/>
                <w:lang w:val="en-US" w:eastAsia="zh-CN"/>
              </w:rPr>
              <w:t>0.052</w:t>
            </w:r>
            <w:r>
              <w:rPr>
                <w:rFonts w:hint="default"/>
                <w:color w:val="auto"/>
                <w:sz w:val="24"/>
                <w:szCs w:val="24"/>
                <w:highlight w:val="none"/>
                <w:lang w:val="en-US" w:eastAsia="zh-CN"/>
              </w:rPr>
              <w:t>t/a。</w:t>
            </w:r>
          </w:p>
          <w:p w14:paraId="4F9D706F">
            <w:pPr>
              <w:pStyle w:val="14"/>
              <w:widowControl w:val="0"/>
              <w:numPr>
                <w:ilvl w:val="0"/>
                <w:numId w:val="0"/>
              </w:numPr>
              <w:jc w:val="both"/>
              <w:rPr>
                <w:rFonts w:hint="default"/>
                <w:color w:val="auto"/>
                <w:sz w:val="24"/>
                <w:szCs w:val="24"/>
                <w:highlight w:val="none"/>
                <w:lang w:val="en-US" w:eastAsia="zh-CN"/>
              </w:rPr>
            </w:pPr>
          </w:p>
          <w:p w14:paraId="3ABFB640">
            <w:pPr>
              <w:keepNext w:val="0"/>
              <w:keepLines w:val="0"/>
              <w:pageBreakBefore w:val="0"/>
              <w:widowControl/>
              <w:numPr>
                <w:ilvl w:val="0"/>
                <w:numId w:val="10"/>
              </w:numPr>
              <w:kinsoku/>
              <w:wordWrap/>
              <w:overflowPunct/>
              <w:topLinePunct w:val="0"/>
              <w:autoSpaceDE/>
              <w:autoSpaceDN/>
              <w:bidi w:val="0"/>
              <w:adjustRightInd w:val="0"/>
              <w:snapToGrid w:val="0"/>
              <w:spacing w:line="360" w:lineRule="auto"/>
              <w:ind w:left="-60" w:leftChars="0" w:firstLine="480" w:firstLineChars="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现有工程存在环保问题及整改措施</w:t>
            </w:r>
          </w:p>
          <w:p w14:paraId="2130B03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default"/>
                <w:color w:val="auto"/>
                <w:sz w:val="24"/>
                <w:szCs w:val="24"/>
                <w:highlight w:val="none"/>
                <w:lang w:val="en-US" w:eastAsia="zh-CN"/>
              </w:rPr>
            </w:pPr>
            <w:r>
              <w:rPr>
                <w:rFonts w:hint="eastAsia"/>
                <w:color w:val="auto"/>
                <w:sz w:val="24"/>
                <w:szCs w:val="24"/>
                <w:highlight w:val="none"/>
                <w:lang w:val="en-US" w:eastAsia="zh-CN"/>
              </w:rPr>
              <w:t>现有工程环保手续齐全，企业按照环评及排污要求排放，废水废气噪声符合排放标准，固废严格按照要求进行处置，现有工程不存在环保问题。</w:t>
            </w:r>
          </w:p>
          <w:p w14:paraId="4E79B85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200"/>
              <w:jc w:val="left"/>
              <w:textAlignment w:val="auto"/>
              <w:rPr>
                <w:rFonts w:hint="default"/>
                <w:color w:val="auto"/>
                <w:sz w:val="24"/>
                <w:szCs w:val="24"/>
                <w:highlight w:val="none"/>
                <w:lang w:val="en-US" w:eastAsia="zh-CN"/>
              </w:rPr>
            </w:pPr>
          </w:p>
          <w:p w14:paraId="1D6D8DE9">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200"/>
              <w:jc w:val="left"/>
              <w:textAlignment w:val="auto"/>
              <w:rPr>
                <w:rFonts w:hint="default"/>
                <w:color w:val="auto"/>
                <w:sz w:val="24"/>
                <w:szCs w:val="24"/>
                <w:highlight w:val="none"/>
                <w:lang w:val="en-US" w:eastAsia="zh-CN"/>
              </w:rPr>
            </w:pPr>
          </w:p>
          <w:p w14:paraId="15FC0F96">
            <w:pPr>
              <w:pStyle w:val="34"/>
              <w:rPr>
                <w:rFonts w:hint="default"/>
                <w:color w:val="auto"/>
                <w:sz w:val="24"/>
                <w:szCs w:val="24"/>
                <w:highlight w:val="none"/>
                <w:lang w:val="en-US" w:eastAsia="zh-CN"/>
              </w:rPr>
            </w:pPr>
          </w:p>
          <w:p w14:paraId="7FDEF573">
            <w:pPr>
              <w:rPr>
                <w:rFonts w:hint="default"/>
                <w:color w:val="auto"/>
                <w:sz w:val="24"/>
                <w:szCs w:val="24"/>
                <w:highlight w:val="none"/>
                <w:lang w:val="en-US" w:eastAsia="zh-CN"/>
              </w:rPr>
            </w:pPr>
          </w:p>
          <w:p w14:paraId="02097756">
            <w:pPr>
              <w:pStyle w:val="34"/>
              <w:rPr>
                <w:rFonts w:hint="default"/>
                <w:color w:val="auto"/>
                <w:sz w:val="24"/>
                <w:szCs w:val="24"/>
                <w:highlight w:val="none"/>
                <w:lang w:val="en-US" w:eastAsia="zh-CN"/>
              </w:rPr>
            </w:pPr>
          </w:p>
          <w:p w14:paraId="6E857096">
            <w:pPr>
              <w:rPr>
                <w:rFonts w:hint="default"/>
                <w:color w:val="auto"/>
                <w:highlight w:val="none"/>
                <w:lang w:val="en-US" w:eastAsia="zh-CN"/>
              </w:rPr>
            </w:pPr>
          </w:p>
          <w:p w14:paraId="61AAD2BA">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left"/>
              <w:textAlignment w:val="auto"/>
              <w:rPr>
                <w:rFonts w:hint="default" w:eastAsia="宋体"/>
                <w:color w:val="auto"/>
                <w:highlight w:val="none"/>
                <w:lang w:val="en-US" w:eastAsia="zh-CN"/>
              </w:rPr>
            </w:pPr>
          </w:p>
        </w:tc>
      </w:tr>
    </w:tbl>
    <w:p w14:paraId="40B14ED2">
      <w:pPr>
        <w:pStyle w:val="30"/>
        <w:jc w:val="center"/>
        <w:rPr>
          <w:rFonts w:ascii="Times New Roman" w:hAnsi="Times New Roman" w:eastAsia="黑体"/>
          <w:snapToGrid w:val="0"/>
          <w:color w:val="auto"/>
          <w:sz w:val="36"/>
          <w:szCs w:val="36"/>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14:paraId="2F81D8F0">
      <w:pPr>
        <w:pStyle w:val="30"/>
        <w:jc w:val="center"/>
        <w:outlineLvl w:val="0"/>
        <w:rPr>
          <w:rFonts w:ascii="Times New Roman" w:hAnsi="Times New Roman" w:eastAsia="黑体"/>
          <w:snapToGrid w:val="0"/>
          <w:color w:val="auto"/>
          <w:sz w:val="30"/>
          <w:szCs w:val="30"/>
          <w:highlight w:val="none"/>
        </w:rPr>
      </w:pPr>
      <w:bookmarkStart w:id="10" w:name="_Toc7385"/>
      <w:r>
        <w:rPr>
          <w:rFonts w:ascii="Times New Roman" w:hAnsi="Times New Roman" w:eastAsia="黑体"/>
          <w:snapToGrid w:val="0"/>
          <w:color w:val="auto"/>
          <w:sz w:val="30"/>
          <w:szCs w:val="30"/>
          <w:highlight w:val="none"/>
        </w:rPr>
        <w:t>三、区域环境质量现状、环境保护目标及评价标准</w:t>
      </w:r>
      <w:bookmarkEnd w:id="10"/>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8605"/>
      </w:tblGrid>
      <w:tr w14:paraId="4A0F15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533" w:type="dxa"/>
            <w:noWrap w:val="0"/>
            <w:vAlign w:val="center"/>
          </w:tcPr>
          <w:p w14:paraId="6F26E517">
            <w:pPr>
              <w:adjustRightInd w:val="0"/>
              <w:snapToGrid w:val="0"/>
              <w:jc w:val="center"/>
              <w:rPr>
                <w:color w:val="auto"/>
                <w:kern w:val="0"/>
                <w:sz w:val="24"/>
                <w:highlight w:val="none"/>
              </w:rPr>
            </w:pPr>
            <w:r>
              <w:rPr>
                <w:color w:val="auto"/>
                <w:kern w:val="0"/>
                <w:sz w:val="24"/>
                <w:highlight w:val="none"/>
              </w:rPr>
              <w:t>区域</w:t>
            </w:r>
          </w:p>
          <w:p w14:paraId="3395DBF7">
            <w:pPr>
              <w:adjustRightInd w:val="0"/>
              <w:snapToGrid w:val="0"/>
              <w:jc w:val="center"/>
              <w:rPr>
                <w:color w:val="auto"/>
                <w:kern w:val="0"/>
                <w:sz w:val="24"/>
                <w:highlight w:val="none"/>
              </w:rPr>
            </w:pPr>
            <w:r>
              <w:rPr>
                <w:color w:val="auto"/>
                <w:kern w:val="0"/>
                <w:sz w:val="24"/>
                <w:highlight w:val="none"/>
              </w:rPr>
              <w:t>环境</w:t>
            </w:r>
          </w:p>
          <w:p w14:paraId="21384C03">
            <w:pPr>
              <w:adjustRightInd w:val="0"/>
              <w:snapToGrid w:val="0"/>
              <w:jc w:val="center"/>
              <w:rPr>
                <w:color w:val="auto"/>
                <w:kern w:val="0"/>
                <w:sz w:val="24"/>
                <w:highlight w:val="none"/>
              </w:rPr>
            </w:pPr>
            <w:r>
              <w:rPr>
                <w:color w:val="auto"/>
                <w:kern w:val="0"/>
                <w:sz w:val="24"/>
                <w:highlight w:val="none"/>
              </w:rPr>
              <w:t>质量</w:t>
            </w:r>
          </w:p>
          <w:p w14:paraId="1B7488B9">
            <w:pPr>
              <w:adjustRightInd w:val="0"/>
              <w:snapToGrid w:val="0"/>
              <w:jc w:val="center"/>
              <w:rPr>
                <w:color w:val="auto"/>
                <w:kern w:val="0"/>
                <w:sz w:val="24"/>
                <w:highlight w:val="none"/>
              </w:rPr>
            </w:pPr>
            <w:r>
              <w:rPr>
                <w:color w:val="auto"/>
                <w:kern w:val="0"/>
                <w:sz w:val="24"/>
                <w:highlight w:val="none"/>
              </w:rPr>
              <w:t>现状</w:t>
            </w:r>
          </w:p>
        </w:tc>
        <w:tc>
          <w:tcPr>
            <w:tcW w:w="8528" w:type="dxa"/>
            <w:noWrap w:val="0"/>
            <w:vAlign w:val="center"/>
          </w:tcPr>
          <w:p w14:paraId="738A92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一</w:t>
            </w:r>
            <w:r>
              <w:rPr>
                <w:rFonts w:hint="default" w:ascii="Times New Roman" w:hAnsi="Times New Roman" w:eastAsia="宋体" w:cs="Times New Roman"/>
                <w:color w:val="auto"/>
                <w:sz w:val="24"/>
                <w:szCs w:val="24"/>
                <w:highlight w:val="none"/>
              </w:rPr>
              <w:t>、环境空气质量现状</w:t>
            </w:r>
          </w:p>
          <w:p w14:paraId="0FCD6B91">
            <w:pPr>
              <w:pStyle w:val="118"/>
              <w:spacing w:line="360" w:lineRule="auto"/>
              <w:rPr>
                <w:rFonts w:hint="default" w:ascii="Times New Roman" w:hAnsi="Times New Roman" w:eastAsia="宋体" w:cs="Times New Roman"/>
                <w:highlight w:val="none"/>
              </w:rPr>
            </w:pPr>
            <w:bookmarkStart w:id="11" w:name="_Toc52375605"/>
            <w:r>
              <w:rPr>
                <w:rFonts w:hint="default" w:ascii="Times New Roman" w:hAnsi="Times New Roman" w:eastAsia="宋体" w:cs="Times New Roman"/>
                <w:highlight w:val="none"/>
                <w:lang w:val="en-US" w:eastAsia="zh-CN"/>
              </w:rPr>
              <w:t>1、</w:t>
            </w:r>
            <w:r>
              <w:rPr>
                <w:rFonts w:hint="default" w:ascii="Times New Roman" w:hAnsi="Times New Roman" w:eastAsia="宋体" w:cs="Times New Roman"/>
                <w:highlight w:val="none"/>
              </w:rPr>
              <w:t>空气质量达标区判定</w:t>
            </w:r>
            <w:bookmarkEnd w:id="11"/>
          </w:p>
          <w:p w14:paraId="0E17594F">
            <w:pPr>
              <w:adjustRightInd/>
              <w:snapToGrid/>
              <w:spacing w:line="440" w:lineRule="exact"/>
              <w:ind w:firstLine="480" w:firstLineChars="200"/>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color w:val="auto"/>
                <w:sz w:val="24"/>
                <w:szCs w:val="24"/>
                <w:highlight w:val="none"/>
              </w:rPr>
              <w:t>大气环境质量基本因子PM</w:t>
            </w:r>
            <w:r>
              <w:rPr>
                <w:rFonts w:hint="default" w:ascii="Times New Roman" w:hAnsi="Times New Roman" w:eastAsia="宋体" w:cs="Times New Roman"/>
                <w:color w:val="auto"/>
                <w:sz w:val="24"/>
                <w:szCs w:val="24"/>
                <w:highlight w:val="none"/>
                <w:vertAlign w:val="subscript"/>
              </w:rPr>
              <w:t>2.5</w:t>
            </w:r>
            <w:r>
              <w:rPr>
                <w:rFonts w:hint="default" w:ascii="Times New Roman" w:hAnsi="Times New Roman" w:eastAsia="宋体" w:cs="Times New Roman"/>
                <w:color w:val="auto"/>
                <w:sz w:val="24"/>
                <w:szCs w:val="24"/>
                <w:highlight w:val="none"/>
              </w:rPr>
              <w:t>、PM</w:t>
            </w:r>
            <w:r>
              <w:rPr>
                <w:rFonts w:hint="default" w:ascii="Times New Roman" w:hAnsi="Times New Roman" w:eastAsia="宋体" w:cs="Times New Roman"/>
                <w:color w:val="auto"/>
                <w:sz w:val="24"/>
                <w:szCs w:val="24"/>
                <w:highlight w:val="none"/>
                <w:vertAlign w:val="subscript"/>
              </w:rPr>
              <w:t>10</w:t>
            </w:r>
            <w:r>
              <w:rPr>
                <w:rFonts w:hint="default" w:ascii="Times New Roman" w:hAnsi="Times New Roman" w:eastAsia="宋体" w:cs="Times New Roman"/>
                <w:color w:val="auto"/>
                <w:sz w:val="24"/>
                <w:szCs w:val="24"/>
                <w:highlight w:val="none"/>
              </w:rPr>
              <w:t>、SO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、NO</w:t>
            </w:r>
            <w:r>
              <w:rPr>
                <w:rFonts w:hint="default" w:ascii="Times New Roman" w:hAnsi="Times New Roman" w:eastAsia="宋体" w:cs="Times New Roman"/>
                <w:color w:val="auto"/>
                <w:sz w:val="24"/>
                <w:szCs w:val="24"/>
                <w:highlight w:val="none"/>
                <w:vertAlign w:val="subscript"/>
              </w:rPr>
              <w:t>2</w:t>
            </w:r>
            <w:r>
              <w:rPr>
                <w:rFonts w:hint="default" w:ascii="Times New Roman" w:hAnsi="Times New Roman" w:eastAsia="宋体" w:cs="Times New Roman"/>
                <w:color w:val="auto"/>
                <w:sz w:val="24"/>
                <w:szCs w:val="24"/>
                <w:highlight w:val="none"/>
              </w:rPr>
              <w:t>、CO、O</w:t>
            </w:r>
            <w:r>
              <w:rPr>
                <w:rFonts w:hint="default" w:ascii="Times New Roman" w:hAnsi="Times New Roman" w:eastAsia="宋体" w:cs="Times New Roman"/>
                <w:color w:val="auto"/>
                <w:sz w:val="24"/>
                <w:szCs w:val="24"/>
                <w:highlight w:val="none"/>
                <w:vertAlign w:val="subscript"/>
              </w:rPr>
              <w:t>3</w:t>
            </w:r>
            <w:r>
              <w:rPr>
                <w:rFonts w:hint="eastAsia" w:cs="Times New Roman"/>
                <w:color w:val="auto"/>
                <w:sz w:val="24"/>
                <w:szCs w:val="24"/>
                <w:highlight w:val="none"/>
                <w:vertAlign w:val="baseline"/>
                <w:lang w:eastAsia="zh-CN"/>
              </w:rPr>
              <w:t>，</w:t>
            </w:r>
            <w:r>
              <w:rPr>
                <w:rFonts w:hint="default" w:ascii="Times New Roman" w:hAnsi="Times New Roman" w:eastAsia="宋体" w:cs="Times New Roman"/>
                <w:color w:val="auto"/>
                <w:sz w:val="24"/>
                <w:szCs w:val="24"/>
                <w:highlight w:val="none"/>
                <w:vertAlign w:val="baseline"/>
                <w:lang w:val="en-US" w:eastAsia="zh-CN"/>
              </w:rPr>
              <w:t>根据</w:t>
            </w:r>
            <w:r>
              <w:rPr>
                <w:rFonts w:hint="default" w:ascii="Times New Roman" w:hAnsi="Times New Roman" w:eastAsia="宋体" w:cs="Times New Roman"/>
                <w:bCs/>
                <w:color w:val="auto"/>
                <w:sz w:val="24"/>
                <w:szCs w:val="24"/>
                <w:highlight w:val="none"/>
              </w:rPr>
              <w:t>《202</w:t>
            </w:r>
            <w:r>
              <w:rPr>
                <w:rFonts w:hint="eastAsia" w:cs="Times New Roman"/>
                <w:bCs/>
                <w:color w:val="auto"/>
                <w:sz w:val="24"/>
                <w:szCs w:val="24"/>
                <w:highlight w:val="none"/>
                <w:lang w:val="en-US" w:eastAsia="zh-CN"/>
              </w:rPr>
              <w:t>4</w:t>
            </w:r>
            <w:r>
              <w:rPr>
                <w:rFonts w:hint="default" w:ascii="Times New Roman" w:hAnsi="Times New Roman" w:eastAsia="宋体" w:cs="Times New Roman"/>
                <w:bCs/>
                <w:color w:val="auto"/>
                <w:sz w:val="24"/>
                <w:szCs w:val="24"/>
                <w:highlight w:val="none"/>
              </w:rPr>
              <w:t>年</w:t>
            </w:r>
            <w:r>
              <w:rPr>
                <w:rFonts w:hint="default" w:ascii="Times New Roman" w:hAnsi="Times New Roman" w:eastAsia="宋体" w:cs="Times New Roman"/>
                <w:bCs/>
                <w:color w:val="auto"/>
                <w:sz w:val="24"/>
                <w:szCs w:val="24"/>
                <w:highlight w:val="none"/>
                <w:lang w:val="en-US" w:eastAsia="zh-CN"/>
              </w:rPr>
              <w:t>石家庄市</w:t>
            </w:r>
            <w:r>
              <w:rPr>
                <w:rFonts w:hint="default" w:ascii="Times New Roman" w:hAnsi="Times New Roman" w:eastAsia="宋体" w:cs="Times New Roman"/>
                <w:bCs/>
                <w:color w:val="auto"/>
                <w:sz w:val="24"/>
                <w:szCs w:val="24"/>
                <w:highlight w:val="none"/>
              </w:rPr>
              <w:t>生态环境状况公报》中</w:t>
            </w:r>
            <w:r>
              <w:rPr>
                <w:rFonts w:hint="default" w:ascii="Times New Roman" w:hAnsi="Times New Roman" w:eastAsia="宋体" w:cs="Times New Roman"/>
                <w:bCs/>
                <w:color w:val="auto"/>
                <w:sz w:val="24"/>
                <w:szCs w:val="24"/>
                <w:highlight w:val="none"/>
                <w:lang w:val="en-US" w:eastAsia="zh-CN"/>
              </w:rPr>
              <w:t>的</w:t>
            </w:r>
            <w:r>
              <w:rPr>
                <w:rFonts w:hint="default" w:ascii="Times New Roman" w:hAnsi="Times New Roman" w:eastAsia="宋体" w:cs="Times New Roman"/>
                <w:bCs/>
                <w:color w:val="auto"/>
                <w:sz w:val="24"/>
                <w:szCs w:val="24"/>
                <w:highlight w:val="none"/>
              </w:rPr>
              <w:t>相关数据进行判定。</w:t>
            </w:r>
          </w:p>
          <w:p w14:paraId="771B0BC3">
            <w:pPr>
              <w:pStyle w:val="11"/>
              <w:keepNext/>
              <w:widowControl w:val="0"/>
              <w:bidi w:val="0"/>
              <w:adjustRightInd/>
              <w:snapToGrid/>
              <w:spacing w:before="30" w:beforeLines="30" w:line="288" w:lineRule="auto"/>
              <w:ind w:firstLine="0" w:firstLineChars="0"/>
              <w:jc w:val="center"/>
              <w:rPr>
                <w:rFonts w:hint="default" w:ascii="Times New Roman" w:hAnsi="Times New Roman" w:eastAsia="宋体" w:cs="Times New Roman"/>
                <w:b/>
                <w:color w:val="auto"/>
                <w:kern w:val="2"/>
                <w:sz w:val="24"/>
                <w:highlight w:val="none"/>
                <w:lang w:val="en-US" w:eastAsia="zh-CN" w:bidi="ar-SA"/>
              </w:rPr>
            </w:pPr>
            <w:r>
              <w:rPr>
                <w:rFonts w:hint="default" w:ascii="Times New Roman" w:hAnsi="Times New Roman" w:eastAsia="宋体" w:cs="Times New Roman"/>
                <w:highlight w:val="none"/>
              </w:rPr>
              <w:t xml:space="preserve">表 </w:t>
            </w:r>
            <w:r>
              <w:rPr>
                <w:rFonts w:hint="default" w:ascii="Times New Roman" w:hAnsi="Times New Roman" w:eastAsia="宋体" w:cs="Times New Roman"/>
                <w:highlight w:val="none"/>
                <w:lang w:val="en-US" w:eastAsia="zh-CN"/>
              </w:rPr>
              <w:t xml:space="preserve">3-1 </w:t>
            </w:r>
            <w:r>
              <w:rPr>
                <w:rFonts w:hint="default" w:ascii="Times New Roman" w:hAnsi="Times New Roman" w:eastAsia="宋体" w:cs="Times New Roman"/>
                <w:b/>
                <w:color w:val="auto"/>
                <w:kern w:val="2"/>
                <w:sz w:val="24"/>
                <w:highlight w:val="none"/>
                <w:lang w:val="en-US" w:eastAsia="zh-CN" w:bidi="ar-SA"/>
              </w:rPr>
              <w:t>石家庄市环境空气质量现状评价表</w:t>
            </w:r>
          </w:p>
          <w:tbl>
            <w:tblPr>
              <w:tblStyle w:val="36"/>
              <w:tblW w:w="8376"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088"/>
              <w:gridCol w:w="3068"/>
              <w:gridCol w:w="1223"/>
              <w:gridCol w:w="995"/>
              <w:gridCol w:w="972"/>
              <w:gridCol w:w="1030"/>
            </w:tblGrid>
            <w:tr w14:paraId="75DDFB0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top w:val="single" w:color="auto" w:sz="4" w:space="0"/>
                  </w:tcBorders>
                  <w:noWrap w:val="0"/>
                  <w:vAlign w:val="center"/>
                </w:tcPr>
                <w:p w14:paraId="03BB007F">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污染物</w:t>
                  </w:r>
                </w:p>
              </w:tc>
              <w:tc>
                <w:tcPr>
                  <w:tcW w:w="3068" w:type="dxa"/>
                  <w:tcBorders>
                    <w:top w:val="single" w:color="auto" w:sz="4" w:space="0"/>
                  </w:tcBorders>
                  <w:noWrap w:val="0"/>
                  <w:vAlign w:val="center"/>
                </w:tcPr>
                <w:p w14:paraId="69D7ECE7">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年评价指标</w:t>
                  </w:r>
                </w:p>
              </w:tc>
              <w:tc>
                <w:tcPr>
                  <w:tcW w:w="1223" w:type="dxa"/>
                  <w:tcBorders>
                    <w:top w:val="single" w:color="auto" w:sz="4" w:space="0"/>
                  </w:tcBorders>
                  <w:noWrap w:val="0"/>
                  <w:vAlign w:val="center"/>
                </w:tcPr>
                <w:p w14:paraId="24923012">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现状浓度</w:t>
                  </w:r>
                  <w:r>
                    <w:rPr>
                      <w:rFonts w:hint="default" w:ascii="Times New Roman" w:hAnsi="Times New Roman" w:eastAsia="宋体" w:cs="Times New Roman"/>
                      <w:color w:val="auto"/>
                      <w:sz w:val="21"/>
                      <w:szCs w:val="21"/>
                      <w:highlight w:val="none"/>
                    </w:rPr>
                    <w:t>μg/m</w:t>
                  </w:r>
                  <w:r>
                    <w:rPr>
                      <w:rFonts w:hint="default" w:ascii="Times New Roman" w:hAnsi="Times New Roman" w:eastAsia="宋体" w:cs="Times New Roman"/>
                      <w:color w:val="auto"/>
                      <w:sz w:val="21"/>
                      <w:szCs w:val="21"/>
                      <w:highlight w:val="none"/>
                      <w:vertAlign w:val="superscript"/>
                    </w:rPr>
                    <w:t>3</w:t>
                  </w:r>
                </w:p>
              </w:tc>
              <w:tc>
                <w:tcPr>
                  <w:tcW w:w="995" w:type="dxa"/>
                  <w:tcBorders>
                    <w:top w:val="single" w:color="auto" w:sz="4" w:space="0"/>
                  </w:tcBorders>
                  <w:noWrap w:val="0"/>
                  <w:vAlign w:val="center"/>
                </w:tcPr>
                <w:p w14:paraId="1C8CDC4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标准值</w:t>
                  </w:r>
                  <w:r>
                    <w:rPr>
                      <w:rFonts w:hint="default" w:ascii="Times New Roman" w:hAnsi="Times New Roman" w:eastAsia="宋体" w:cs="Times New Roman"/>
                      <w:color w:val="auto"/>
                      <w:sz w:val="21"/>
                      <w:szCs w:val="21"/>
                      <w:highlight w:val="none"/>
                    </w:rPr>
                    <w:t>μg/m</w:t>
                  </w:r>
                  <w:r>
                    <w:rPr>
                      <w:rFonts w:hint="default" w:ascii="Times New Roman" w:hAnsi="Times New Roman" w:eastAsia="宋体" w:cs="Times New Roman"/>
                      <w:color w:val="auto"/>
                      <w:sz w:val="21"/>
                      <w:szCs w:val="21"/>
                      <w:highlight w:val="none"/>
                      <w:vertAlign w:val="superscript"/>
                    </w:rPr>
                    <w:t>3</w:t>
                  </w:r>
                </w:p>
              </w:tc>
              <w:tc>
                <w:tcPr>
                  <w:tcW w:w="972" w:type="dxa"/>
                  <w:tcBorders>
                    <w:top w:val="single" w:color="auto" w:sz="4" w:space="0"/>
                  </w:tcBorders>
                  <w:noWrap w:val="0"/>
                  <w:vAlign w:val="center"/>
                </w:tcPr>
                <w:p w14:paraId="6DDF8CF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占标率/%</w:t>
                  </w:r>
                </w:p>
              </w:tc>
              <w:tc>
                <w:tcPr>
                  <w:tcW w:w="1030" w:type="dxa"/>
                  <w:tcBorders>
                    <w:top w:val="single" w:color="auto" w:sz="4" w:space="0"/>
                    <w:right w:val="single" w:color="auto" w:sz="4" w:space="0"/>
                  </w:tcBorders>
                  <w:noWrap w:val="0"/>
                  <w:vAlign w:val="center"/>
                </w:tcPr>
                <w:p w14:paraId="0CEEE83C">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达标情况</w:t>
                  </w:r>
                </w:p>
              </w:tc>
            </w:tr>
            <w:tr w14:paraId="42DBB87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tcBorders>
                  <w:noWrap w:val="0"/>
                  <w:vAlign w:val="center"/>
                </w:tcPr>
                <w:p w14:paraId="7A18D77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10</w:t>
                  </w:r>
                </w:p>
              </w:tc>
              <w:tc>
                <w:tcPr>
                  <w:tcW w:w="3068" w:type="dxa"/>
                  <w:noWrap w:val="0"/>
                  <w:vAlign w:val="center"/>
                </w:tcPr>
                <w:p w14:paraId="4FF32B5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w:t>
                  </w:r>
                </w:p>
              </w:tc>
              <w:tc>
                <w:tcPr>
                  <w:tcW w:w="1223" w:type="dxa"/>
                  <w:noWrap w:val="0"/>
                  <w:vAlign w:val="center"/>
                </w:tcPr>
                <w:p w14:paraId="3BEAD74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78</w:t>
                  </w:r>
                </w:p>
              </w:tc>
              <w:tc>
                <w:tcPr>
                  <w:tcW w:w="995" w:type="dxa"/>
                  <w:noWrap w:val="0"/>
                  <w:vAlign w:val="center"/>
                </w:tcPr>
                <w:p w14:paraId="4AEDE74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60</w:t>
                  </w:r>
                </w:p>
              </w:tc>
              <w:tc>
                <w:tcPr>
                  <w:tcW w:w="972" w:type="dxa"/>
                  <w:noWrap w:val="0"/>
                  <w:vAlign w:val="center"/>
                </w:tcPr>
                <w:p w14:paraId="4D1AFC0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130 </w:t>
                  </w:r>
                </w:p>
              </w:tc>
              <w:tc>
                <w:tcPr>
                  <w:tcW w:w="1030" w:type="dxa"/>
                  <w:tcBorders>
                    <w:right w:val="single" w:color="auto" w:sz="4" w:space="0"/>
                  </w:tcBorders>
                  <w:noWrap w:val="0"/>
                  <w:vAlign w:val="center"/>
                </w:tcPr>
                <w:p w14:paraId="6EB74AE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rPr>
                    <w:t>达标</w:t>
                  </w:r>
                </w:p>
              </w:tc>
            </w:tr>
            <w:tr w14:paraId="4720700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tcBorders>
                  <w:noWrap w:val="0"/>
                  <w:vAlign w:val="center"/>
                </w:tcPr>
                <w:p w14:paraId="44C18BE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2.5</w:t>
                  </w:r>
                </w:p>
              </w:tc>
              <w:tc>
                <w:tcPr>
                  <w:tcW w:w="3068" w:type="dxa"/>
                  <w:noWrap w:val="0"/>
                  <w:vAlign w:val="center"/>
                </w:tcPr>
                <w:p w14:paraId="1AB0A55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w:t>
                  </w:r>
                </w:p>
              </w:tc>
              <w:tc>
                <w:tcPr>
                  <w:tcW w:w="1223" w:type="dxa"/>
                  <w:noWrap w:val="0"/>
                  <w:vAlign w:val="center"/>
                </w:tcPr>
                <w:p w14:paraId="11F17E8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rPr>
                    <w:t>45</w:t>
                  </w:r>
                </w:p>
              </w:tc>
              <w:tc>
                <w:tcPr>
                  <w:tcW w:w="995" w:type="dxa"/>
                  <w:noWrap w:val="0"/>
                  <w:vAlign w:val="center"/>
                </w:tcPr>
                <w:p w14:paraId="1017AD9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30</w:t>
                  </w:r>
                </w:p>
              </w:tc>
              <w:tc>
                <w:tcPr>
                  <w:tcW w:w="972" w:type="dxa"/>
                  <w:noWrap w:val="0"/>
                  <w:vAlign w:val="center"/>
                </w:tcPr>
                <w:p w14:paraId="3030782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150</w:t>
                  </w:r>
                </w:p>
              </w:tc>
              <w:tc>
                <w:tcPr>
                  <w:tcW w:w="1030" w:type="dxa"/>
                  <w:tcBorders>
                    <w:right w:val="single" w:color="auto" w:sz="4" w:space="0"/>
                  </w:tcBorders>
                  <w:noWrap w:val="0"/>
                  <w:vAlign w:val="center"/>
                </w:tcPr>
                <w:p w14:paraId="56F2DD0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不达标</w:t>
                  </w:r>
                </w:p>
              </w:tc>
            </w:tr>
            <w:tr w14:paraId="204B0AC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tcBorders>
                  <w:noWrap w:val="0"/>
                  <w:vAlign w:val="center"/>
                </w:tcPr>
                <w:p w14:paraId="283DC72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SO</w:t>
                  </w:r>
                  <w:r>
                    <w:rPr>
                      <w:rFonts w:hint="default" w:ascii="Times New Roman" w:hAnsi="Times New Roman" w:eastAsia="宋体" w:cs="Times New Roman"/>
                      <w:color w:val="auto"/>
                      <w:sz w:val="21"/>
                      <w:szCs w:val="21"/>
                      <w:highlight w:val="none"/>
                      <w:vertAlign w:val="subscript"/>
                    </w:rPr>
                    <w:t>2</w:t>
                  </w:r>
                </w:p>
              </w:tc>
              <w:tc>
                <w:tcPr>
                  <w:tcW w:w="3068" w:type="dxa"/>
                  <w:noWrap w:val="0"/>
                  <w:vAlign w:val="center"/>
                </w:tcPr>
                <w:p w14:paraId="5D63C2C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w:t>
                  </w:r>
                </w:p>
              </w:tc>
              <w:tc>
                <w:tcPr>
                  <w:tcW w:w="1223" w:type="dxa"/>
                  <w:noWrap w:val="0"/>
                  <w:vAlign w:val="center"/>
                </w:tcPr>
                <w:p w14:paraId="1DCF58A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5</w:t>
                  </w:r>
                </w:p>
              </w:tc>
              <w:tc>
                <w:tcPr>
                  <w:tcW w:w="995" w:type="dxa"/>
                  <w:noWrap w:val="0"/>
                  <w:vAlign w:val="center"/>
                </w:tcPr>
                <w:p w14:paraId="5124751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60</w:t>
                  </w:r>
                </w:p>
              </w:tc>
              <w:tc>
                <w:tcPr>
                  <w:tcW w:w="972" w:type="dxa"/>
                  <w:noWrap w:val="0"/>
                  <w:vAlign w:val="center"/>
                </w:tcPr>
                <w:p w14:paraId="55DDD9E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8</w:t>
                  </w:r>
                  <w:r>
                    <w:rPr>
                      <w:rFonts w:hint="eastAsia" w:cs="Times New Roman"/>
                      <w:color w:val="auto"/>
                      <w:sz w:val="21"/>
                      <w:szCs w:val="21"/>
                      <w:highlight w:val="none"/>
                      <w:lang w:val="en-US" w:eastAsia="zh-CN"/>
                    </w:rPr>
                    <w:t>.33</w:t>
                  </w:r>
                </w:p>
              </w:tc>
              <w:tc>
                <w:tcPr>
                  <w:tcW w:w="1030" w:type="dxa"/>
                  <w:tcBorders>
                    <w:right w:val="single" w:color="auto" w:sz="4" w:space="0"/>
                  </w:tcBorders>
                  <w:noWrap w:val="0"/>
                  <w:vAlign w:val="center"/>
                </w:tcPr>
                <w:p w14:paraId="32F4C2E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20DCE1E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tcBorders>
                  <w:noWrap w:val="0"/>
                  <w:vAlign w:val="center"/>
                </w:tcPr>
                <w:p w14:paraId="359A718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NO</w:t>
                  </w:r>
                  <w:r>
                    <w:rPr>
                      <w:rFonts w:hint="default" w:ascii="Times New Roman" w:hAnsi="Times New Roman" w:eastAsia="宋体" w:cs="Times New Roman"/>
                      <w:color w:val="auto"/>
                      <w:sz w:val="21"/>
                      <w:szCs w:val="21"/>
                      <w:highlight w:val="none"/>
                      <w:vertAlign w:val="subscript"/>
                    </w:rPr>
                    <w:t>2</w:t>
                  </w:r>
                </w:p>
              </w:tc>
              <w:tc>
                <w:tcPr>
                  <w:tcW w:w="3068" w:type="dxa"/>
                  <w:noWrap w:val="0"/>
                  <w:vAlign w:val="center"/>
                </w:tcPr>
                <w:p w14:paraId="56DF83C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年平均</w:t>
                  </w:r>
                </w:p>
              </w:tc>
              <w:tc>
                <w:tcPr>
                  <w:tcW w:w="1223" w:type="dxa"/>
                  <w:noWrap w:val="0"/>
                  <w:vAlign w:val="center"/>
                </w:tcPr>
                <w:p w14:paraId="3088CC8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rPr>
                    <w:t>27</w:t>
                  </w:r>
                </w:p>
              </w:tc>
              <w:tc>
                <w:tcPr>
                  <w:tcW w:w="995" w:type="dxa"/>
                  <w:noWrap w:val="0"/>
                  <w:vAlign w:val="center"/>
                </w:tcPr>
                <w:p w14:paraId="3718451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40</w:t>
                  </w:r>
                </w:p>
              </w:tc>
              <w:tc>
                <w:tcPr>
                  <w:tcW w:w="972" w:type="dxa"/>
                  <w:noWrap w:val="0"/>
                  <w:vAlign w:val="center"/>
                </w:tcPr>
                <w:p w14:paraId="2770794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w:t>
                  </w:r>
                  <w:r>
                    <w:rPr>
                      <w:rFonts w:hint="eastAsia" w:cs="Times New Roman"/>
                      <w:color w:val="auto"/>
                      <w:sz w:val="21"/>
                      <w:szCs w:val="21"/>
                      <w:highlight w:val="none"/>
                      <w:lang w:val="en-US" w:eastAsia="zh-CN"/>
                    </w:rPr>
                    <w:t>7.5</w:t>
                  </w:r>
                </w:p>
              </w:tc>
              <w:tc>
                <w:tcPr>
                  <w:tcW w:w="1030" w:type="dxa"/>
                  <w:tcBorders>
                    <w:right w:val="single" w:color="auto" w:sz="4" w:space="0"/>
                  </w:tcBorders>
                  <w:noWrap w:val="0"/>
                  <w:vAlign w:val="center"/>
                </w:tcPr>
                <w:p w14:paraId="72F1E03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0A50DBDC">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tcBorders>
                  <w:noWrap w:val="0"/>
                  <w:vAlign w:val="center"/>
                </w:tcPr>
                <w:p w14:paraId="4EECA97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w:t>
                  </w:r>
                </w:p>
              </w:tc>
              <w:tc>
                <w:tcPr>
                  <w:tcW w:w="3068" w:type="dxa"/>
                  <w:noWrap w:val="0"/>
                  <w:vAlign w:val="center"/>
                </w:tcPr>
                <w:p w14:paraId="55EF676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日平均</w:t>
                  </w:r>
                </w:p>
              </w:tc>
              <w:tc>
                <w:tcPr>
                  <w:tcW w:w="1223" w:type="dxa"/>
                  <w:noWrap w:val="0"/>
                  <w:vAlign w:val="center"/>
                </w:tcPr>
                <w:p w14:paraId="65DA771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rPr>
                    <w:t>12</w:t>
                  </w:r>
                  <w:r>
                    <w:rPr>
                      <w:rFonts w:hint="eastAsia" w:ascii="Times New Roman" w:hAnsi="Times New Roman" w:eastAsia="宋体" w:cs="Times New Roman"/>
                      <w:color w:val="auto"/>
                      <w:sz w:val="21"/>
                      <w:szCs w:val="21"/>
                      <w:highlight w:val="none"/>
                      <w:lang w:val="en-US" w:eastAsia="zh-CN"/>
                    </w:rPr>
                    <w:t>00</w:t>
                  </w:r>
                </w:p>
              </w:tc>
              <w:tc>
                <w:tcPr>
                  <w:tcW w:w="995" w:type="dxa"/>
                  <w:noWrap w:val="0"/>
                  <w:vAlign w:val="center"/>
                </w:tcPr>
                <w:p w14:paraId="384004E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w:t>
                  </w:r>
                  <w:r>
                    <w:rPr>
                      <w:rFonts w:hint="eastAsia" w:ascii="Times New Roman" w:hAnsi="Times New Roman" w:eastAsia="宋体" w:cs="Times New Roman"/>
                      <w:color w:val="auto"/>
                      <w:sz w:val="21"/>
                      <w:szCs w:val="21"/>
                      <w:highlight w:val="none"/>
                      <w:lang w:val="en-US" w:eastAsia="zh-CN"/>
                    </w:rPr>
                    <w:t>000</w:t>
                  </w:r>
                </w:p>
              </w:tc>
              <w:tc>
                <w:tcPr>
                  <w:tcW w:w="972" w:type="dxa"/>
                  <w:noWrap w:val="0"/>
                  <w:vAlign w:val="center"/>
                </w:tcPr>
                <w:p w14:paraId="7CEBEC0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30 </w:t>
                  </w:r>
                </w:p>
              </w:tc>
              <w:tc>
                <w:tcPr>
                  <w:tcW w:w="1030" w:type="dxa"/>
                  <w:tcBorders>
                    <w:right w:val="single" w:color="auto" w:sz="4" w:space="0"/>
                  </w:tcBorders>
                  <w:noWrap w:val="0"/>
                  <w:vAlign w:val="center"/>
                </w:tcPr>
                <w:p w14:paraId="6389326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达标</w:t>
                  </w:r>
                </w:p>
              </w:tc>
            </w:tr>
            <w:tr w14:paraId="7E006D9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88" w:type="dxa"/>
                  <w:tcBorders>
                    <w:left w:val="single" w:color="auto" w:sz="4" w:space="0"/>
                    <w:bottom w:val="single" w:color="auto" w:sz="4" w:space="0"/>
                  </w:tcBorders>
                  <w:noWrap w:val="0"/>
                  <w:vAlign w:val="center"/>
                </w:tcPr>
                <w:p w14:paraId="59D0A8C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O</w:t>
                  </w:r>
                  <w:r>
                    <w:rPr>
                      <w:rFonts w:hint="default" w:ascii="Times New Roman" w:hAnsi="Times New Roman" w:eastAsia="宋体" w:cs="Times New Roman"/>
                      <w:color w:val="auto"/>
                      <w:sz w:val="21"/>
                      <w:szCs w:val="21"/>
                      <w:highlight w:val="none"/>
                      <w:vertAlign w:val="subscript"/>
                    </w:rPr>
                    <w:t>3</w:t>
                  </w:r>
                </w:p>
              </w:tc>
              <w:tc>
                <w:tcPr>
                  <w:tcW w:w="3068" w:type="dxa"/>
                  <w:tcBorders>
                    <w:bottom w:val="single" w:color="auto" w:sz="4" w:space="0"/>
                  </w:tcBorders>
                  <w:noWrap w:val="0"/>
                  <w:vAlign w:val="center"/>
                </w:tcPr>
                <w:p w14:paraId="70709A1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日最大8h平均</w:t>
                  </w:r>
                </w:p>
              </w:tc>
              <w:tc>
                <w:tcPr>
                  <w:tcW w:w="1223" w:type="dxa"/>
                  <w:tcBorders>
                    <w:bottom w:val="single" w:color="auto" w:sz="4" w:space="0"/>
                  </w:tcBorders>
                  <w:noWrap w:val="0"/>
                  <w:vAlign w:val="center"/>
                </w:tcPr>
                <w:p w14:paraId="79F8F00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color w:val="auto"/>
                      <w:sz w:val="21"/>
                      <w:szCs w:val="21"/>
                      <w:highlight w:val="none"/>
                    </w:rPr>
                    <w:t>182</w:t>
                  </w:r>
                </w:p>
              </w:tc>
              <w:tc>
                <w:tcPr>
                  <w:tcW w:w="995" w:type="dxa"/>
                  <w:tcBorders>
                    <w:bottom w:val="single" w:color="auto" w:sz="4" w:space="0"/>
                  </w:tcBorders>
                  <w:noWrap w:val="0"/>
                  <w:vAlign w:val="center"/>
                </w:tcPr>
                <w:p w14:paraId="1CB03B6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160</w:t>
                  </w:r>
                </w:p>
              </w:tc>
              <w:tc>
                <w:tcPr>
                  <w:tcW w:w="972" w:type="dxa"/>
                  <w:tcBorders>
                    <w:bottom w:val="single" w:color="auto" w:sz="4" w:space="0"/>
                  </w:tcBorders>
                  <w:noWrap w:val="0"/>
                  <w:vAlign w:val="center"/>
                </w:tcPr>
                <w:p w14:paraId="10E98F6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 xml:space="preserve">114 </w:t>
                  </w:r>
                </w:p>
              </w:tc>
              <w:tc>
                <w:tcPr>
                  <w:tcW w:w="1030" w:type="dxa"/>
                  <w:tcBorders>
                    <w:bottom w:val="single" w:color="auto" w:sz="4" w:space="0"/>
                    <w:right w:val="single" w:color="auto" w:sz="4" w:space="0"/>
                  </w:tcBorders>
                  <w:noWrap w:val="0"/>
                  <w:vAlign w:val="center"/>
                </w:tcPr>
                <w:p w14:paraId="75FD640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不达标</w:t>
                  </w:r>
                </w:p>
              </w:tc>
            </w:tr>
          </w:tbl>
          <w:p w14:paraId="4917970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石家庄2024年常规主要大气污染物中PM10、PM2.5、O</w:t>
            </w:r>
            <w:r>
              <w:rPr>
                <w:rFonts w:hint="eastAsia" w:ascii="Times New Roman" w:hAnsi="Times New Roman" w:eastAsia="宋体" w:cs="Times New Roman"/>
                <w:color w:val="auto"/>
                <w:sz w:val="24"/>
                <w:szCs w:val="24"/>
                <w:highlight w:val="none"/>
                <w:vertAlign w:val="subscript"/>
                <w:lang w:val="en-US" w:eastAsia="zh-CN"/>
              </w:rPr>
              <w:t>3</w:t>
            </w:r>
            <w:r>
              <w:rPr>
                <w:rFonts w:hint="eastAsia" w:ascii="Times New Roman" w:hAnsi="Times New Roman" w:eastAsia="宋体" w:cs="Times New Roman"/>
                <w:color w:val="auto"/>
                <w:sz w:val="24"/>
                <w:szCs w:val="24"/>
                <w:highlight w:val="none"/>
                <w:lang w:val="en-US" w:eastAsia="zh-CN"/>
              </w:rPr>
              <w:t>年评价指标不满足《环境空气质量标准》（GB3095-2026）表1中过渡阶段浓度限值二级标准，SO</w:t>
            </w:r>
            <w:r>
              <w:rPr>
                <w:rFonts w:hint="eastAsia" w:ascii="Times New Roman" w:hAnsi="Times New Roman" w:eastAsia="宋体" w:cs="Times New Roman"/>
                <w:color w:val="auto"/>
                <w:sz w:val="24"/>
                <w:szCs w:val="24"/>
                <w:highlight w:val="none"/>
                <w:vertAlign w:val="subscript"/>
                <w:lang w:val="en-US" w:eastAsia="zh-CN"/>
              </w:rPr>
              <w:t>2</w:t>
            </w:r>
            <w:r>
              <w:rPr>
                <w:rFonts w:hint="eastAsia" w:ascii="Times New Roman" w:hAnsi="Times New Roman" w:eastAsia="宋体" w:cs="Times New Roman"/>
                <w:color w:val="auto"/>
                <w:sz w:val="24"/>
                <w:szCs w:val="24"/>
                <w:highlight w:val="none"/>
                <w:lang w:val="en-US" w:eastAsia="zh-CN"/>
              </w:rPr>
              <w:t>、CO、NO</w:t>
            </w:r>
            <w:r>
              <w:rPr>
                <w:rFonts w:hint="eastAsia" w:ascii="Times New Roman" w:hAnsi="Times New Roman" w:eastAsia="宋体" w:cs="Times New Roman"/>
                <w:color w:val="auto"/>
                <w:sz w:val="24"/>
                <w:szCs w:val="24"/>
                <w:highlight w:val="none"/>
                <w:vertAlign w:val="subscript"/>
                <w:lang w:val="en-US" w:eastAsia="zh-CN"/>
              </w:rPr>
              <w:t>2</w:t>
            </w:r>
            <w:r>
              <w:rPr>
                <w:rFonts w:hint="eastAsia" w:ascii="Times New Roman" w:hAnsi="Times New Roman" w:eastAsia="宋体" w:cs="Times New Roman"/>
                <w:color w:val="auto"/>
                <w:sz w:val="24"/>
                <w:szCs w:val="24"/>
                <w:highlight w:val="none"/>
                <w:lang w:val="en-US" w:eastAsia="zh-CN"/>
              </w:rPr>
              <w:t>年评价指标满足《环境空气质量标准》（GB3095-2026）表1中过渡阶段浓度限值二级标准。根据《环境影响评价技术导则大气环境》(HJ2.2-2018)相关规定，六项污染物全部达标即为城市环境空气质量达标，因此，该项目所在区域为空气质量不达标区。</w:t>
            </w:r>
          </w:p>
          <w:p w14:paraId="616E937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为改善大气环境质量，行唐县人民政府根据相关方案要求，制定落实了行唐县重污染天气应急预案、环保设施提升改造、车辆限行措施等污染减缓措施，预计区域环境质量将明显改善</w:t>
            </w:r>
            <w:r>
              <w:rPr>
                <w:rFonts w:hint="default" w:ascii="Times New Roman" w:hAnsi="Times New Roman" w:eastAsia="宋体" w:cs="Times New Roman"/>
                <w:color w:val="auto"/>
                <w:sz w:val="24"/>
                <w:szCs w:val="24"/>
                <w:highlight w:val="none"/>
              </w:rPr>
              <w:t>。</w:t>
            </w:r>
          </w:p>
          <w:p w14:paraId="0A6F1521">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2、地下水环境、土壤环境</w:t>
            </w:r>
          </w:p>
          <w:p w14:paraId="223F71D5">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eastAsia"/>
                <w:color w:val="auto"/>
                <w:sz w:val="24"/>
                <w:highlight w:val="none"/>
              </w:rPr>
              <w:t>技改项目生产废水经隔油、絮凝沉淀排入园区污水管网，最终进入行唐县第二污水处理厂，排水水质简单且浓度较低。该厂根据本厂生产特点做了分区防渗：</w:t>
            </w:r>
            <w:r>
              <w:rPr>
                <w:rFonts w:hint="eastAsia" w:cs="宋体"/>
                <w:color w:val="auto"/>
                <w:sz w:val="24"/>
                <w:highlight w:val="none"/>
              </w:rPr>
              <w:t>一般防渗区为生产车间、化粪池、库房地面</w:t>
            </w:r>
            <w:r>
              <w:rPr>
                <w:rFonts w:cs="宋体"/>
                <w:color w:val="auto"/>
                <w:sz w:val="24"/>
                <w:highlight w:val="none"/>
              </w:rPr>
              <w:t>采取防渗措施后，防渗系数应达到10</w:t>
            </w:r>
            <w:r>
              <w:rPr>
                <w:rFonts w:cs="宋体"/>
                <w:color w:val="auto"/>
                <w:sz w:val="24"/>
                <w:highlight w:val="none"/>
                <w:vertAlign w:val="superscript"/>
              </w:rPr>
              <w:t>-7</w:t>
            </w:r>
            <w:r>
              <w:rPr>
                <w:rFonts w:cs="宋体"/>
                <w:color w:val="auto"/>
                <w:sz w:val="24"/>
                <w:highlight w:val="none"/>
              </w:rPr>
              <w:t>cm/s，使总体防渗层达到极微透水～弱透水级</w:t>
            </w:r>
            <w:r>
              <w:rPr>
                <w:rFonts w:hint="eastAsia" w:cs="宋体"/>
                <w:color w:val="auto"/>
                <w:sz w:val="24"/>
                <w:highlight w:val="none"/>
              </w:rPr>
              <w:t>。</w:t>
            </w:r>
            <w:r>
              <w:rPr>
                <w:rFonts w:cs="宋体"/>
                <w:color w:val="auto"/>
                <w:sz w:val="24"/>
                <w:highlight w:val="none"/>
              </w:rPr>
              <w:t>重点防渗区域：</w:t>
            </w:r>
            <w:r>
              <w:rPr>
                <w:rFonts w:hint="eastAsia" w:cs="宋体"/>
                <w:color w:val="auto"/>
                <w:sz w:val="24"/>
                <w:highlight w:val="none"/>
                <w:lang w:eastAsia="zh-CN"/>
              </w:rPr>
              <w:t>危险废物贮存点</w:t>
            </w:r>
            <w:r>
              <w:rPr>
                <w:rFonts w:hint="eastAsia" w:cs="宋体"/>
                <w:color w:val="auto"/>
                <w:sz w:val="24"/>
                <w:highlight w:val="none"/>
              </w:rPr>
              <w:t>、油漆库基础必须防渗，防渗层为至少1m厚粘土层（渗透系数≤10</w:t>
            </w:r>
            <w:r>
              <w:rPr>
                <w:rFonts w:hint="eastAsia" w:cs="宋体"/>
                <w:color w:val="auto"/>
                <w:sz w:val="24"/>
                <w:highlight w:val="none"/>
                <w:vertAlign w:val="superscript"/>
              </w:rPr>
              <w:t>-7</w:t>
            </w:r>
            <w:r>
              <w:rPr>
                <w:rFonts w:hint="eastAsia" w:cs="宋体"/>
                <w:color w:val="auto"/>
                <w:sz w:val="24"/>
                <w:highlight w:val="none"/>
              </w:rPr>
              <w:t>cm/s），或2mm厚高密度废聚苯乙烯，或至少2mm厚的其他人工材料，</w:t>
            </w:r>
            <w:r>
              <w:rPr>
                <w:rFonts w:cs="宋体"/>
                <w:color w:val="auto"/>
                <w:sz w:val="24"/>
                <w:highlight w:val="none"/>
              </w:rPr>
              <w:t>地基之上采用水泥混凝土地面+</w:t>
            </w:r>
            <w:r>
              <w:rPr>
                <w:rFonts w:hint="eastAsia" w:cs="宋体"/>
                <w:color w:val="auto"/>
                <w:sz w:val="24"/>
                <w:highlight w:val="none"/>
              </w:rPr>
              <w:t>防渗漆（环氧树脂）</w:t>
            </w:r>
            <w:r>
              <w:rPr>
                <w:rFonts w:cs="宋体"/>
                <w:color w:val="auto"/>
                <w:sz w:val="24"/>
                <w:highlight w:val="none"/>
              </w:rPr>
              <w:t>做防渗处</w:t>
            </w:r>
            <w:r>
              <w:rPr>
                <w:rFonts w:hint="eastAsia" w:cs="宋体"/>
                <w:color w:val="auto"/>
                <w:sz w:val="24"/>
                <w:highlight w:val="none"/>
              </w:rPr>
              <w:t>，渗透系数≤10</w:t>
            </w:r>
            <w:r>
              <w:rPr>
                <w:rFonts w:hint="eastAsia" w:cs="宋体"/>
                <w:color w:val="auto"/>
                <w:sz w:val="24"/>
                <w:highlight w:val="none"/>
                <w:vertAlign w:val="superscript"/>
              </w:rPr>
              <w:t>-10</w:t>
            </w:r>
            <w:r>
              <w:rPr>
                <w:rFonts w:hint="eastAsia" w:cs="宋体"/>
                <w:color w:val="auto"/>
                <w:sz w:val="24"/>
                <w:highlight w:val="none"/>
              </w:rPr>
              <w:t>cm/s。油漆库、</w:t>
            </w:r>
            <w:r>
              <w:rPr>
                <w:rFonts w:hint="eastAsia" w:cs="宋体"/>
                <w:color w:val="auto"/>
                <w:sz w:val="24"/>
                <w:highlight w:val="none"/>
                <w:lang w:eastAsia="zh-CN"/>
              </w:rPr>
              <w:t>危险废物贮存点</w:t>
            </w:r>
            <w:r>
              <w:rPr>
                <w:rFonts w:hint="eastAsia" w:cs="宋体"/>
                <w:color w:val="auto"/>
                <w:sz w:val="24"/>
                <w:highlight w:val="none"/>
              </w:rPr>
              <w:t>内用以存放装载液体危险废物容器的地方，必须有耐腐蚀的硬化地面，且表面无裂隙。其他原料储存区要求：库房地面进行一般水泥地面硬化。</w:t>
            </w:r>
            <w:r>
              <w:rPr>
                <w:rFonts w:hint="eastAsia"/>
                <w:color w:val="auto"/>
                <w:sz w:val="24"/>
                <w:highlight w:val="none"/>
              </w:rPr>
              <w:t>无地下水、土壤污染污染途径，故项目无需进行地下水、土壤环境现状调查</w:t>
            </w:r>
            <w:r>
              <w:rPr>
                <w:rFonts w:hint="eastAsia" w:ascii="Times New Roman" w:hAnsi="Times New Roman" w:eastAsia="宋体" w:cs="Times New Roman"/>
                <w:color w:val="auto"/>
                <w:sz w:val="24"/>
                <w:szCs w:val="24"/>
                <w:highlight w:val="none"/>
                <w:lang w:val="en-US" w:eastAsia="zh-CN"/>
              </w:rPr>
              <w:t>。</w:t>
            </w:r>
          </w:p>
          <w:p w14:paraId="54103D55">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firstLine="480" w:firstLineChars="200"/>
              <w:textAlignment w:val="auto"/>
              <w:rPr>
                <w:rFonts w:hint="eastAsia"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3、</w:t>
            </w:r>
            <w:r>
              <w:rPr>
                <w:rFonts w:hint="eastAsia" w:ascii="Times New Roman" w:hAnsi="Times New Roman" w:eastAsia="宋体" w:cs="Times New Roman"/>
                <w:color w:val="auto"/>
                <w:sz w:val="24"/>
                <w:szCs w:val="24"/>
                <w:highlight w:val="none"/>
                <w:lang w:val="en-US" w:eastAsia="zh-CN"/>
              </w:rPr>
              <w:t>地表水</w:t>
            </w:r>
          </w:p>
          <w:p w14:paraId="20ED1729">
            <w:pPr>
              <w:keepNext w:val="0"/>
              <w:keepLines w:val="0"/>
              <w:pageBreakBefore w:val="0"/>
              <w:widowControl/>
              <w:numPr>
                <w:ilvl w:val="0"/>
                <w:numId w:val="0"/>
              </w:numPr>
              <w:kinsoku/>
              <w:wordWrap/>
              <w:overflowPunct/>
              <w:topLinePunct w:val="0"/>
              <w:autoSpaceDE/>
              <w:autoSpaceDN/>
              <w:bidi w:val="0"/>
              <w:adjustRightInd w:val="0"/>
              <w:snapToGrid w:val="0"/>
              <w:spacing w:line="460" w:lineRule="exact"/>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项目新增</w:t>
            </w:r>
            <w:r>
              <w:rPr>
                <w:rFonts w:hint="eastAsia" w:cs="Times New Roman"/>
                <w:color w:val="000000" w:themeColor="text1"/>
                <w:sz w:val="24"/>
                <w:szCs w:val="24"/>
                <w:highlight w:val="none"/>
                <w:lang w:val="en-US" w:eastAsia="zh-CN"/>
                <w14:textFill>
                  <w14:solidFill>
                    <w14:schemeClr w14:val="tx1"/>
                  </w14:solidFill>
                </w14:textFill>
              </w:rPr>
              <w:t>少量排水</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最近的地表水为磁河，距离3.1km。依据</w:t>
            </w:r>
            <w:r>
              <w:rPr>
                <w:rFonts w:hint="eastAsia"/>
                <w:color w:val="000000" w:themeColor="text1"/>
                <w:sz w:val="24"/>
                <w:szCs w:val="24"/>
                <w:highlight w:val="none"/>
                <w14:textFill>
                  <w14:solidFill>
                    <w14:schemeClr w14:val="tx1"/>
                  </w14:solidFill>
                </w14:textFill>
              </w:rPr>
              <w:t>石家庄生态环境局202</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年</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月发布的“石家庄市202</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年</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月跨市、县界断面水质监测结果</w:t>
            </w:r>
            <w:r>
              <w:rPr>
                <w:rFonts w:hint="eastAsia"/>
                <w:color w:val="000000" w:themeColor="text1"/>
                <w:sz w:val="24"/>
                <w:szCs w:val="24"/>
                <w:highlight w:val="none"/>
                <w:lang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石家庄市行唐县磁河南霍营村断面数据如下。</w:t>
            </w:r>
          </w:p>
          <w:p w14:paraId="097DFD25">
            <w:pPr>
              <w:pStyle w:val="11"/>
              <w:bidi w:val="0"/>
              <w:rPr>
                <w:rFonts w:hint="default" w:ascii="Times New Roman" w:hAnsi="Times New Roman" w:eastAsia="宋体" w:cs="Times New Roman"/>
                <w:color w:val="auto"/>
                <w:sz w:val="24"/>
                <w:szCs w:val="24"/>
                <w:highlight w:val="none"/>
                <w:lang w:val="en-GB"/>
              </w:rPr>
            </w:pPr>
            <w:r>
              <w:rPr>
                <w:rFonts w:hint="default" w:ascii="Times New Roman" w:hAnsi="Times New Roman" w:eastAsia="宋体" w:cs="Times New Roman"/>
                <w:color w:val="auto"/>
                <w:sz w:val="24"/>
                <w:szCs w:val="24"/>
                <w:highlight w:val="none"/>
              </w:rPr>
              <w:t xml:space="preserve">表 </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eastAsia="zh-CN"/>
              </w:rPr>
              <w:t>-</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 xml:space="preserve">  地表水环境</w:t>
            </w:r>
            <w:r>
              <w:rPr>
                <w:rFonts w:hint="default" w:ascii="Times New Roman" w:hAnsi="Times New Roman" w:eastAsia="宋体" w:cs="Times New Roman"/>
                <w:color w:val="auto"/>
                <w:sz w:val="24"/>
                <w:szCs w:val="24"/>
                <w:highlight w:val="none"/>
                <w:lang w:val="en-GB"/>
              </w:rPr>
              <w:t>质量现状监测</w:t>
            </w:r>
            <w:r>
              <w:rPr>
                <w:rFonts w:hint="default" w:ascii="Times New Roman" w:hAnsi="Times New Roman" w:eastAsia="宋体" w:cs="Times New Roman"/>
                <w:color w:val="auto"/>
                <w:sz w:val="24"/>
                <w:szCs w:val="24"/>
                <w:highlight w:val="none"/>
                <w:lang w:val="en-GB" w:eastAsia="zh-CN"/>
              </w:rPr>
              <w:t>分析</w:t>
            </w:r>
            <w:r>
              <w:rPr>
                <w:rFonts w:hint="default" w:ascii="Times New Roman" w:hAnsi="Times New Roman" w:eastAsia="宋体" w:cs="Times New Roman"/>
                <w:color w:val="auto"/>
                <w:sz w:val="24"/>
                <w:szCs w:val="24"/>
                <w:highlight w:val="none"/>
                <w:lang w:val="en-GB"/>
              </w:rPr>
              <w:t>结果一览表</w:t>
            </w:r>
          </w:p>
          <w:tbl>
            <w:tblPr>
              <w:tblStyle w:val="36"/>
              <w:tblW w:w="836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57" w:type="dxa"/>
                <w:bottom w:w="0" w:type="dxa"/>
                <w:right w:w="57" w:type="dxa"/>
              </w:tblCellMar>
            </w:tblPr>
            <w:tblGrid>
              <w:gridCol w:w="1133"/>
              <w:gridCol w:w="1239"/>
              <w:gridCol w:w="1984"/>
              <w:gridCol w:w="1134"/>
              <w:gridCol w:w="1134"/>
              <w:gridCol w:w="1745"/>
            </w:tblGrid>
            <w:tr w14:paraId="78B8706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tcBorders>
                    <w:top w:val="single" w:color="auto" w:sz="4" w:space="0"/>
                    <w:left w:val="single" w:color="auto" w:sz="4" w:space="0"/>
                    <w:bottom w:val="single" w:color="auto" w:sz="4" w:space="0"/>
                    <w:right w:val="single" w:color="auto" w:sz="4" w:space="0"/>
                  </w:tcBorders>
                  <w:noWrap w:val="0"/>
                  <w:vAlign w:val="center"/>
                </w:tcPr>
                <w:p w14:paraId="74374E5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类别</w:t>
                  </w:r>
                </w:p>
              </w:tc>
              <w:tc>
                <w:tcPr>
                  <w:tcW w:w="1239" w:type="dxa"/>
                  <w:tcBorders>
                    <w:top w:val="single" w:color="auto" w:sz="4" w:space="0"/>
                    <w:left w:val="single" w:color="auto" w:sz="4" w:space="0"/>
                    <w:bottom w:val="single" w:color="auto" w:sz="4" w:space="0"/>
                    <w:right w:val="single" w:color="auto" w:sz="4" w:space="0"/>
                  </w:tcBorders>
                  <w:noWrap w:val="0"/>
                  <w:vAlign w:val="center"/>
                </w:tcPr>
                <w:p w14:paraId="07243AD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检测项目</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32AA239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检测结果</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6511637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标 准 值</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1461F8A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单位</w:t>
                  </w:r>
                </w:p>
              </w:tc>
              <w:tc>
                <w:tcPr>
                  <w:tcW w:w="1745" w:type="dxa"/>
                  <w:tcBorders>
                    <w:top w:val="single" w:color="auto" w:sz="4" w:space="0"/>
                    <w:left w:val="single" w:color="auto" w:sz="4" w:space="0"/>
                    <w:bottom w:val="single" w:color="auto" w:sz="4" w:space="0"/>
                    <w:right w:val="single" w:color="auto" w:sz="4" w:space="0"/>
                  </w:tcBorders>
                  <w:noWrap w:val="0"/>
                  <w:vAlign w:val="center"/>
                </w:tcPr>
                <w:p w14:paraId="5F39387C">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标 准 来 源</w:t>
                  </w:r>
                </w:p>
              </w:tc>
            </w:tr>
            <w:tr w14:paraId="35507A0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restart"/>
                  <w:tcBorders>
                    <w:top w:val="single" w:color="auto" w:sz="4" w:space="0"/>
                    <w:left w:val="single" w:color="auto" w:sz="4" w:space="0"/>
                    <w:right w:val="single" w:color="auto" w:sz="4" w:space="0"/>
                  </w:tcBorders>
                  <w:noWrap w:val="0"/>
                  <w:vAlign w:val="center"/>
                </w:tcPr>
                <w:p w14:paraId="27DB17A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地表水</w:t>
                  </w:r>
                </w:p>
                <w:p w14:paraId="232037B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环境</w:t>
                  </w:r>
                </w:p>
              </w:tc>
              <w:tc>
                <w:tcPr>
                  <w:tcW w:w="1239" w:type="dxa"/>
                  <w:tcBorders>
                    <w:top w:val="single" w:color="auto" w:sz="4" w:space="0"/>
                    <w:left w:val="single" w:color="auto" w:sz="4" w:space="0"/>
                    <w:bottom w:val="single" w:color="auto" w:sz="4" w:space="0"/>
                    <w:right w:val="single" w:color="auto" w:sz="4" w:space="0"/>
                  </w:tcBorders>
                  <w:noWrap w:val="0"/>
                  <w:vAlign w:val="center"/>
                </w:tcPr>
                <w:p w14:paraId="0789BB2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水温</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40BBA0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22.4</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60DC677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4D295BB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w:t>
                  </w:r>
                </w:p>
              </w:tc>
              <w:tc>
                <w:tcPr>
                  <w:tcW w:w="1745" w:type="dxa"/>
                  <w:tcBorders>
                    <w:top w:val="single" w:color="auto" w:sz="4" w:space="0"/>
                    <w:left w:val="single" w:color="auto" w:sz="4" w:space="0"/>
                    <w:bottom w:val="single" w:color="auto" w:sz="4" w:space="0"/>
                    <w:right w:val="single" w:color="auto" w:sz="4" w:space="0"/>
                  </w:tcBorders>
                  <w:noWrap w:val="0"/>
                  <w:vAlign w:val="center"/>
                </w:tcPr>
                <w:p w14:paraId="3E746F38">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2B6700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296" w:hRule="atLeast"/>
                <w:jc w:val="center"/>
              </w:trPr>
              <w:tc>
                <w:tcPr>
                  <w:tcW w:w="1133" w:type="dxa"/>
                  <w:vMerge w:val="continue"/>
                  <w:tcBorders>
                    <w:left w:val="single" w:color="auto" w:sz="4" w:space="0"/>
                    <w:right w:val="single" w:color="auto" w:sz="4" w:space="0"/>
                  </w:tcBorders>
                  <w:noWrap w:val="0"/>
                  <w:vAlign w:val="center"/>
                </w:tcPr>
                <w:p w14:paraId="51BC76C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4F1C45C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pH值</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24494DA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7.7</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654C411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6-9</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79CAB80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无量纲</w:t>
                  </w:r>
                </w:p>
              </w:tc>
              <w:tc>
                <w:tcPr>
                  <w:tcW w:w="1745" w:type="dxa"/>
                  <w:vMerge w:val="restart"/>
                  <w:tcBorders>
                    <w:top w:val="single" w:color="auto" w:sz="4" w:space="0"/>
                    <w:left w:val="single" w:color="auto" w:sz="4" w:space="0"/>
                    <w:right w:val="single" w:color="auto" w:sz="4" w:space="0"/>
                  </w:tcBorders>
                  <w:noWrap w:val="0"/>
                  <w:vAlign w:val="center"/>
                </w:tcPr>
                <w:p w14:paraId="099FBDA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《地表水环境质量标准》（GB3838-2002）Ⅲ类标准</w:t>
                  </w:r>
                </w:p>
              </w:tc>
            </w:tr>
            <w:tr w14:paraId="1B4914C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continue"/>
                  <w:tcBorders>
                    <w:left w:val="single" w:color="auto" w:sz="4" w:space="0"/>
                    <w:right w:val="single" w:color="auto" w:sz="4" w:space="0"/>
                  </w:tcBorders>
                  <w:noWrap w:val="0"/>
                  <w:vAlign w:val="center"/>
                </w:tcPr>
                <w:p w14:paraId="14272DF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633A092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溶解氧</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2329A1A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6.15</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578BA69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≥5</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24EBA9F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right w:val="single" w:color="auto" w:sz="4" w:space="0"/>
                  </w:tcBorders>
                  <w:noWrap w:val="0"/>
                  <w:vAlign w:val="center"/>
                </w:tcPr>
                <w:p w14:paraId="3E25A05E">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3D5E6C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continue"/>
                  <w:tcBorders>
                    <w:left w:val="single" w:color="auto" w:sz="4" w:space="0"/>
                    <w:right w:val="single" w:color="auto" w:sz="4" w:space="0"/>
                  </w:tcBorders>
                  <w:noWrap w:val="0"/>
                  <w:vAlign w:val="center"/>
                </w:tcPr>
                <w:p w14:paraId="43F5792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17B6B68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高锰酸盐指数</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023DB65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2.4</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305B7AD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≤6.0</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13A8D26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right w:val="single" w:color="auto" w:sz="4" w:space="0"/>
                  </w:tcBorders>
                  <w:noWrap w:val="0"/>
                  <w:vAlign w:val="center"/>
                </w:tcPr>
                <w:p w14:paraId="2C9A14D6">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2DBA240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continue"/>
                  <w:tcBorders>
                    <w:left w:val="single" w:color="auto" w:sz="4" w:space="0"/>
                    <w:right w:val="single" w:color="auto" w:sz="4" w:space="0"/>
                  </w:tcBorders>
                  <w:noWrap w:val="0"/>
                  <w:vAlign w:val="center"/>
                </w:tcPr>
                <w:p w14:paraId="1E0E2BB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1394BE5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化学需氧量</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62A9876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6</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7B2E05E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≤20</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5A39C85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right w:val="single" w:color="auto" w:sz="4" w:space="0"/>
                  </w:tcBorders>
                  <w:noWrap w:val="0"/>
                  <w:vAlign w:val="center"/>
                </w:tcPr>
                <w:p w14:paraId="65B25798">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02652B5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continue"/>
                  <w:tcBorders>
                    <w:left w:val="single" w:color="auto" w:sz="4" w:space="0"/>
                    <w:right w:val="single" w:color="auto" w:sz="4" w:space="0"/>
                  </w:tcBorders>
                  <w:noWrap w:val="0"/>
                  <w:vAlign w:val="center"/>
                </w:tcPr>
                <w:p w14:paraId="396F39C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6AE57D4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氨氮</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4FE140F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0.225</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5DC9D8E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≤1.0</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211B51A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right w:val="single" w:color="auto" w:sz="4" w:space="0"/>
                  </w:tcBorders>
                  <w:noWrap w:val="0"/>
                  <w:vAlign w:val="center"/>
                </w:tcPr>
                <w:p w14:paraId="2729E44E">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2274CC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40" w:hRule="atLeast"/>
                <w:jc w:val="center"/>
              </w:trPr>
              <w:tc>
                <w:tcPr>
                  <w:tcW w:w="1133" w:type="dxa"/>
                  <w:vMerge w:val="continue"/>
                  <w:tcBorders>
                    <w:left w:val="single" w:color="auto" w:sz="4" w:space="0"/>
                    <w:right w:val="single" w:color="auto" w:sz="4" w:space="0"/>
                  </w:tcBorders>
                  <w:noWrap w:val="0"/>
                  <w:vAlign w:val="center"/>
                </w:tcPr>
                <w:p w14:paraId="2B9AD4E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4824247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总磷</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7DD8A33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0.</w:t>
                  </w:r>
                  <w:r>
                    <w:rPr>
                      <w:rFonts w:hint="eastAsia" w:cs="Times New Roman"/>
                      <w:color w:val="auto"/>
                      <w:kern w:val="0"/>
                      <w:sz w:val="21"/>
                      <w:szCs w:val="21"/>
                      <w:highlight w:val="none"/>
                      <w:lang w:val="en-US" w:eastAsia="zh-CN" w:bidi="ar-SA"/>
                    </w:rPr>
                    <w:t>11</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70D4F33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≤0.2</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0EB78E5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right w:val="single" w:color="auto" w:sz="4" w:space="0"/>
                  </w:tcBorders>
                  <w:noWrap w:val="0"/>
                  <w:vAlign w:val="center"/>
                </w:tcPr>
                <w:p w14:paraId="47DDB413">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r w14:paraId="7B2E2F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1133" w:type="dxa"/>
                  <w:vMerge w:val="continue"/>
                  <w:tcBorders>
                    <w:left w:val="single" w:color="auto" w:sz="4" w:space="0"/>
                    <w:bottom w:val="single" w:color="auto" w:sz="4" w:space="0"/>
                    <w:right w:val="single" w:color="auto" w:sz="4" w:space="0"/>
                  </w:tcBorders>
                  <w:noWrap w:val="0"/>
                  <w:vAlign w:val="center"/>
                </w:tcPr>
                <w:p w14:paraId="3C1F16D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239" w:type="dxa"/>
                  <w:tcBorders>
                    <w:top w:val="single" w:color="auto" w:sz="4" w:space="0"/>
                    <w:left w:val="single" w:color="auto" w:sz="4" w:space="0"/>
                    <w:bottom w:val="single" w:color="auto" w:sz="4" w:space="0"/>
                    <w:right w:val="single" w:color="auto" w:sz="4" w:space="0"/>
                  </w:tcBorders>
                  <w:noWrap w:val="0"/>
                  <w:vAlign w:val="center"/>
                </w:tcPr>
                <w:p w14:paraId="2146FAD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总氮</w:t>
                  </w:r>
                </w:p>
              </w:tc>
              <w:tc>
                <w:tcPr>
                  <w:tcW w:w="1984" w:type="dxa"/>
                  <w:tcBorders>
                    <w:top w:val="single" w:color="auto" w:sz="4" w:space="0"/>
                    <w:left w:val="single" w:color="auto" w:sz="4" w:space="0"/>
                    <w:bottom w:val="single" w:color="auto" w:sz="4" w:space="0"/>
                    <w:right w:val="single" w:color="auto" w:sz="4" w:space="0"/>
                  </w:tcBorders>
                  <w:noWrap w:val="0"/>
                  <w:vAlign w:val="center"/>
                </w:tcPr>
                <w:p w14:paraId="138D9B0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4.27</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4C68895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≤1.0</w:t>
                  </w:r>
                </w:p>
              </w:tc>
              <w:tc>
                <w:tcPr>
                  <w:tcW w:w="1134" w:type="dxa"/>
                  <w:tcBorders>
                    <w:top w:val="single" w:color="auto" w:sz="4" w:space="0"/>
                    <w:left w:val="single" w:color="auto" w:sz="4" w:space="0"/>
                    <w:bottom w:val="single" w:color="auto" w:sz="4" w:space="0"/>
                    <w:right w:val="single" w:color="auto" w:sz="4" w:space="0"/>
                  </w:tcBorders>
                  <w:noWrap w:val="0"/>
                  <w:vAlign w:val="center"/>
                </w:tcPr>
                <w:p w14:paraId="0F95728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mg/L</w:t>
                  </w:r>
                </w:p>
              </w:tc>
              <w:tc>
                <w:tcPr>
                  <w:tcW w:w="1745" w:type="dxa"/>
                  <w:vMerge w:val="continue"/>
                  <w:tcBorders>
                    <w:left w:val="single" w:color="auto" w:sz="4" w:space="0"/>
                    <w:bottom w:val="single" w:color="auto" w:sz="4" w:space="0"/>
                    <w:right w:val="single" w:color="auto" w:sz="4" w:space="0"/>
                  </w:tcBorders>
                  <w:noWrap w:val="0"/>
                  <w:vAlign w:val="center"/>
                </w:tcPr>
                <w:p w14:paraId="6D808277">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auto"/>
                      <w:kern w:val="0"/>
                      <w:sz w:val="21"/>
                      <w:szCs w:val="21"/>
                      <w:highlight w:val="none"/>
                      <w:lang w:val="en-US" w:eastAsia="zh-CN" w:bidi="ar-SA"/>
                    </w:rPr>
                  </w:pPr>
                </w:p>
              </w:tc>
            </w:tr>
          </w:tbl>
          <w:p w14:paraId="2402852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textAlignment w:val="auto"/>
              <w:rPr>
                <w:rFonts w:hint="eastAsia" w:cs="Times New Roman"/>
                <w:color w:val="000000" w:themeColor="text1"/>
                <w:kern w:val="2"/>
                <w:sz w:val="24"/>
                <w:szCs w:val="24"/>
                <w:highlight w:val="none"/>
                <w:lang w:val="en-US" w:eastAsia="zh-CN" w:bidi="ar-SA"/>
                <w14:textFill>
                  <w14:solidFill>
                    <w14:schemeClr w14:val="tx1"/>
                  </w14:solidFill>
                </w14:textFill>
              </w:rPr>
            </w:pPr>
          </w:p>
          <w:p w14:paraId="522646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textAlignment w:val="auto"/>
              <w:rPr>
                <w:color w:val="000000" w:themeColor="text1"/>
                <w:sz w:val="24"/>
                <w:highlight w:val="none"/>
                <w14:textFill>
                  <w14:solidFill>
                    <w14:schemeClr w14:val="tx1"/>
                  </w14:solidFill>
                </w14:textFill>
              </w:rPr>
            </w:pPr>
            <w:r>
              <w:rPr>
                <w:rFonts w:hint="eastAsia" w:cs="Times New Roman"/>
                <w:color w:val="000000" w:themeColor="text1"/>
                <w:kern w:val="2"/>
                <w:sz w:val="24"/>
                <w:szCs w:val="24"/>
                <w:highlight w:val="none"/>
                <w:lang w:val="en-US" w:eastAsia="zh-CN" w:bidi="ar-SA"/>
                <w14:textFill>
                  <w14:solidFill>
                    <w14:schemeClr w14:val="tx1"/>
                  </w14:solidFill>
                </w14:textFill>
              </w:rPr>
              <w:t>通过上表，</w:t>
            </w:r>
            <w:r>
              <w:rPr>
                <w:rFonts w:hint="eastAsia" w:cs="Times New Roman"/>
                <w:color w:val="000000" w:themeColor="text1"/>
                <w:sz w:val="24"/>
                <w:szCs w:val="24"/>
                <w:highlight w:val="none"/>
                <w:lang w:val="en-US" w:eastAsia="zh-CN"/>
                <w14:textFill>
                  <w14:solidFill>
                    <w14:schemeClr w14:val="tx1"/>
                  </w14:solidFill>
                </w14:textFill>
              </w:rPr>
              <w:t>石家庄市行唐县南霍营断面除总氮外均达标。总氮不达标的原因与进入雨季，地面径流较多有关。</w:t>
            </w:r>
          </w:p>
          <w:p w14:paraId="3E0362AD">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60" w:leftChars="0" w:firstLine="480" w:firstLineChars="0"/>
              <w:textAlignment w:val="auto"/>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声环境</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 xml:space="preserve">  </w:t>
            </w:r>
          </w:p>
          <w:p w14:paraId="7DAFF06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textAlignment w:val="auto"/>
              <w:rPr>
                <w:rFonts w:hint="default"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项目东侧30m内有岳霍口村，由河北瑞耀环境检测技术有限公司于2026年3月22日进行声环境质量现状监测（报告编号：RYJC2603162）监测数据如下，检测报告见附件。</w:t>
            </w:r>
          </w:p>
          <w:p w14:paraId="28E342C9">
            <w:pPr>
              <w:pStyle w:val="91"/>
              <w:numPr>
                <w:ilvl w:val="0"/>
                <w:numId w:val="0"/>
              </w:numPr>
              <w:bidi w:val="0"/>
              <w:ind w:leftChars="200" w:firstLine="964" w:firstLineChars="400"/>
              <w:rPr>
                <w:rFonts w:hint="default"/>
                <w:color w:val="auto"/>
                <w:highlight w:val="none"/>
              </w:rPr>
            </w:pPr>
            <w:r>
              <w:rPr>
                <w:rFonts w:hint="default"/>
                <w:color w:val="auto"/>
                <w:highlight w:val="none"/>
              </w:rPr>
              <w:t>表</w:t>
            </w:r>
            <w:r>
              <w:rPr>
                <w:rFonts w:hint="eastAsia"/>
                <w:color w:val="auto"/>
                <w:highlight w:val="none"/>
                <w:lang w:val="en-US" w:eastAsia="zh-CN"/>
              </w:rPr>
              <w:t>3-3</w:t>
            </w:r>
            <w:r>
              <w:rPr>
                <w:rFonts w:hint="default"/>
                <w:color w:val="auto"/>
                <w:highlight w:val="none"/>
              </w:rPr>
              <w:t xml:space="preserve">  声环境现状监测及评价结果单位：dB(A)</w:t>
            </w:r>
          </w:p>
          <w:tbl>
            <w:tblPr>
              <w:tblStyle w:val="36"/>
              <w:tblW w:w="4999"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418"/>
              <w:gridCol w:w="1054"/>
              <w:gridCol w:w="967"/>
              <w:gridCol w:w="1391"/>
              <w:gridCol w:w="1021"/>
              <w:gridCol w:w="1073"/>
              <w:gridCol w:w="1453"/>
            </w:tblGrid>
            <w:tr w14:paraId="317FB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rPr>
              <w:tc>
                <w:tcPr>
                  <w:tcW w:w="846" w:type="pct"/>
                  <w:vMerge w:val="restart"/>
                  <w:noWrap w:val="0"/>
                  <w:vAlign w:val="center"/>
                </w:tcPr>
                <w:p w14:paraId="631F7690">
                  <w:pPr>
                    <w:pStyle w:val="102"/>
                    <w:bidi w:val="0"/>
                    <w:rPr>
                      <w:rFonts w:hint="default"/>
                      <w:color w:val="auto"/>
                      <w:highlight w:val="none"/>
                    </w:rPr>
                  </w:pPr>
                  <w:r>
                    <w:rPr>
                      <w:rFonts w:hint="default"/>
                      <w:color w:val="auto"/>
                      <w:highlight w:val="none"/>
                    </w:rPr>
                    <w:t>点  位</w:t>
                  </w:r>
                </w:p>
              </w:tc>
              <w:tc>
                <w:tcPr>
                  <w:tcW w:w="2036" w:type="pct"/>
                  <w:gridSpan w:val="3"/>
                  <w:noWrap w:val="0"/>
                  <w:vAlign w:val="center"/>
                </w:tcPr>
                <w:p w14:paraId="5D5ED02B">
                  <w:pPr>
                    <w:pStyle w:val="102"/>
                    <w:bidi w:val="0"/>
                    <w:rPr>
                      <w:rFonts w:hint="default"/>
                      <w:color w:val="auto"/>
                      <w:highlight w:val="none"/>
                    </w:rPr>
                  </w:pPr>
                  <w:r>
                    <w:rPr>
                      <w:rFonts w:hint="default"/>
                      <w:color w:val="auto"/>
                      <w:highlight w:val="none"/>
                    </w:rPr>
                    <w:t>昼  间</w:t>
                  </w:r>
                </w:p>
              </w:tc>
              <w:tc>
                <w:tcPr>
                  <w:tcW w:w="2116" w:type="pct"/>
                  <w:gridSpan w:val="3"/>
                  <w:noWrap w:val="0"/>
                  <w:vAlign w:val="center"/>
                </w:tcPr>
                <w:p w14:paraId="2A98CA4F">
                  <w:pPr>
                    <w:pStyle w:val="102"/>
                    <w:bidi w:val="0"/>
                    <w:rPr>
                      <w:rFonts w:hint="default"/>
                      <w:color w:val="auto"/>
                      <w:highlight w:val="none"/>
                    </w:rPr>
                  </w:pPr>
                  <w:r>
                    <w:rPr>
                      <w:rFonts w:hint="default"/>
                      <w:color w:val="auto"/>
                      <w:highlight w:val="none"/>
                    </w:rPr>
                    <w:t>夜  间</w:t>
                  </w:r>
                </w:p>
              </w:tc>
            </w:tr>
            <w:tr w14:paraId="3301E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6" w:hRule="atLeast"/>
              </w:trPr>
              <w:tc>
                <w:tcPr>
                  <w:tcW w:w="846" w:type="pct"/>
                  <w:vMerge w:val="continue"/>
                  <w:noWrap w:val="0"/>
                  <w:vAlign w:val="center"/>
                </w:tcPr>
                <w:p w14:paraId="22F4C01F">
                  <w:pPr>
                    <w:pStyle w:val="102"/>
                    <w:bidi w:val="0"/>
                    <w:rPr>
                      <w:rFonts w:hint="default"/>
                      <w:color w:val="auto"/>
                      <w:highlight w:val="none"/>
                    </w:rPr>
                  </w:pPr>
                </w:p>
              </w:tc>
              <w:tc>
                <w:tcPr>
                  <w:tcW w:w="629" w:type="pct"/>
                  <w:noWrap w:val="0"/>
                  <w:vAlign w:val="center"/>
                </w:tcPr>
                <w:p w14:paraId="6FFF3CC6">
                  <w:pPr>
                    <w:pStyle w:val="102"/>
                    <w:bidi w:val="0"/>
                    <w:rPr>
                      <w:rFonts w:hint="default"/>
                      <w:color w:val="auto"/>
                      <w:highlight w:val="none"/>
                    </w:rPr>
                  </w:pPr>
                  <w:r>
                    <w:rPr>
                      <w:rFonts w:hint="default"/>
                      <w:color w:val="auto"/>
                      <w:highlight w:val="none"/>
                    </w:rPr>
                    <w:t>监测值</w:t>
                  </w:r>
                </w:p>
              </w:tc>
              <w:tc>
                <w:tcPr>
                  <w:tcW w:w="577" w:type="pct"/>
                  <w:noWrap w:val="0"/>
                  <w:vAlign w:val="center"/>
                </w:tcPr>
                <w:p w14:paraId="5FBB86C9">
                  <w:pPr>
                    <w:pStyle w:val="102"/>
                    <w:bidi w:val="0"/>
                    <w:rPr>
                      <w:rFonts w:hint="default"/>
                      <w:color w:val="auto"/>
                      <w:highlight w:val="none"/>
                    </w:rPr>
                  </w:pPr>
                  <w:r>
                    <w:rPr>
                      <w:rFonts w:hint="default"/>
                      <w:color w:val="auto"/>
                      <w:highlight w:val="none"/>
                    </w:rPr>
                    <w:t>标准值</w:t>
                  </w:r>
                </w:p>
              </w:tc>
              <w:tc>
                <w:tcPr>
                  <w:tcW w:w="829" w:type="pct"/>
                  <w:noWrap w:val="0"/>
                  <w:vAlign w:val="center"/>
                </w:tcPr>
                <w:p w14:paraId="040EDD6D">
                  <w:pPr>
                    <w:pStyle w:val="102"/>
                    <w:bidi w:val="0"/>
                    <w:rPr>
                      <w:rFonts w:hint="default"/>
                      <w:color w:val="auto"/>
                      <w:highlight w:val="none"/>
                    </w:rPr>
                  </w:pPr>
                  <w:r>
                    <w:rPr>
                      <w:rFonts w:hint="default"/>
                      <w:color w:val="auto"/>
                      <w:highlight w:val="none"/>
                    </w:rPr>
                    <w:t>评价结果</w:t>
                  </w:r>
                </w:p>
              </w:tc>
              <w:tc>
                <w:tcPr>
                  <w:tcW w:w="609" w:type="pct"/>
                  <w:noWrap w:val="0"/>
                  <w:vAlign w:val="center"/>
                </w:tcPr>
                <w:p w14:paraId="6A4E3F04">
                  <w:pPr>
                    <w:pStyle w:val="102"/>
                    <w:bidi w:val="0"/>
                    <w:rPr>
                      <w:rFonts w:hint="default"/>
                      <w:color w:val="auto"/>
                      <w:highlight w:val="none"/>
                    </w:rPr>
                  </w:pPr>
                  <w:r>
                    <w:rPr>
                      <w:rFonts w:hint="default"/>
                      <w:color w:val="auto"/>
                      <w:highlight w:val="none"/>
                    </w:rPr>
                    <w:t>监测值</w:t>
                  </w:r>
                </w:p>
              </w:tc>
              <w:tc>
                <w:tcPr>
                  <w:tcW w:w="640" w:type="pct"/>
                  <w:noWrap w:val="0"/>
                  <w:vAlign w:val="center"/>
                </w:tcPr>
                <w:p w14:paraId="500F4377">
                  <w:pPr>
                    <w:pStyle w:val="102"/>
                    <w:bidi w:val="0"/>
                    <w:rPr>
                      <w:rFonts w:hint="default"/>
                      <w:color w:val="auto"/>
                      <w:highlight w:val="none"/>
                    </w:rPr>
                  </w:pPr>
                  <w:r>
                    <w:rPr>
                      <w:rFonts w:hint="default"/>
                      <w:color w:val="auto"/>
                      <w:highlight w:val="none"/>
                    </w:rPr>
                    <w:t>标准值</w:t>
                  </w:r>
                </w:p>
              </w:tc>
              <w:tc>
                <w:tcPr>
                  <w:tcW w:w="867" w:type="pct"/>
                  <w:noWrap w:val="0"/>
                  <w:vAlign w:val="center"/>
                </w:tcPr>
                <w:p w14:paraId="01D25774">
                  <w:pPr>
                    <w:pStyle w:val="102"/>
                    <w:bidi w:val="0"/>
                    <w:rPr>
                      <w:rFonts w:hint="default"/>
                      <w:color w:val="auto"/>
                      <w:highlight w:val="none"/>
                    </w:rPr>
                  </w:pPr>
                  <w:r>
                    <w:rPr>
                      <w:rFonts w:hint="default"/>
                      <w:color w:val="auto"/>
                      <w:highlight w:val="none"/>
                    </w:rPr>
                    <w:t>评价结果</w:t>
                  </w:r>
                </w:p>
              </w:tc>
            </w:tr>
            <w:tr w14:paraId="304A8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rPr>
              <w:tc>
                <w:tcPr>
                  <w:tcW w:w="846" w:type="pct"/>
                  <w:noWrap w:val="0"/>
                  <w:vAlign w:val="center"/>
                </w:tcPr>
                <w:p w14:paraId="7EA37C1B">
                  <w:pPr>
                    <w:pStyle w:val="103"/>
                    <w:bidi w:val="0"/>
                    <w:rPr>
                      <w:rFonts w:hint="eastAsia" w:eastAsia="宋体"/>
                      <w:color w:val="auto"/>
                      <w:highlight w:val="none"/>
                      <w:lang w:val="en-US" w:eastAsia="zh-CN"/>
                    </w:rPr>
                  </w:pPr>
                  <w:r>
                    <w:rPr>
                      <w:rFonts w:hint="default"/>
                      <w:color w:val="auto"/>
                      <w:highlight w:val="none"/>
                    </w:rPr>
                    <w:t>岳霍口村</w:t>
                  </w:r>
                  <w:r>
                    <w:rPr>
                      <w:rFonts w:hint="eastAsia"/>
                      <w:color w:val="auto"/>
                      <w:highlight w:val="none"/>
                      <w:lang w:val="en-US" w:eastAsia="zh-CN"/>
                    </w:rPr>
                    <w:t>沥</w:t>
                  </w:r>
                </w:p>
                <w:p w14:paraId="0E72F776">
                  <w:pPr>
                    <w:pStyle w:val="103"/>
                    <w:bidi w:val="0"/>
                    <w:rPr>
                      <w:rFonts w:hint="default"/>
                      <w:color w:val="auto"/>
                      <w:highlight w:val="none"/>
                    </w:rPr>
                  </w:pPr>
                  <w:r>
                    <w:rPr>
                      <w:rFonts w:hint="default"/>
                      <w:color w:val="auto"/>
                      <w:highlight w:val="none"/>
                    </w:rPr>
                    <w:t>东侧厂界最近住户1#</w:t>
                  </w:r>
                </w:p>
              </w:tc>
              <w:tc>
                <w:tcPr>
                  <w:tcW w:w="629" w:type="pct"/>
                  <w:noWrap w:val="0"/>
                  <w:vAlign w:val="center"/>
                </w:tcPr>
                <w:p w14:paraId="71D58F18">
                  <w:pPr>
                    <w:pStyle w:val="103"/>
                    <w:bidi w:val="0"/>
                    <w:rPr>
                      <w:rFonts w:hint="default"/>
                      <w:color w:val="auto"/>
                      <w:highlight w:val="none"/>
                      <w:lang w:val="en-US" w:eastAsia="zh-CN"/>
                    </w:rPr>
                  </w:pPr>
                  <w:r>
                    <w:rPr>
                      <w:rFonts w:hint="eastAsia"/>
                      <w:color w:val="auto"/>
                      <w:highlight w:val="none"/>
                      <w:lang w:val="en-US" w:eastAsia="zh-CN"/>
                    </w:rPr>
                    <w:t>52</w:t>
                  </w:r>
                </w:p>
              </w:tc>
              <w:tc>
                <w:tcPr>
                  <w:tcW w:w="577" w:type="pct"/>
                  <w:noWrap w:val="0"/>
                  <w:vAlign w:val="center"/>
                </w:tcPr>
                <w:p w14:paraId="0979BD25">
                  <w:pPr>
                    <w:pStyle w:val="103"/>
                    <w:bidi w:val="0"/>
                    <w:rPr>
                      <w:rFonts w:hint="default" w:eastAsia="宋体"/>
                      <w:color w:val="auto"/>
                      <w:highlight w:val="none"/>
                      <w:lang w:val="en-US" w:eastAsia="zh-CN"/>
                    </w:rPr>
                  </w:pPr>
                  <w:r>
                    <w:rPr>
                      <w:rFonts w:hint="eastAsia"/>
                      <w:color w:val="auto"/>
                      <w:highlight w:val="none"/>
                      <w:lang w:val="en-US" w:eastAsia="zh-CN"/>
                    </w:rPr>
                    <w:t>55</w:t>
                  </w:r>
                </w:p>
              </w:tc>
              <w:tc>
                <w:tcPr>
                  <w:tcW w:w="829" w:type="pct"/>
                  <w:noWrap w:val="0"/>
                  <w:vAlign w:val="center"/>
                </w:tcPr>
                <w:p w14:paraId="3A3FE8C0">
                  <w:pPr>
                    <w:pStyle w:val="103"/>
                    <w:bidi w:val="0"/>
                    <w:rPr>
                      <w:rFonts w:hint="default"/>
                      <w:color w:val="auto"/>
                      <w:highlight w:val="none"/>
                    </w:rPr>
                  </w:pPr>
                  <w:r>
                    <w:rPr>
                      <w:rFonts w:hint="default"/>
                      <w:color w:val="auto"/>
                      <w:highlight w:val="none"/>
                    </w:rPr>
                    <w:t>达标</w:t>
                  </w:r>
                </w:p>
              </w:tc>
              <w:tc>
                <w:tcPr>
                  <w:tcW w:w="609" w:type="pct"/>
                  <w:noWrap w:val="0"/>
                  <w:vAlign w:val="center"/>
                </w:tcPr>
                <w:p w14:paraId="056CB911">
                  <w:pPr>
                    <w:pStyle w:val="103"/>
                    <w:bidi w:val="0"/>
                    <w:rPr>
                      <w:rFonts w:hint="default" w:eastAsia="宋体"/>
                      <w:color w:val="auto"/>
                      <w:highlight w:val="none"/>
                      <w:lang w:val="en-US" w:eastAsia="zh-CN"/>
                    </w:rPr>
                  </w:pPr>
                  <w:r>
                    <w:rPr>
                      <w:rFonts w:hint="eastAsia"/>
                      <w:color w:val="auto"/>
                      <w:highlight w:val="none"/>
                      <w:lang w:val="en-US" w:eastAsia="zh-CN"/>
                    </w:rPr>
                    <w:t>43</w:t>
                  </w:r>
                </w:p>
              </w:tc>
              <w:tc>
                <w:tcPr>
                  <w:tcW w:w="640" w:type="pct"/>
                  <w:noWrap w:val="0"/>
                  <w:vAlign w:val="center"/>
                </w:tcPr>
                <w:p w14:paraId="2A840FBE">
                  <w:pPr>
                    <w:pStyle w:val="103"/>
                    <w:bidi w:val="0"/>
                    <w:rPr>
                      <w:rFonts w:hint="default" w:eastAsia="宋体"/>
                      <w:color w:val="auto"/>
                      <w:highlight w:val="none"/>
                      <w:lang w:val="en-US" w:eastAsia="zh-CN"/>
                    </w:rPr>
                  </w:pPr>
                  <w:r>
                    <w:rPr>
                      <w:rFonts w:hint="eastAsia"/>
                      <w:color w:val="auto"/>
                      <w:highlight w:val="none"/>
                      <w:lang w:val="en-US" w:eastAsia="zh-CN"/>
                    </w:rPr>
                    <w:t>45</w:t>
                  </w:r>
                </w:p>
              </w:tc>
              <w:tc>
                <w:tcPr>
                  <w:tcW w:w="867" w:type="pct"/>
                  <w:noWrap w:val="0"/>
                  <w:vAlign w:val="center"/>
                </w:tcPr>
                <w:p w14:paraId="1ECA0E6C">
                  <w:pPr>
                    <w:pStyle w:val="103"/>
                    <w:bidi w:val="0"/>
                    <w:rPr>
                      <w:rFonts w:hint="default"/>
                      <w:color w:val="auto"/>
                      <w:highlight w:val="none"/>
                    </w:rPr>
                  </w:pPr>
                  <w:r>
                    <w:rPr>
                      <w:rFonts w:hint="default"/>
                      <w:color w:val="auto"/>
                      <w:highlight w:val="none"/>
                    </w:rPr>
                    <w:t>达标</w:t>
                  </w:r>
                </w:p>
              </w:tc>
            </w:tr>
          </w:tbl>
          <w:p w14:paraId="003036D3">
            <w:pPr>
              <w:pStyle w:val="112"/>
              <w:keepNext w:val="0"/>
              <w:keepLines w:val="0"/>
              <w:pageBreakBefore w:val="0"/>
              <w:kinsoku/>
              <w:wordWrap/>
              <w:overflowPunct/>
              <w:topLinePunct w:val="0"/>
              <w:autoSpaceDE/>
              <w:autoSpaceDN/>
              <w:bidi w:val="0"/>
              <w:spacing w:before="0" w:beforeLines="0" w:after="0" w:afterLines="0" w:line="360" w:lineRule="auto"/>
              <w:ind w:left="0" w:firstLine="480" w:firstLineChars="200"/>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由上表可知，厂界东侧敏感点岳霍口村声环境质量现状检测结果满足《声环境质量标准》（GB3096-2008）</w:t>
            </w:r>
            <w:r>
              <w:rPr>
                <w:rFonts w:hint="eastAsia" w:cs="Times New Roman"/>
                <w:color w:val="auto"/>
                <w:kern w:val="2"/>
                <w:sz w:val="24"/>
                <w:szCs w:val="24"/>
                <w:highlight w:val="none"/>
                <w:lang w:val="en-US" w:eastAsia="zh-CN" w:bidi="ar-SA"/>
              </w:rPr>
              <w:t>1</w:t>
            </w:r>
            <w:r>
              <w:rPr>
                <w:rFonts w:hint="eastAsia" w:ascii="Times New Roman" w:hAnsi="Times New Roman" w:eastAsia="宋体" w:cs="Times New Roman"/>
                <w:color w:val="auto"/>
                <w:kern w:val="2"/>
                <w:sz w:val="24"/>
                <w:szCs w:val="24"/>
                <w:highlight w:val="none"/>
                <w:lang w:val="en-US" w:eastAsia="zh-CN" w:bidi="ar-SA"/>
              </w:rPr>
              <w:t>类</w:t>
            </w:r>
            <w:r>
              <w:rPr>
                <w:rFonts w:hint="eastAsia" w:cs="Times New Roman"/>
                <w:color w:val="auto"/>
                <w:kern w:val="2"/>
                <w:sz w:val="24"/>
                <w:szCs w:val="24"/>
                <w:highlight w:val="none"/>
                <w:lang w:val="en-US" w:eastAsia="zh-CN" w:bidi="ar-SA"/>
              </w:rPr>
              <w:t>功能区</w:t>
            </w:r>
            <w:r>
              <w:rPr>
                <w:rFonts w:hint="eastAsia" w:ascii="Times New Roman" w:hAnsi="Times New Roman" w:eastAsia="宋体" w:cs="Times New Roman"/>
                <w:color w:val="auto"/>
                <w:kern w:val="2"/>
                <w:sz w:val="24"/>
                <w:szCs w:val="24"/>
                <w:highlight w:val="none"/>
                <w:lang w:val="en-US" w:eastAsia="zh-CN" w:bidi="ar-SA"/>
              </w:rPr>
              <w:t>标准要求。</w:t>
            </w:r>
          </w:p>
          <w:p w14:paraId="053DE479">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color w:val="auto"/>
                <w:kern w:val="0"/>
                <w:szCs w:val="21"/>
                <w:highlight w:val="none"/>
              </w:rPr>
            </w:pPr>
            <w:r>
              <w:rPr>
                <w:rFonts w:hint="eastAsia" w:ascii="Times New Roman" w:hAnsi="Times New Roman" w:eastAsia="宋体" w:cs="Times New Roman"/>
                <w:color w:val="auto"/>
                <w:kern w:val="2"/>
                <w:sz w:val="24"/>
                <w:szCs w:val="24"/>
                <w:highlight w:val="none"/>
                <w:lang w:val="en-US" w:eastAsia="zh-CN" w:bidi="ar-SA"/>
              </w:rPr>
              <w:t xml:space="preserve">生态环境  </w:t>
            </w:r>
          </w:p>
          <w:p w14:paraId="16DF0FE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color w:val="auto"/>
                <w:kern w:val="0"/>
                <w:szCs w:val="21"/>
                <w:highlight w:val="none"/>
              </w:rPr>
            </w:pPr>
            <w:r>
              <w:rPr>
                <w:rFonts w:hint="eastAsia" w:ascii="Times New Roman" w:hAnsi="Times New Roman" w:eastAsia="宋体" w:cs="Times New Roman"/>
                <w:color w:val="auto"/>
                <w:kern w:val="2"/>
                <w:sz w:val="24"/>
                <w:szCs w:val="24"/>
                <w:highlight w:val="none"/>
                <w:lang w:val="en-US" w:eastAsia="zh-CN" w:bidi="ar-SA"/>
              </w:rPr>
              <w:t xml:space="preserve">项目位于河北省石家庄市行唐县河北行唐经济开发区南区，属于工业园区，无需进行生态环境现状调查。 </w:t>
            </w:r>
          </w:p>
        </w:tc>
      </w:tr>
      <w:tr w14:paraId="6AD4AA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0" w:hRule="atLeast"/>
          <w:jc w:val="center"/>
        </w:trPr>
        <w:tc>
          <w:tcPr>
            <w:tcW w:w="533" w:type="dxa"/>
            <w:noWrap w:val="0"/>
            <w:vAlign w:val="center"/>
          </w:tcPr>
          <w:p w14:paraId="1B965F8E">
            <w:pPr>
              <w:adjustRightInd w:val="0"/>
              <w:snapToGrid w:val="0"/>
              <w:jc w:val="center"/>
              <w:rPr>
                <w:color w:val="auto"/>
                <w:kern w:val="0"/>
                <w:sz w:val="24"/>
                <w:highlight w:val="none"/>
              </w:rPr>
            </w:pPr>
            <w:r>
              <w:rPr>
                <w:color w:val="auto"/>
                <w:kern w:val="0"/>
                <w:sz w:val="24"/>
                <w:highlight w:val="none"/>
              </w:rPr>
              <w:t>环境</w:t>
            </w:r>
          </w:p>
          <w:p w14:paraId="07BE01F5">
            <w:pPr>
              <w:adjustRightInd w:val="0"/>
              <w:snapToGrid w:val="0"/>
              <w:jc w:val="center"/>
              <w:rPr>
                <w:color w:val="auto"/>
                <w:kern w:val="0"/>
                <w:sz w:val="24"/>
                <w:highlight w:val="none"/>
              </w:rPr>
            </w:pPr>
            <w:r>
              <w:rPr>
                <w:color w:val="auto"/>
                <w:kern w:val="0"/>
                <w:sz w:val="24"/>
                <w:highlight w:val="none"/>
              </w:rPr>
              <w:t>保护</w:t>
            </w:r>
          </w:p>
          <w:p w14:paraId="02AD4743">
            <w:pPr>
              <w:adjustRightInd w:val="0"/>
              <w:snapToGrid w:val="0"/>
              <w:jc w:val="center"/>
              <w:rPr>
                <w:color w:val="auto"/>
                <w:kern w:val="0"/>
                <w:sz w:val="24"/>
                <w:highlight w:val="none"/>
              </w:rPr>
            </w:pPr>
            <w:r>
              <w:rPr>
                <w:color w:val="auto"/>
                <w:kern w:val="0"/>
                <w:sz w:val="24"/>
                <w:highlight w:val="none"/>
              </w:rPr>
              <w:t>目标</w:t>
            </w:r>
          </w:p>
        </w:tc>
        <w:tc>
          <w:tcPr>
            <w:tcW w:w="8528" w:type="dxa"/>
            <w:noWrap w:val="0"/>
            <w:vAlign w:val="center"/>
          </w:tcPr>
          <w:p w14:paraId="244E66BE">
            <w:pPr>
              <w:pStyle w:val="22"/>
              <w:keepNext w:val="0"/>
              <w:keepLines w:val="0"/>
              <w:pageBreakBefore w:val="0"/>
              <w:widowControl w:val="0"/>
              <w:kinsoku/>
              <w:wordWrap/>
              <w:overflowPunct/>
              <w:topLinePunct w:val="0"/>
              <w:autoSpaceDE/>
              <w:autoSpaceDN/>
              <w:bidi w:val="0"/>
              <w:adjustRightInd/>
              <w:snapToGrid/>
              <w:spacing w:line="360" w:lineRule="auto"/>
              <w:ind w:leftChars="0" w:firstLine="482" w:firstLineChars="200"/>
              <w:jc w:val="left"/>
              <w:textAlignment w:val="auto"/>
              <w:rPr>
                <w:rFonts w:hint="eastAsia"/>
                <w:b/>
                <w:bCs/>
                <w:color w:val="auto"/>
                <w:sz w:val="24"/>
                <w:szCs w:val="24"/>
                <w:highlight w:val="none"/>
              </w:rPr>
            </w:pPr>
            <w:r>
              <w:rPr>
                <w:rFonts w:hint="eastAsia"/>
                <w:b/>
                <w:bCs/>
                <w:color w:val="auto"/>
                <w:sz w:val="24"/>
                <w:szCs w:val="24"/>
                <w:highlight w:val="none"/>
              </w:rPr>
              <w:t>一、大气环境</w:t>
            </w:r>
          </w:p>
          <w:p w14:paraId="48FD2FD3">
            <w:pPr>
              <w:pStyle w:val="2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通过对本项目的现场踏勘，距离本项目最近的大气环境敏感点为东侧30m处的岳霍口村，厂界外500m范围内无自然保护区、风景名胜区、文化区。</w:t>
            </w:r>
          </w:p>
          <w:p w14:paraId="4461A4C0">
            <w:pPr>
              <w:pStyle w:val="2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2" w:firstLineChars="200"/>
              <w:jc w:val="left"/>
              <w:textAlignment w:val="auto"/>
              <w:rPr>
                <w:rFonts w:hint="eastAsia"/>
                <w:b/>
                <w:bCs/>
                <w:color w:val="auto"/>
                <w:sz w:val="24"/>
                <w:szCs w:val="24"/>
                <w:highlight w:val="none"/>
              </w:rPr>
            </w:pPr>
            <w:r>
              <w:rPr>
                <w:rFonts w:hint="eastAsia"/>
                <w:b/>
                <w:bCs/>
                <w:color w:val="auto"/>
                <w:sz w:val="24"/>
                <w:szCs w:val="24"/>
                <w:highlight w:val="none"/>
                <w:lang w:val="en-US" w:eastAsia="zh-CN"/>
              </w:rPr>
              <w:t>二、</w:t>
            </w:r>
            <w:r>
              <w:rPr>
                <w:rFonts w:hint="eastAsia"/>
                <w:b/>
                <w:bCs/>
                <w:color w:val="auto"/>
                <w:sz w:val="24"/>
                <w:szCs w:val="24"/>
                <w:highlight w:val="none"/>
              </w:rPr>
              <w:t>声环境</w:t>
            </w:r>
          </w:p>
          <w:p w14:paraId="2AE4B32E">
            <w:pPr>
              <w:pStyle w:val="2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color w:val="auto"/>
                <w:sz w:val="24"/>
                <w:szCs w:val="24"/>
                <w:highlight w:val="none"/>
                <w:lang w:val="en-US" w:eastAsia="zh-CN"/>
              </w:rPr>
            </w:pPr>
            <w:r>
              <w:rPr>
                <w:rFonts w:hint="eastAsia"/>
                <w:color w:val="auto"/>
                <w:sz w:val="24"/>
                <w:szCs w:val="24"/>
                <w:highlight w:val="none"/>
                <w:lang w:val="en-US" w:eastAsia="zh-CN"/>
              </w:rPr>
              <w:t>通过对本项目的现场踏勘，距离本项目最近的声环境保护目标为东侧30m处的岳霍口村。</w:t>
            </w:r>
          </w:p>
          <w:p w14:paraId="06C42EC2">
            <w:pPr>
              <w:pStyle w:val="22"/>
              <w:keepNext w:val="0"/>
              <w:keepLines w:val="0"/>
              <w:pageBreakBefore w:val="0"/>
              <w:widowControl w:val="0"/>
              <w:kinsoku/>
              <w:wordWrap/>
              <w:overflowPunct/>
              <w:topLinePunct w:val="0"/>
              <w:autoSpaceDE/>
              <w:autoSpaceDN/>
              <w:bidi w:val="0"/>
              <w:adjustRightInd/>
              <w:snapToGrid/>
              <w:spacing w:line="360" w:lineRule="auto"/>
              <w:ind w:leftChars="0" w:firstLine="482" w:firstLineChars="200"/>
              <w:jc w:val="left"/>
              <w:textAlignment w:val="auto"/>
              <w:rPr>
                <w:rFonts w:hint="eastAsia"/>
                <w:b/>
                <w:bCs/>
                <w:color w:val="auto"/>
                <w:sz w:val="24"/>
                <w:szCs w:val="24"/>
                <w:highlight w:val="none"/>
              </w:rPr>
            </w:pPr>
            <w:r>
              <w:rPr>
                <w:rFonts w:hint="eastAsia"/>
                <w:b/>
                <w:bCs/>
                <w:color w:val="auto"/>
                <w:sz w:val="24"/>
                <w:szCs w:val="24"/>
                <w:highlight w:val="none"/>
                <w:lang w:val="en-US" w:eastAsia="zh-CN"/>
              </w:rPr>
              <w:t>三</w:t>
            </w:r>
            <w:r>
              <w:rPr>
                <w:rFonts w:hint="eastAsia"/>
                <w:b/>
                <w:bCs/>
                <w:color w:val="auto"/>
                <w:sz w:val="24"/>
                <w:szCs w:val="24"/>
                <w:highlight w:val="none"/>
              </w:rPr>
              <w:t>、地下水环境</w:t>
            </w:r>
          </w:p>
          <w:p w14:paraId="152201FC">
            <w:pPr>
              <w:pStyle w:val="2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default"/>
                <w:color w:val="auto"/>
                <w:sz w:val="24"/>
                <w:szCs w:val="24"/>
                <w:highlight w:val="none"/>
                <w:lang w:val="en-US" w:eastAsia="zh-CN"/>
              </w:rPr>
            </w:pPr>
            <w:r>
              <w:rPr>
                <w:rFonts w:hint="eastAsia"/>
                <w:color w:val="auto"/>
                <w:sz w:val="24"/>
                <w:szCs w:val="24"/>
                <w:highlight w:val="none"/>
                <w:lang w:val="en-US" w:eastAsia="zh-CN"/>
              </w:rPr>
              <w:t>本项目东侧30m处的岳霍口村生活用水由项目东北侧650m处的岳霍口村地下水井提供。项目厂界外500m范围内无地下热水、矿泉水、温泉等特殊地下水资源。</w:t>
            </w:r>
          </w:p>
          <w:p w14:paraId="14034D3D">
            <w:pPr>
              <w:pStyle w:val="22"/>
              <w:keepNext w:val="0"/>
              <w:keepLines w:val="0"/>
              <w:pageBreakBefore w:val="0"/>
              <w:widowControl w:val="0"/>
              <w:kinsoku/>
              <w:wordWrap/>
              <w:overflowPunct/>
              <w:topLinePunct w:val="0"/>
              <w:autoSpaceDE/>
              <w:autoSpaceDN/>
              <w:bidi w:val="0"/>
              <w:adjustRightInd/>
              <w:snapToGrid/>
              <w:spacing w:line="360" w:lineRule="auto"/>
              <w:ind w:leftChars="0" w:firstLine="482" w:firstLineChars="200"/>
              <w:jc w:val="left"/>
              <w:textAlignment w:val="auto"/>
              <w:rPr>
                <w:rFonts w:hint="eastAsia" w:ascii="宋体" w:hAnsi="Courier New" w:eastAsia="宋体" w:cs="Times New Roman"/>
                <w:b/>
                <w:bCs/>
                <w:color w:val="auto"/>
                <w:sz w:val="24"/>
                <w:szCs w:val="24"/>
                <w:highlight w:val="none"/>
                <w:lang w:val="en-US" w:eastAsia="zh-CN"/>
              </w:rPr>
            </w:pPr>
            <w:r>
              <w:rPr>
                <w:rFonts w:hint="eastAsia" w:ascii="宋体" w:hAnsi="Courier New" w:eastAsia="宋体" w:cs="Times New Roman"/>
                <w:b/>
                <w:bCs/>
                <w:color w:val="auto"/>
                <w:sz w:val="24"/>
                <w:szCs w:val="24"/>
                <w:highlight w:val="none"/>
                <w:lang w:val="en-US" w:eastAsia="zh-CN"/>
              </w:rPr>
              <w:t>四、生态环境</w:t>
            </w:r>
          </w:p>
          <w:p w14:paraId="030137D4">
            <w:pPr>
              <w:pStyle w:val="22"/>
              <w:spacing w:line="360" w:lineRule="auto"/>
              <w:ind w:firstLine="480" w:firstLineChars="200"/>
              <w:jc w:val="left"/>
              <w:rPr>
                <w:rFonts w:hint="default"/>
                <w:color w:val="auto"/>
                <w:sz w:val="24"/>
                <w:highlight w:val="none"/>
                <w:lang w:val="en-US"/>
              </w:rPr>
            </w:pPr>
            <w:r>
              <w:rPr>
                <w:rFonts w:hint="eastAsia" w:ascii="Times New Roman" w:hAnsi="Times New Roman"/>
                <w:color w:val="auto"/>
                <w:sz w:val="24"/>
                <w:szCs w:val="24"/>
                <w:highlight w:val="none"/>
                <w:lang w:val="en-US" w:eastAsia="zh-CN"/>
              </w:rPr>
              <w:t>项目</w:t>
            </w:r>
            <w:r>
              <w:rPr>
                <w:rFonts w:hint="eastAsia" w:ascii="Times New Roman" w:hAnsi="Times New Roman" w:eastAsia="宋体" w:cs="Times New Roman"/>
                <w:color w:val="auto"/>
                <w:sz w:val="24"/>
                <w:szCs w:val="24"/>
                <w:highlight w:val="none"/>
                <w:lang w:val="en-US" w:eastAsia="zh-CN"/>
              </w:rPr>
              <w:t>位于</w:t>
            </w:r>
            <w:r>
              <w:rPr>
                <w:rFonts w:hint="eastAsia" w:ascii="Times New Roman" w:hAnsi="Times New Roman" w:eastAsia="宋体" w:cs="Times New Roman"/>
                <w:color w:val="auto"/>
                <w:sz w:val="24"/>
                <w:highlight w:val="none"/>
                <w:lang w:eastAsia="zh-CN"/>
              </w:rPr>
              <w:t>河北省石家庄市行唐县</w:t>
            </w:r>
            <w:r>
              <w:rPr>
                <w:rFonts w:hint="eastAsia" w:ascii="Times New Roman" w:hAnsi="Times New Roman" w:eastAsia="宋体" w:cs="Times New Roman"/>
                <w:color w:val="auto"/>
                <w:sz w:val="24"/>
                <w:highlight w:val="none"/>
                <w:lang w:val="en-US" w:eastAsia="zh-CN"/>
              </w:rPr>
              <w:t>河北行唐经济开发区南区</w:t>
            </w:r>
            <w:r>
              <w:rPr>
                <w:rFonts w:hint="eastAsia" w:ascii="Times New Roman" w:hAnsi="Times New Roman" w:eastAsia="宋体" w:cs="Times New Roman"/>
                <w:color w:val="auto"/>
                <w:sz w:val="24"/>
                <w:szCs w:val="24"/>
                <w:highlight w:val="none"/>
                <w:lang w:val="en-US" w:eastAsia="zh-CN"/>
              </w:rPr>
              <w:t>，属于工业园区，无生态环境保护目标。</w:t>
            </w:r>
          </w:p>
          <w:p w14:paraId="6E64FC04">
            <w:pPr>
              <w:pStyle w:val="112"/>
              <w:keepNext w:val="0"/>
              <w:keepLines w:val="0"/>
              <w:pageBreakBefore w:val="0"/>
              <w:widowControl w:val="0"/>
              <w:kinsoku/>
              <w:wordWrap/>
              <w:overflowPunct/>
              <w:topLinePunct w:val="0"/>
              <w:autoSpaceDE/>
              <w:autoSpaceDN/>
              <w:bidi w:val="0"/>
              <w:adjustRightInd w:val="0"/>
              <w:snapToGrid w:val="0"/>
              <w:textAlignment w:val="auto"/>
              <w:rPr>
                <w:rFonts w:hint="eastAsia"/>
                <w:color w:val="auto"/>
                <w:highlight w:val="none"/>
                <w:lang w:val="en-US" w:eastAsia="zh-CN"/>
              </w:rPr>
            </w:pPr>
            <w:r>
              <w:rPr>
                <w:rFonts w:hint="eastAsia" w:ascii="宋体" w:hAnsi="Courier New" w:eastAsia="宋体" w:cs="Times New Roman"/>
                <w:color w:val="auto"/>
                <w:kern w:val="2"/>
                <w:sz w:val="24"/>
                <w:szCs w:val="24"/>
                <w:highlight w:val="none"/>
                <w:lang w:val="en-US" w:eastAsia="zh-CN" w:bidi="ar-SA"/>
              </w:rPr>
              <w:t>根据项目工程特点、评价区域环境特征，确定本项目环境保护目标及保护级别见下表。</w:t>
            </w:r>
          </w:p>
          <w:p w14:paraId="449B0163">
            <w:pPr>
              <w:pStyle w:val="91"/>
              <w:numPr>
                <w:ilvl w:val="0"/>
                <w:numId w:val="0"/>
              </w:numPr>
              <w:bidi w:val="0"/>
              <w:ind w:leftChars="200"/>
              <w:jc w:val="center"/>
              <w:rPr>
                <w:rFonts w:hint="eastAsia"/>
                <w:color w:val="auto"/>
                <w:highlight w:val="none"/>
              </w:rPr>
            </w:pPr>
            <w:r>
              <w:rPr>
                <w:rFonts w:hint="eastAsia"/>
                <w:color w:val="auto"/>
                <w:highlight w:val="none"/>
              </w:rPr>
              <w:t>表</w:t>
            </w:r>
            <w:r>
              <w:rPr>
                <w:rFonts w:hint="eastAsia"/>
                <w:color w:val="auto"/>
                <w:highlight w:val="none"/>
                <w:lang w:val="en-US" w:eastAsia="zh-CN"/>
              </w:rPr>
              <w:t>3-4</w:t>
            </w:r>
            <w:r>
              <w:rPr>
                <w:rFonts w:hint="eastAsia"/>
                <w:color w:val="auto"/>
                <w:highlight w:val="none"/>
              </w:rPr>
              <w:t xml:space="preserve"> </w:t>
            </w:r>
            <w:r>
              <w:rPr>
                <w:color w:val="auto"/>
                <w:highlight w:val="none"/>
              </w:rPr>
              <w:t>环境保护目标一览表</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20"/>
              <w:gridCol w:w="1115"/>
              <w:gridCol w:w="981"/>
              <w:gridCol w:w="1070"/>
              <w:gridCol w:w="465"/>
              <w:gridCol w:w="767"/>
              <w:gridCol w:w="768"/>
              <w:gridCol w:w="917"/>
              <w:gridCol w:w="1703"/>
            </w:tblGrid>
            <w:tr w14:paraId="7CEA1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30" w:hRule="atLeast"/>
                <w:tblHeader/>
                <w:jc w:val="center"/>
              </w:trPr>
              <w:tc>
                <w:tcPr>
                  <w:tcW w:w="520" w:type="dxa"/>
                  <w:vMerge w:val="restart"/>
                  <w:tcBorders>
                    <w:tl2br w:val="nil"/>
                    <w:tr2bl w:val="nil"/>
                  </w:tcBorders>
                  <w:vAlign w:val="center"/>
                </w:tcPr>
                <w:p w14:paraId="0F1A6916">
                  <w:pPr>
                    <w:pStyle w:val="81"/>
                    <w:spacing w:line="280" w:lineRule="exact"/>
                    <w:rPr>
                      <w:szCs w:val="21"/>
                    </w:rPr>
                  </w:pPr>
                  <w:r>
                    <w:rPr>
                      <w:szCs w:val="21"/>
                    </w:rPr>
                    <w:t>环境</w:t>
                  </w:r>
                </w:p>
                <w:p w14:paraId="63985797">
                  <w:pPr>
                    <w:pStyle w:val="81"/>
                    <w:spacing w:line="280" w:lineRule="exact"/>
                    <w:rPr>
                      <w:szCs w:val="21"/>
                    </w:rPr>
                  </w:pPr>
                  <w:r>
                    <w:rPr>
                      <w:szCs w:val="21"/>
                    </w:rPr>
                    <w:t>要素</w:t>
                  </w:r>
                </w:p>
              </w:tc>
              <w:tc>
                <w:tcPr>
                  <w:tcW w:w="2096" w:type="dxa"/>
                  <w:gridSpan w:val="2"/>
                  <w:tcBorders>
                    <w:tl2br w:val="nil"/>
                    <w:tr2bl w:val="nil"/>
                  </w:tcBorders>
                  <w:vAlign w:val="center"/>
                </w:tcPr>
                <w:p w14:paraId="16AC1DB6">
                  <w:pPr>
                    <w:pStyle w:val="81"/>
                    <w:spacing w:line="280" w:lineRule="exact"/>
                    <w:rPr>
                      <w:szCs w:val="21"/>
                    </w:rPr>
                  </w:pPr>
                  <w:r>
                    <w:rPr>
                      <w:szCs w:val="21"/>
                    </w:rPr>
                    <w:t>坐标</w:t>
                  </w:r>
                  <w:r>
                    <w:rPr>
                      <w:rFonts w:hint="eastAsia"/>
                      <w:szCs w:val="21"/>
                    </w:rPr>
                    <w:t>/m</w:t>
                  </w:r>
                </w:p>
              </w:tc>
              <w:tc>
                <w:tcPr>
                  <w:tcW w:w="1070" w:type="dxa"/>
                  <w:vMerge w:val="restart"/>
                  <w:tcBorders>
                    <w:tl2br w:val="nil"/>
                    <w:tr2bl w:val="nil"/>
                  </w:tcBorders>
                  <w:vAlign w:val="center"/>
                </w:tcPr>
                <w:p w14:paraId="6DB54123">
                  <w:pPr>
                    <w:pStyle w:val="81"/>
                    <w:spacing w:line="280" w:lineRule="exact"/>
                    <w:rPr>
                      <w:szCs w:val="21"/>
                    </w:rPr>
                  </w:pPr>
                  <w:r>
                    <w:rPr>
                      <w:szCs w:val="21"/>
                    </w:rPr>
                    <w:t>保护对象</w:t>
                  </w:r>
                </w:p>
              </w:tc>
              <w:tc>
                <w:tcPr>
                  <w:tcW w:w="465" w:type="dxa"/>
                  <w:vMerge w:val="restart"/>
                  <w:tcBorders>
                    <w:tl2br w:val="nil"/>
                    <w:tr2bl w:val="nil"/>
                  </w:tcBorders>
                  <w:vAlign w:val="center"/>
                </w:tcPr>
                <w:p w14:paraId="6EFC255E">
                  <w:pPr>
                    <w:pStyle w:val="81"/>
                    <w:spacing w:line="280" w:lineRule="exact"/>
                    <w:rPr>
                      <w:szCs w:val="21"/>
                    </w:rPr>
                  </w:pPr>
                  <w:r>
                    <w:rPr>
                      <w:szCs w:val="21"/>
                    </w:rPr>
                    <w:t>保护</w:t>
                  </w:r>
                </w:p>
                <w:p w14:paraId="713BECAE">
                  <w:pPr>
                    <w:pStyle w:val="81"/>
                    <w:spacing w:line="280" w:lineRule="exact"/>
                    <w:rPr>
                      <w:szCs w:val="21"/>
                    </w:rPr>
                  </w:pPr>
                  <w:r>
                    <w:rPr>
                      <w:szCs w:val="21"/>
                    </w:rPr>
                    <w:t>内容</w:t>
                  </w:r>
                </w:p>
              </w:tc>
              <w:tc>
                <w:tcPr>
                  <w:tcW w:w="767" w:type="dxa"/>
                  <w:vMerge w:val="restart"/>
                  <w:tcBorders>
                    <w:tl2br w:val="nil"/>
                    <w:tr2bl w:val="nil"/>
                  </w:tcBorders>
                  <w:vAlign w:val="center"/>
                </w:tcPr>
                <w:p w14:paraId="68BCBAC6">
                  <w:pPr>
                    <w:pStyle w:val="81"/>
                    <w:spacing w:line="280" w:lineRule="exact"/>
                    <w:rPr>
                      <w:szCs w:val="21"/>
                    </w:rPr>
                  </w:pPr>
                  <w:r>
                    <w:rPr>
                      <w:szCs w:val="21"/>
                    </w:rPr>
                    <w:t>环境功能区</w:t>
                  </w:r>
                </w:p>
              </w:tc>
              <w:tc>
                <w:tcPr>
                  <w:tcW w:w="768" w:type="dxa"/>
                  <w:vMerge w:val="restart"/>
                  <w:tcBorders>
                    <w:tl2br w:val="nil"/>
                    <w:tr2bl w:val="nil"/>
                  </w:tcBorders>
                  <w:vAlign w:val="center"/>
                </w:tcPr>
                <w:p w14:paraId="3F41083E">
                  <w:pPr>
                    <w:pStyle w:val="81"/>
                    <w:spacing w:line="280" w:lineRule="exact"/>
                    <w:rPr>
                      <w:szCs w:val="21"/>
                    </w:rPr>
                  </w:pPr>
                  <w:r>
                    <w:rPr>
                      <w:szCs w:val="21"/>
                    </w:rPr>
                    <w:t>相对厂址方位</w:t>
                  </w:r>
                </w:p>
              </w:tc>
              <w:tc>
                <w:tcPr>
                  <w:tcW w:w="917" w:type="dxa"/>
                  <w:vMerge w:val="restart"/>
                  <w:tcBorders>
                    <w:tl2br w:val="nil"/>
                    <w:tr2bl w:val="nil"/>
                  </w:tcBorders>
                  <w:vAlign w:val="center"/>
                </w:tcPr>
                <w:p w14:paraId="2ACFACC4">
                  <w:pPr>
                    <w:pStyle w:val="81"/>
                    <w:spacing w:line="280" w:lineRule="exact"/>
                    <w:rPr>
                      <w:szCs w:val="21"/>
                    </w:rPr>
                  </w:pPr>
                  <w:r>
                    <w:rPr>
                      <w:szCs w:val="21"/>
                    </w:rPr>
                    <w:t>相对厂界</w:t>
                  </w:r>
                </w:p>
                <w:p w14:paraId="4574AE42">
                  <w:pPr>
                    <w:pStyle w:val="81"/>
                    <w:spacing w:line="280" w:lineRule="exact"/>
                    <w:rPr>
                      <w:szCs w:val="21"/>
                    </w:rPr>
                  </w:pPr>
                  <w:r>
                    <w:rPr>
                      <w:szCs w:val="21"/>
                    </w:rPr>
                    <w:t>距离/m</w:t>
                  </w:r>
                </w:p>
              </w:tc>
              <w:tc>
                <w:tcPr>
                  <w:tcW w:w="1703" w:type="dxa"/>
                  <w:vMerge w:val="restart"/>
                  <w:tcBorders>
                    <w:tl2br w:val="nil"/>
                    <w:tr2bl w:val="nil"/>
                  </w:tcBorders>
                  <w:vAlign w:val="center"/>
                </w:tcPr>
                <w:p w14:paraId="17093F50">
                  <w:pPr>
                    <w:pStyle w:val="81"/>
                    <w:spacing w:line="280" w:lineRule="exact"/>
                    <w:ind w:firstLine="315" w:firstLineChars="150"/>
                    <w:jc w:val="both"/>
                    <w:rPr>
                      <w:szCs w:val="21"/>
                    </w:rPr>
                  </w:pPr>
                  <w:r>
                    <w:rPr>
                      <w:szCs w:val="21"/>
                    </w:rPr>
                    <w:t>保护级别</w:t>
                  </w:r>
                </w:p>
              </w:tc>
            </w:tr>
            <w:tr w14:paraId="3BE03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2" w:hRule="atLeast"/>
                <w:tblHeader/>
                <w:jc w:val="center"/>
              </w:trPr>
              <w:tc>
                <w:tcPr>
                  <w:tcW w:w="520" w:type="dxa"/>
                  <w:vMerge w:val="continue"/>
                  <w:tcBorders>
                    <w:tl2br w:val="nil"/>
                    <w:tr2bl w:val="nil"/>
                  </w:tcBorders>
                  <w:vAlign w:val="center"/>
                </w:tcPr>
                <w:p w14:paraId="63C3920C">
                  <w:pPr>
                    <w:pStyle w:val="81"/>
                    <w:spacing w:line="280" w:lineRule="exact"/>
                    <w:rPr>
                      <w:szCs w:val="21"/>
                    </w:rPr>
                  </w:pPr>
                </w:p>
              </w:tc>
              <w:tc>
                <w:tcPr>
                  <w:tcW w:w="1115" w:type="dxa"/>
                  <w:tcBorders>
                    <w:tl2br w:val="nil"/>
                    <w:tr2bl w:val="nil"/>
                  </w:tcBorders>
                  <w:vAlign w:val="center"/>
                </w:tcPr>
                <w:p w14:paraId="21DB44B3">
                  <w:pPr>
                    <w:pStyle w:val="81"/>
                    <w:spacing w:line="280" w:lineRule="exact"/>
                    <w:rPr>
                      <w:szCs w:val="21"/>
                    </w:rPr>
                  </w:pPr>
                  <w:r>
                    <w:rPr>
                      <w:szCs w:val="21"/>
                    </w:rPr>
                    <w:t>X</w:t>
                  </w:r>
                </w:p>
              </w:tc>
              <w:tc>
                <w:tcPr>
                  <w:tcW w:w="981" w:type="dxa"/>
                  <w:tcBorders>
                    <w:tl2br w:val="nil"/>
                    <w:tr2bl w:val="nil"/>
                  </w:tcBorders>
                  <w:vAlign w:val="center"/>
                </w:tcPr>
                <w:p w14:paraId="146D7F56">
                  <w:pPr>
                    <w:pStyle w:val="81"/>
                    <w:spacing w:line="280" w:lineRule="exact"/>
                    <w:rPr>
                      <w:szCs w:val="21"/>
                    </w:rPr>
                  </w:pPr>
                  <w:r>
                    <w:rPr>
                      <w:szCs w:val="21"/>
                    </w:rPr>
                    <w:t>Y</w:t>
                  </w:r>
                </w:p>
              </w:tc>
              <w:tc>
                <w:tcPr>
                  <w:tcW w:w="1070" w:type="dxa"/>
                  <w:vMerge w:val="continue"/>
                  <w:tcBorders>
                    <w:tl2br w:val="nil"/>
                    <w:tr2bl w:val="nil"/>
                  </w:tcBorders>
                  <w:vAlign w:val="center"/>
                </w:tcPr>
                <w:p w14:paraId="1FBD90F4">
                  <w:pPr>
                    <w:pStyle w:val="81"/>
                    <w:spacing w:line="280" w:lineRule="exact"/>
                    <w:rPr>
                      <w:szCs w:val="21"/>
                    </w:rPr>
                  </w:pPr>
                </w:p>
              </w:tc>
              <w:tc>
                <w:tcPr>
                  <w:tcW w:w="465" w:type="dxa"/>
                  <w:vMerge w:val="continue"/>
                  <w:tcBorders>
                    <w:tl2br w:val="nil"/>
                    <w:tr2bl w:val="nil"/>
                  </w:tcBorders>
                  <w:vAlign w:val="center"/>
                </w:tcPr>
                <w:p w14:paraId="6AD3D5B4">
                  <w:pPr>
                    <w:pStyle w:val="81"/>
                    <w:spacing w:line="280" w:lineRule="exact"/>
                    <w:rPr>
                      <w:szCs w:val="21"/>
                    </w:rPr>
                  </w:pPr>
                </w:p>
              </w:tc>
              <w:tc>
                <w:tcPr>
                  <w:tcW w:w="767" w:type="dxa"/>
                  <w:vMerge w:val="continue"/>
                  <w:tcBorders>
                    <w:tl2br w:val="nil"/>
                    <w:tr2bl w:val="nil"/>
                  </w:tcBorders>
                  <w:vAlign w:val="center"/>
                </w:tcPr>
                <w:p w14:paraId="78FAB6EE">
                  <w:pPr>
                    <w:pStyle w:val="81"/>
                    <w:spacing w:line="280" w:lineRule="exact"/>
                    <w:rPr>
                      <w:szCs w:val="21"/>
                    </w:rPr>
                  </w:pPr>
                </w:p>
              </w:tc>
              <w:tc>
                <w:tcPr>
                  <w:tcW w:w="768" w:type="dxa"/>
                  <w:vMerge w:val="continue"/>
                  <w:tcBorders>
                    <w:tl2br w:val="nil"/>
                    <w:tr2bl w:val="nil"/>
                  </w:tcBorders>
                  <w:vAlign w:val="center"/>
                </w:tcPr>
                <w:p w14:paraId="64833D36">
                  <w:pPr>
                    <w:pStyle w:val="81"/>
                    <w:spacing w:line="280" w:lineRule="exact"/>
                    <w:rPr>
                      <w:szCs w:val="21"/>
                    </w:rPr>
                  </w:pPr>
                </w:p>
              </w:tc>
              <w:tc>
                <w:tcPr>
                  <w:tcW w:w="917" w:type="dxa"/>
                  <w:vMerge w:val="continue"/>
                  <w:tcBorders>
                    <w:tl2br w:val="nil"/>
                    <w:tr2bl w:val="nil"/>
                  </w:tcBorders>
                  <w:vAlign w:val="center"/>
                </w:tcPr>
                <w:p w14:paraId="0383A2A2">
                  <w:pPr>
                    <w:pStyle w:val="81"/>
                    <w:spacing w:line="280" w:lineRule="exact"/>
                    <w:rPr>
                      <w:szCs w:val="21"/>
                    </w:rPr>
                  </w:pPr>
                </w:p>
              </w:tc>
              <w:tc>
                <w:tcPr>
                  <w:tcW w:w="1703" w:type="dxa"/>
                  <w:vMerge w:val="continue"/>
                  <w:tcBorders>
                    <w:tl2br w:val="nil"/>
                    <w:tr2bl w:val="nil"/>
                  </w:tcBorders>
                  <w:vAlign w:val="center"/>
                </w:tcPr>
                <w:p w14:paraId="68C9D920">
                  <w:pPr>
                    <w:pStyle w:val="81"/>
                    <w:spacing w:line="280" w:lineRule="exact"/>
                    <w:ind w:firstLine="422"/>
                    <w:rPr>
                      <w:szCs w:val="21"/>
                    </w:rPr>
                  </w:pPr>
                </w:p>
              </w:tc>
            </w:tr>
            <w:tr w14:paraId="62A84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5" w:hRule="atLeast"/>
                <w:jc w:val="center"/>
              </w:trPr>
              <w:tc>
                <w:tcPr>
                  <w:tcW w:w="520" w:type="dxa"/>
                  <w:tcBorders>
                    <w:tl2br w:val="nil"/>
                    <w:tr2bl w:val="nil"/>
                  </w:tcBorders>
                  <w:vAlign w:val="center"/>
                </w:tcPr>
                <w:p w14:paraId="4870CDDF">
                  <w:pPr>
                    <w:pStyle w:val="81"/>
                    <w:spacing w:line="280" w:lineRule="exact"/>
                    <w:rPr>
                      <w:szCs w:val="21"/>
                    </w:rPr>
                  </w:pPr>
                  <w:r>
                    <w:rPr>
                      <w:szCs w:val="21"/>
                    </w:rPr>
                    <w:t>环境</w:t>
                  </w:r>
                </w:p>
                <w:p w14:paraId="75142665">
                  <w:pPr>
                    <w:pStyle w:val="81"/>
                    <w:spacing w:line="280" w:lineRule="exact"/>
                    <w:rPr>
                      <w:szCs w:val="21"/>
                    </w:rPr>
                  </w:pPr>
                  <w:r>
                    <w:rPr>
                      <w:szCs w:val="21"/>
                    </w:rPr>
                    <w:t>空气</w:t>
                  </w:r>
                </w:p>
              </w:tc>
              <w:tc>
                <w:tcPr>
                  <w:tcW w:w="1115" w:type="dxa"/>
                  <w:tcBorders>
                    <w:tl2br w:val="nil"/>
                    <w:tr2bl w:val="nil"/>
                  </w:tcBorders>
                  <w:vAlign w:val="center"/>
                </w:tcPr>
                <w:p w14:paraId="69972F7C">
                  <w:pPr>
                    <w:spacing w:line="280" w:lineRule="exact"/>
                    <w:jc w:val="center"/>
                    <w:rPr>
                      <w:rFonts w:hint="default" w:eastAsia="宋体"/>
                      <w:color w:val="000000"/>
                      <w:szCs w:val="21"/>
                      <w:lang w:val="en-US" w:eastAsia="zh-CN"/>
                    </w:rPr>
                  </w:pPr>
                  <w:r>
                    <w:rPr>
                      <w:rFonts w:hint="eastAsia"/>
                      <w:color w:val="000000"/>
                      <w:szCs w:val="21"/>
                      <w:lang w:val="en-US" w:eastAsia="zh-CN"/>
                    </w:rPr>
                    <w:t>50</w:t>
                  </w:r>
                </w:p>
              </w:tc>
              <w:tc>
                <w:tcPr>
                  <w:tcW w:w="981" w:type="dxa"/>
                  <w:tcBorders>
                    <w:tl2br w:val="nil"/>
                    <w:tr2bl w:val="nil"/>
                  </w:tcBorders>
                  <w:vAlign w:val="center"/>
                </w:tcPr>
                <w:p w14:paraId="4DFDA5C1">
                  <w:pPr>
                    <w:spacing w:line="280" w:lineRule="exact"/>
                    <w:jc w:val="center"/>
                    <w:rPr>
                      <w:rFonts w:hint="eastAsia" w:eastAsia="宋体"/>
                      <w:color w:val="000000"/>
                      <w:szCs w:val="21"/>
                      <w:lang w:val="en-US" w:eastAsia="zh-CN"/>
                    </w:rPr>
                  </w:pPr>
                  <w:r>
                    <w:rPr>
                      <w:rFonts w:hint="eastAsia"/>
                      <w:color w:val="000000"/>
                      <w:szCs w:val="21"/>
                      <w:lang w:val="en-US" w:eastAsia="zh-CN"/>
                    </w:rPr>
                    <w:t>0</w:t>
                  </w:r>
                </w:p>
              </w:tc>
              <w:tc>
                <w:tcPr>
                  <w:tcW w:w="1070" w:type="dxa"/>
                  <w:tcBorders>
                    <w:tl2br w:val="nil"/>
                    <w:tr2bl w:val="nil"/>
                  </w:tcBorders>
                  <w:vAlign w:val="center"/>
                </w:tcPr>
                <w:p w14:paraId="77E42657">
                  <w:pPr>
                    <w:spacing w:line="280" w:lineRule="exact"/>
                    <w:jc w:val="center"/>
                    <w:rPr>
                      <w:szCs w:val="21"/>
                    </w:rPr>
                  </w:pPr>
                  <w:r>
                    <w:rPr>
                      <w:rFonts w:hint="eastAsia"/>
                      <w:szCs w:val="21"/>
                    </w:rPr>
                    <w:t>岳霍口村</w:t>
                  </w:r>
                </w:p>
              </w:tc>
              <w:tc>
                <w:tcPr>
                  <w:tcW w:w="465" w:type="dxa"/>
                  <w:tcBorders>
                    <w:tl2br w:val="nil"/>
                    <w:tr2bl w:val="nil"/>
                  </w:tcBorders>
                  <w:vAlign w:val="center"/>
                </w:tcPr>
                <w:p w14:paraId="3C8655E7">
                  <w:pPr>
                    <w:pStyle w:val="81"/>
                    <w:spacing w:line="280" w:lineRule="exact"/>
                    <w:rPr>
                      <w:szCs w:val="21"/>
                    </w:rPr>
                  </w:pPr>
                  <w:r>
                    <w:rPr>
                      <w:szCs w:val="21"/>
                    </w:rPr>
                    <w:t>居民</w:t>
                  </w:r>
                </w:p>
              </w:tc>
              <w:tc>
                <w:tcPr>
                  <w:tcW w:w="767" w:type="dxa"/>
                  <w:tcBorders>
                    <w:tl2br w:val="nil"/>
                    <w:tr2bl w:val="nil"/>
                  </w:tcBorders>
                  <w:vAlign w:val="center"/>
                </w:tcPr>
                <w:p w14:paraId="6E4FA3C5">
                  <w:pPr>
                    <w:pStyle w:val="81"/>
                    <w:spacing w:line="280" w:lineRule="exact"/>
                    <w:rPr>
                      <w:szCs w:val="21"/>
                    </w:rPr>
                  </w:pPr>
                  <w:r>
                    <w:rPr>
                      <w:szCs w:val="21"/>
                    </w:rPr>
                    <w:t>二类</w:t>
                  </w:r>
                </w:p>
              </w:tc>
              <w:tc>
                <w:tcPr>
                  <w:tcW w:w="768" w:type="dxa"/>
                  <w:tcBorders>
                    <w:tl2br w:val="nil"/>
                    <w:tr2bl w:val="nil"/>
                  </w:tcBorders>
                  <w:vAlign w:val="center"/>
                </w:tcPr>
                <w:p w14:paraId="337F0C8F">
                  <w:pPr>
                    <w:spacing w:line="280" w:lineRule="exact"/>
                    <w:jc w:val="center"/>
                    <w:rPr>
                      <w:rFonts w:hint="eastAsia" w:eastAsia="宋体"/>
                      <w:szCs w:val="21"/>
                      <w:lang w:eastAsia="zh-CN"/>
                    </w:rPr>
                  </w:pPr>
                  <w:r>
                    <w:rPr>
                      <w:rFonts w:hint="eastAsia"/>
                      <w:szCs w:val="21"/>
                      <w:lang w:val="en-US" w:eastAsia="zh-CN"/>
                    </w:rPr>
                    <w:t>东</w:t>
                  </w:r>
                </w:p>
              </w:tc>
              <w:tc>
                <w:tcPr>
                  <w:tcW w:w="917" w:type="dxa"/>
                  <w:tcBorders>
                    <w:tl2br w:val="nil"/>
                    <w:tr2bl w:val="nil"/>
                  </w:tcBorders>
                  <w:vAlign w:val="center"/>
                </w:tcPr>
                <w:p w14:paraId="3CA31886">
                  <w:pPr>
                    <w:pStyle w:val="125"/>
                    <w:spacing w:line="280" w:lineRule="exact"/>
                    <w:jc w:val="center"/>
                    <w:rPr>
                      <w:rFonts w:hint="default" w:eastAsia="宋体"/>
                      <w:szCs w:val="21"/>
                      <w:lang w:val="en-US" w:eastAsia="zh-CN"/>
                    </w:rPr>
                  </w:pPr>
                  <w:r>
                    <w:rPr>
                      <w:rFonts w:hint="eastAsia"/>
                      <w:szCs w:val="21"/>
                      <w:lang w:val="en-US" w:eastAsia="zh-CN"/>
                    </w:rPr>
                    <w:t>30</w:t>
                  </w:r>
                </w:p>
              </w:tc>
              <w:tc>
                <w:tcPr>
                  <w:tcW w:w="1703" w:type="dxa"/>
                  <w:tcBorders>
                    <w:tl2br w:val="nil"/>
                    <w:tr2bl w:val="nil"/>
                  </w:tcBorders>
                  <w:vAlign w:val="center"/>
                </w:tcPr>
                <w:p w14:paraId="61DB916F">
                  <w:pPr>
                    <w:pStyle w:val="81"/>
                    <w:spacing w:line="280" w:lineRule="exact"/>
                    <w:rPr>
                      <w:szCs w:val="21"/>
                    </w:rPr>
                  </w:pPr>
                  <w:r>
                    <w:rPr>
                      <w:szCs w:val="21"/>
                    </w:rPr>
                    <w:t>《环境空气质量标准》（GB3095-20</w:t>
                  </w:r>
                  <w:r>
                    <w:rPr>
                      <w:rFonts w:hint="eastAsia"/>
                      <w:szCs w:val="21"/>
                      <w:lang w:val="en-US" w:eastAsia="zh-CN"/>
                    </w:rPr>
                    <w:t>6</w:t>
                  </w:r>
                  <w:r>
                    <w:rPr>
                      <w:szCs w:val="21"/>
                    </w:rPr>
                    <w:t>）二级标准</w:t>
                  </w:r>
                </w:p>
              </w:tc>
            </w:tr>
            <w:tr w14:paraId="255EE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520" w:type="dxa"/>
                  <w:tcBorders>
                    <w:tl2br w:val="nil"/>
                    <w:tr2bl w:val="nil"/>
                  </w:tcBorders>
                  <w:vAlign w:val="center"/>
                </w:tcPr>
                <w:p w14:paraId="325964A6">
                  <w:pPr>
                    <w:pStyle w:val="81"/>
                    <w:spacing w:line="280" w:lineRule="exact"/>
                    <w:rPr>
                      <w:szCs w:val="21"/>
                    </w:rPr>
                  </w:pPr>
                  <w:r>
                    <w:rPr>
                      <w:szCs w:val="21"/>
                    </w:rPr>
                    <w:t>地下水</w:t>
                  </w:r>
                </w:p>
              </w:tc>
              <w:tc>
                <w:tcPr>
                  <w:tcW w:w="2096" w:type="dxa"/>
                  <w:gridSpan w:val="2"/>
                  <w:tcBorders>
                    <w:tl2br w:val="nil"/>
                    <w:tr2bl w:val="nil"/>
                  </w:tcBorders>
                  <w:vAlign w:val="center"/>
                </w:tcPr>
                <w:p w14:paraId="326923FD">
                  <w:pPr>
                    <w:pStyle w:val="81"/>
                    <w:spacing w:line="280" w:lineRule="exact"/>
                    <w:rPr>
                      <w:szCs w:val="21"/>
                    </w:rPr>
                  </w:pPr>
                  <w:r>
                    <w:rPr>
                      <w:rFonts w:hint="eastAsia"/>
                      <w:color w:val="auto"/>
                      <w:highlight w:val="none"/>
                      <w:lang w:val="en-US" w:eastAsia="zh-CN"/>
                    </w:rPr>
                    <w:t>厂界外</w:t>
                  </w:r>
                  <w:r>
                    <w:rPr>
                      <w:color w:val="auto"/>
                      <w:highlight w:val="none"/>
                      <w:lang w:val="en-US" w:eastAsia="zh-CN"/>
                    </w:rPr>
                    <w:t>500米范围内</w:t>
                  </w:r>
                </w:p>
              </w:tc>
              <w:tc>
                <w:tcPr>
                  <w:tcW w:w="1535" w:type="dxa"/>
                  <w:gridSpan w:val="2"/>
                  <w:tcBorders>
                    <w:tl2br w:val="nil"/>
                    <w:tr2bl w:val="nil"/>
                  </w:tcBorders>
                  <w:vAlign w:val="center"/>
                </w:tcPr>
                <w:p w14:paraId="1EDC96B4">
                  <w:pPr>
                    <w:pStyle w:val="81"/>
                    <w:spacing w:line="280" w:lineRule="exact"/>
                    <w:rPr>
                      <w:rFonts w:hint="default"/>
                      <w:color w:val="auto"/>
                      <w:highlight w:val="none"/>
                      <w:lang w:val="en-US" w:eastAsia="zh-CN"/>
                    </w:rPr>
                  </w:pPr>
                  <w:r>
                    <w:rPr>
                      <w:rFonts w:hint="eastAsia"/>
                      <w:color w:val="auto"/>
                      <w:highlight w:val="none"/>
                      <w:lang w:val="en-US" w:eastAsia="zh-CN"/>
                    </w:rPr>
                    <w:t>无</w:t>
                  </w:r>
                </w:p>
              </w:tc>
              <w:tc>
                <w:tcPr>
                  <w:tcW w:w="767" w:type="dxa"/>
                  <w:tcBorders>
                    <w:tl2br w:val="nil"/>
                    <w:tr2bl w:val="nil"/>
                  </w:tcBorders>
                  <w:vAlign w:val="center"/>
                </w:tcPr>
                <w:p w14:paraId="5F99B0CC">
                  <w:pPr>
                    <w:pStyle w:val="81"/>
                    <w:spacing w:line="280" w:lineRule="exact"/>
                    <w:rPr>
                      <w:rFonts w:hint="eastAsia" w:eastAsia="宋体"/>
                      <w:szCs w:val="21"/>
                      <w:lang w:eastAsia="zh-CN"/>
                    </w:rPr>
                  </w:pPr>
                  <w:r>
                    <w:rPr>
                      <w:rFonts w:hint="eastAsia" w:ascii="宋体" w:hAnsi="宋体" w:cs="宋体"/>
                      <w:szCs w:val="21"/>
                      <w:lang w:val="en-US" w:eastAsia="zh-CN"/>
                    </w:rPr>
                    <w:t>/</w:t>
                  </w:r>
                </w:p>
              </w:tc>
              <w:tc>
                <w:tcPr>
                  <w:tcW w:w="1685" w:type="dxa"/>
                  <w:gridSpan w:val="2"/>
                  <w:tcBorders>
                    <w:tl2br w:val="nil"/>
                    <w:tr2bl w:val="nil"/>
                  </w:tcBorders>
                  <w:vAlign w:val="center"/>
                </w:tcPr>
                <w:p w14:paraId="2A886A1E">
                  <w:pPr>
                    <w:pStyle w:val="81"/>
                    <w:spacing w:line="280" w:lineRule="exact"/>
                    <w:rPr>
                      <w:rFonts w:hint="eastAsia" w:eastAsia="宋体"/>
                      <w:szCs w:val="21"/>
                      <w:lang w:eastAsia="zh-CN"/>
                    </w:rPr>
                  </w:pPr>
                  <w:r>
                    <w:rPr>
                      <w:rFonts w:hint="eastAsia"/>
                      <w:szCs w:val="21"/>
                      <w:lang w:val="en-US" w:eastAsia="zh-CN"/>
                    </w:rPr>
                    <w:t>/</w:t>
                  </w:r>
                </w:p>
              </w:tc>
              <w:tc>
                <w:tcPr>
                  <w:tcW w:w="1703" w:type="dxa"/>
                  <w:tcBorders>
                    <w:tl2br w:val="nil"/>
                    <w:tr2bl w:val="nil"/>
                  </w:tcBorders>
                  <w:vAlign w:val="center"/>
                </w:tcPr>
                <w:p w14:paraId="3EB6A678">
                  <w:pPr>
                    <w:pStyle w:val="81"/>
                    <w:spacing w:line="280" w:lineRule="exact"/>
                    <w:rPr>
                      <w:rFonts w:hint="eastAsia" w:eastAsia="宋体"/>
                      <w:szCs w:val="21"/>
                      <w:lang w:val="en-US" w:eastAsia="zh-CN"/>
                    </w:rPr>
                  </w:pPr>
                  <w:r>
                    <w:rPr>
                      <w:rFonts w:hint="eastAsia"/>
                      <w:szCs w:val="21"/>
                      <w:lang w:val="en-US" w:eastAsia="zh-CN"/>
                    </w:rPr>
                    <w:t>/</w:t>
                  </w:r>
                </w:p>
              </w:tc>
            </w:tr>
            <w:tr w14:paraId="19E9E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520" w:type="dxa"/>
                  <w:vAlign w:val="center"/>
                </w:tcPr>
                <w:p w14:paraId="11D2B116">
                  <w:pPr>
                    <w:pStyle w:val="81"/>
                    <w:spacing w:line="280" w:lineRule="exact"/>
                    <w:rPr>
                      <w:szCs w:val="21"/>
                    </w:rPr>
                  </w:pPr>
                  <w:r>
                    <w:rPr>
                      <w:rFonts w:hint="eastAsia"/>
                      <w:szCs w:val="21"/>
                    </w:rPr>
                    <w:t>生态环境</w:t>
                  </w:r>
                </w:p>
              </w:tc>
              <w:tc>
                <w:tcPr>
                  <w:tcW w:w="2096" w:type="dxa"/>
                  <w:gridSpan w:val="2"/>
                  <w:vAlign w:val="center"/>
                </w:tcPr>
                <w:p w14:paraId="2B9FF674">
                  <w:pPr>
                    <w:pStyle w:val="81"/>
                    <w:spacing w:line="280" w:lineRule="exact"/>
                    <w:rPr>
                      <w:szCs w:val="21"/>
                    </w:rPr>
                  </w:pPr>
                  <w:r>
                    <w:rPr>
                      <w:rFonts w:hint="eastAsia"/>
                      <w:szCs w:val="21"/>
                      <w:lang w:val="en-US" w:eastAsia="zh-CN"/>
                    </w:rPr>
                    <w:t>项目</w:t>
                  </w:r>
                  <w:r>
                    <w:rPr>
                      <w:rFonts w:hint="eastAsia"/>
                      <w:szCs w:val="21"/>
                    </w:rPr>
                    <w:t>占地范围内</w:t>
                  </w:r>
                </w:p>
              </w:tc>
              <w:tc>
                <w:tcPr>
                  <w:tcW w:w="1535" w:type="dxa"/>
                  <w:gridSpan w:val="2"/>
                  <w:vAlign w:val="center"/>
                </w:tcPr>
                <w:p w14:paraId="5F4536A7">
                  <w:pPr>
                    <w:pStyle w:val="81"/>
                    <w:spacing w:line="280" w:lineRule="exact"/>
                    <w:rPr>
                      <w:rFonts w:hint="eastAsia" w:eastAsia="宋体"/>
                      <w:szCs w:val="21"/>
                      <w:lang w:val="en-US" w:eastAsia="zh-CN"/>
                    </w:rPr>
                  </w:pPr>
                  <w:r>
                    <w:rPr>
                      <w:rFonts w:hint="eastAsia"/>
                      <w:szCs w:val="21"/>
                      <w:lang w:val="en-US" w:eastAsia="zh-CN"/>
                    </w:rPr>
                    <w:t>无</w:t>
                  </w:r>
                </w:p>
              </w:tc>
              <w:tc>
                <w:tcPr>
                  <w:tcW w:w="767" w:type="dxa"/>
                  <w:vAlign w:val="center"/>
                </w:tcPr>
                <w:p w14:paraId="6D5FA6CB">
                  <w:pPr>
                    <w:pStyle w:val="81"/>
                    <w:spacing w:line="280" w:lineRule="exact"/>
                    <w:rPr>
                      <w:rFonts w:hint="eastAsia" w:eastAsia="宋体"/>
                      <w:szCs w:val="21"/>
                      <w:lang w:eastAsia="zh-CN"/>
                    </w:rPr>
                  </w:pPr>
                  <w:r>
                    <w:rPr>
                      <w:rFonts w:hint="eastAsia"/>
                      <w:szCs w:val="21"/>
                      <w:lang w:val="en-US" w:eastAsia="zh-CN"/>
                    </w:rPr>
                    <w:t>/</w:t>
                  </w:r>
                </w:p>
              </w:tc>
              <w:tc>
                <w:tcPr>
                  <w:tcW w:w="1685" w:type="dxa"/>
                  <w:gridSpan w:val="2"/>
                  <w:tcBorders>
                    <w:tl2br w:val="nil"/>
                    <w:tr2bl w:val="nil"/>
                  </w:tcBorders>
                  <w:vAlign w:val="center"/>
                </w:tcPr>
                <w:p w14:paraId="6FC96D06">
                  <w:pPr>
                    <w:pStyle w:val="81"/>
                    <w:spacing w:line="280" w:lineRule="exact"/>
                    <w:rPr>
                      <w:szCs w:val="21"/>
                    </w:rPr>
                  </w:pPr>
                  <w:r>
                    <w:rPr>
                      <w:szCs w:val="21"/>
                    </w:rPr>
                    <w:t>—</w:t>
                  </w:r>
                </w:p>
              </w:tc>
              <w:tc>
                <w:tcPr>
                  <w:tcW w:w="1703" w:type="dxa"/>
                  <w:tcBorders>
                    <w:tl2br w:val="nil"/>
                    <w:tr2bl w:val="nil"/>
                  </w:tcBorders>
                  <w:vAlign w:val="center"/>
                </w:tcPr>
                <w:p w14:paraId="56144652">
                  <w:pPr>
                    <w:pStyle w:val="81"/>
                    <w:spacing w:line="280" w:lineRule="exact"/>
                    <w:rPr>
                      <w:rFonts w:hint="eastAsia" w:eastAsia="宋体"/>
                      <w:szCs w:val="21"/>
                      <w:lang w:eastAsia="zh-CN"/>
                    </w:rPr>
                  </w:pPr>
                  <w:r>
                    <w:rPr>
                      <w:rFonts w:hint="eastAsia"/>
                      <w:szCs w:val="21"/>
                      <w:lang w:val="en-US" w:eastAsia="zh-CN"/>
                    </w:rPr>
                    <w:t>/</w:t>
                  </w:r>
                </w:p>
              </w:tc>
            </w:tr>
            <w:tr w14:paraId="21E42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jc w:val="center"/>
              </w:trPr>
              <w:tc>
                <w:tcPr>
                  <w:tcW w:w="8306" w:type="dxa"/>
                  <w:gridSpan w:val="9"/>
                  <w:vAlign w:val="center"/>
                </w:tcPr>
                <w:p w14:paraId="454479F9">
                  <w:pPr>
                    <w:pStyle w:val="81"/>
                    <w:spacing w:line="280" w:lineRule="exact"/>
                    <w:rPr>
                      <w:rFonts w:hint="default"/>
                      <w:szCs w:val="21"/>
                      <w:lang w:val="en-US" w:eastAsia="zh-CN"/>
                    </w:rPr>
                  </w:pPr>
                  <w:r>
                    <w:rPr>
                      <w:rFonts w:hint="eastAsia"/>
                      <w:szCs w:val="21"/>
                      <w:lang w:val="en-US" w:eastAsia="zh-CN"/>
                    </w:rPr>
                    <w:t>备注：表中XY坐标,以项目中心坐标为原点进行标注</w:t>
                  </w:r>
                </w:p>
              </w:tc>
            </w:tr>
          </w:tbl>
          <w:p w14:paraId="40E14ABA">
            <w:pPr>
              <w:rPr>
                <w:color w:val="auto"/>
                <w:highlight w:val="none"/>
              </w:rPr>
            </w:pPr>
          </w:p>
          <w:p w14:paraId="7A616EDE">
            <w:pPr>
              <w:pStyle w:val="91"/>
              <w:numPr>
                <w:ilvl w:val="0"/>
                <w:numId w:val="0"/>
              </w:numPr>
              <w:bidi w:val="0"/>
              <w:jc w:val="center"/>
              <w:rPr>
                <w:color w:val="auto"/>
                <w:highlight w:val="none"/>
              </w:rPr>
            </w:pPr>
            <w:r>
              <w:rPr>
                <w:color w:val="auto"/>
                <w:highlight w:val="none"/>
              </w:rPr>
              <w:t>表</w:t>
            </w:r>
            <w:r>
              <w:rPr>
                <w:rFonts w:hint="eastAsia"/>
                <w:color w:val="auto"/>
                <w:highlight w:val="none"/>
                <w:lang w:val="en-US" w:eastAsia="zh-CN"/>
              </w:rPr>
              <w:t>3-5</w:t>
            </w:r>
            <w:r>
              <w:rPr>
                <w:color w:val="auto"/>
                <w:highlight w:val="none"/>
              </w:rPr>
              <w:t xml:space="preserve"> </w:t>
            </w:r>
            <w:r>
              <w:rPr>
                <w:rFonts w:hint="eastAsia"/>
                <w:color w:val="auto"/>
                <w:highlight w:val="none"/>
                <w:lang w:eastAsia="zh-CN"/>
              </w:rPr>
              <w:t>声</w:t>
            </w:r>
            <w:r>
              <w:rPr>
                <w:color w:val="auto"/>
                <w:highlight w:val="none"/>
              </w:rPr>
              <w:t>环境保护目标一览表</w:t>
            </w:r>
          </w:p>
          <w:tbl>
            <w:tblPr>
              <w:tblStyle w:val="3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0"/>
              <w:gridCol w:w="912"/>
              <w:gridCol w:w="865"/>
              <w:gridCol w:w="882"/>
              <w:gridCol w:w="555"/>
              <w:gridCol w:w="883"/>
              <w:gridCol w:w="428"/>
              <w:gridCol w:w="1652"/>
              <w:gridCol w:w="1747"/>
            </w:tblGrid>
            <w:tr w14:paraId="21A56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274" w:type="pct"/>
                  <w:vMerge w:val="restart"/>
                  <w:tcBorders>
                    <w:tl2br w:val="nil"/>
                    <w:tr2bl w:val="nil"/>
                  </w:tcBorders>
                  <w:noWrap w:val="0"/>
                  <w:vAlign w:val="center"/>
                </w:tcPr>
                <w:p w14:paraId="1BC49F39">
                  <w:pPr>
                    <w:pStyle w:val="102"/>
                    <w:bidi w:val="0"/>
                    <w:jc w:val="center"/>
                    <w:rPr>
                      <w:rFonts w:hint="eastAsia"/>
                      <w:color w:val="auto"/>
                      <w:highlight w:val="none"/>
                      <w:lang w:eastAsia="zh-CN"/>
                    </w:rPr>
                  </w:pPr>
                  <w:r>
                    <w:rPr>
                      <w:rFonts w:hint="eastAsia"/>
                      <w:color w:val="auto"/>
                      <w:highlight w:val="none"/>
                      <w:lang w:eastAsia="zh-CN"/>
                    </w:rPr>
                    <w:t>序号</w:t>
                  </w:r>
                </w:p>
              </w:tc>
              <w:tc>
                <w:tcPr>
                  <w:tcW w:w="550" w:type="pct"/>
                  <w:vMerge w:val="restart"/>
                  <w:tcBorders>
                    <w:tl2br w:val="nil"/>
                    <w:tr2bl w:val="nil"/>
                  </w:tcBorders>
                  <w:noWrap w:val="0"/>
                  <w:vAlign w:val="center"/>
                </w:tcPr>
                <w:p w14:paraId="4DFF2C9D">
                  <w:pPr>
                    <w:pStyle w:val="102"/>
                    <w:bidi w:val="0"/>
                    <w:jc w:val="center"/>
                    <w:rPr>
                      <w:rFonts w:hint="eastAsia"/>
                      <w:color w:val="auto"/>
                      <w:highlight w:val="none"/>
                      <w:lang w:eastAsia="zh-CN"/>
                    </w:rPr>
                  </w:pPr>
                  <w:r>
                    <w:rPr>
                      <w:rFonts w:hint="eastAsia"/>
                      <w:color w:val="auto"/>
                      <w:highlight w:val="none"/>
                      <w:lang w:eastAsia="zh-CN"/>
                    </w:rPr>
                    <w:t>声环境保护目标名称</w:t>
                  </w:r>
                </w:p>
              </w:tc>
              <w:tc>
                <w:tcPr>
                  <w:tcW w:w="1391" w:type="pct"/>
                  <w:gridSpan w:val="3"/>
                  <w:tcBorders>
                    <w:tl2br w:val="nil"/>
                    <w:tr2bl w:val="nil"/>
                  </w:tcBorders>
                  <w:noWrap w:val="0"/>
                  <w:vAlign w:val="center"/>
                </w:tcPr>
                <w:p w14:paraId="3DF3B4E1">
                  <w:pPr>
                    <w:pStyle w:val="102"/>
                    <w:bidi w:val="0"/>
                    <w:jc w:val="center"/>
                    <w:rPr>
                      <w:color w:val="auto"/>
                      <w:highlight w:val="none"/>
                    </w:rPr>
                  </w:pPr>
                  <w:r>
                    <w:rPr>
                      <w:rFonts w:hint="eastAsia"/>
                      <w:color w:val="auto"/>
                      <w:highlight w:val="none"/>
                      <w:lang w:eastAsia="zh-CN"/>
                    </w:rPr>
                    <w:t>空间相对位置</w:t>
                  </w:r>
                  <w:r>
                    <w:rPr>
                      <w:rFonts w:hint="eastAsia"/>
                      <w:color w:val="auto"/>
                      <w:highlight w:val="none"/>
                      <w:lang w:val="en-US" w:eastAsia="zh-CN"/>
                    </w:rPr>
                    <w:t>/m</w:t>
                  </w:r>
                </w:p>
              </w:tc>
              <w:tc>
                <w:tcPr>
                  <w:tcW w:w="532" w:type="pct"/>
                  <w:vMerge w:val="restart"/>
                  <w:tcBorders>
                    <w:tl2br w:val="nil"/>
                    <w:tr2bl w:val="nil"/>
                  </w:tcBorders>
                  <w:noWrap w:val="0"/>
                  <w:vAlign w:val="center"/>
                </w:tcPr>
                <w:p w14:paraId="402E586E">
                  <w:pPr>
                    <w:pStyle w:val="102"/>
                    <w:bidi w:val="0"/>
                    <w:jc w:val="center"/>
                    <w:rPr>
                      <w:rFonts w:hint="default"/>
                      <w:color w:val="auto"/>
                      <w:highlight w:val="none"/>
                      <w:lang w:val="en-US" w:eastAsia="zh-CN"/>
                    </w:rPr>
                  </w:pPr>
                  <w:r>
                    <w:rPr>
                      <w:rFonts w:hint="eastAsia"/>
                      <w:color w:val="auto"/>
                      <w:highlight w:val="none"/>
                      <w:lang w:eastAsia="zh-CN"/>
                    </w:rPr>
                    <w:t>距厂界最近距离</w:t>
                  </w:r>
                  <w:r>
                    <w:rPr>
                      <w:rFonts w:hint="eastAsia"/>
                      <w:color w:val="auto"/>
                      <w:highlight w:val="none"/>
                      <w:lang w:val="en-US" w:eastAsia="zh-CN"/>
                    </w:rPr>
                    <w:t>/m</w:t>
                  </w:r>
                </w:p>
              </w:tc>
              <w:tc>
                <w:tcPr>
                  <w:tcW w:w="214" w:type="pct"/>
                  <w:vMerge w:val="restart"/>
                  <w:tcBorders>
                    <w:tl2br w:val="nil"/>
                    <w:tr2bl w:val="nil"/>
                  </w:tcBorders>
                  <w:noWrap w:val="0"/>
                  <w:vAlign w:val="center"/>
                </w:tcPr>
                <w:p w14:paraId="68D13B05">
                  <w:pPr>
                    <w:pStyle w:val="102"/>
                    <w:bidi w:val="0"/>
                    <w:jc w:val="center"/>
                    <w:rPr>
                      <w:rFonts w:hint="eastAsia"/>
                      <w:color w:val="auto"/>
                      <w:highlight w:val="none"/>
                      <w:lang w:eastAsia="zh-CN"/>
                    </w:rPr>
                  </w:pPr>
                  <w:r>
                    <w:rPr>
                      <w:rFonts w:hint="eastAsia"/>
                      <w:color w:val="auto"/>
                      <w:highlight w:val="none"/>
                      <w:lang w:eastAsia="zh-CN"/>
                    </w:rPr>
                    <w:t>方位</w:t>
                  </w:r>
                </w:p>
              </w:tc>
              <w:tc>
                <w:tcPr>
                  <w:tcW w:w="991" w:type="pct"/>
                  <w:vMerge w:val="restart"/>
                  <w:tcBorders>
                    <w:tl2br w:val="nil"/>
                    <w:tr2bl w:val="nil"/>
                  </w:tcBorders>
                  <w:noWrap w:val="0"/>
                  <w:vAlign w:val="center"/>
                </w:tcPr>
                <w:p w14:paraId="4BB782EC">
                  <w:pPr>
                    <w:pStyle w:val="102"/>
                    <w:bidi w:val="0"/>
                    <w:jc w:val="center"/>
                    <w:rPr>
                      <w:rFonts w:hint="default"/>
                      <w:color w:val="auto"/>
                      <w:highlight w:val="none"/>
                      <w:lang w:val="en-US" w:eastAsia="zh-CN"/>
                    </w:rPr>
                  </w:pPr>
                  <w:r>
                    <w:rPr>
                      <w:rFonts w:hint="eastAsia"/>
                      <w:color w:val="auto"/>
                      <w:highlight w:val="none"/>
                      <w:lang w:eastAsia="zh-CN"/>
                    </w:rPr>
                    <w:t>执行标准</w:t>
                  </w:r>
                  <w:r>
                    <w:rPr>
                      <w:rFonts w:hint="eastAsia"/>
                      <w:color w:val="auto"/>
                      <w:highlight w:val="none"/>
                      <w:lang w:val="en-US" w:eastAsia="zh-CN"/>
                    </w:rPr>
                    <w:t>/功能区类别</w:t>
                  </w:r>
                </w:p>
              </w:tc>
              <w:tc>
                <w:tcPr>
                  <w:tcW w:w="1045" w:type="pct"/>
                  <w:vMerge w:val="restart"/>
                  <w:tcBorders>
                    <w:tl2br w:val="nil"/>
                    <w:tr2bl w:val="nil"/>
                  </w:tcBorders>
                  <w:noWrap w:val="0"/>
                  <w:vAlign w:val="center"/>
                </w:tcPr>
                <w:p w14:paraId="10DE5A8D">
                  <w:pPr>
                    <w:pStyle w:val="102"/>
                    <w:bidi w:val="0"/>
                    <w:jc w:val="center"/>
                    <w:rPr>
                      <w:rFonts w:hint="eastAsia"/>
                      <w:color w:val="auto"/>
                      <w:highlight w:val="none"/>
                      <w:lang w:eastAsia="zh-CN"/>
                    </w:rPr>
                  </w:pPr>
                  <w:r>
                    <w:rPr>
                      <w:rFonts w:hint="eastAsia"/>
                      <w:color w:val="auto"/>
                      <w:highlight w:val="none"/>
                      <w:lang w:eastAsia="zh-CN"/>
                    </w:rPr>
                    <w:t>声环境保护目标情况说明</w:t>
                  </w:r>
                </w:p>
              </w:tc>
            </w:tr>
            <w:tr w14:paraId="31B6E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4" w:type="pct"/>
                  <w:vMerge w:val="continue"/>
                  <w:tcBorders>
                    <w:tl2br w:val="nil"/>
                    <w:tr2bl w:val="nil"/>
                  </w:tcBorders>
                  <w:noWrap w:val="0"/>
                  <w:vAlign w:val="center"/>
                </w:tcPr>
                <w:p w14:paraId="5304CA72">
                  <w:pPr>
                    <w:pStyle w:val="102"/>
                    <w:bidi w:val="0"/>
                    <w:jc w:val="center"/>
                    <w:rPr>
                      <w:rFonts w:hint="default"/>
                      <w:color w:val="auto"/>
                      <w:highlight w:val="none"/>
                      <w:lang w:val="en-US" w:eastAsia="zh-CN"/>
                    </w:rPr>
                  </w:pPr>
                </w:p>
              </w:tc>
              <w:tc>
                <w:tcPr>
                  <w:tcW w:w="550" w:type="pct"/>
                  <w:vMerge w:val="continue"/>
                  <w:tcBorders>
                    <w:tl2br w:val="nil"/>
                    <w:tr2bl w:val="nil"/>
                  </w:tcBorders>
                  <w:noWrap w:val="0"/>
                  <w:vAlign w:val="center"/>
                </w:tcPr>
                <w:p w14:paraId="2F62A510">
                  <w:pPr>
                    <w:pStyle w:val="102"/>
                    <w:bidi w:val="0"/>
                    <w:jc w:val="center"/>
                    <w:rPr>
                      <w:rFonts w:hint="eastAsia"/>
                      <w:color w:val="auto"/>
                      <w:highlight w:val="none"/>
                      <w:lang w:eastAsia="zh-CN"/>
                    </w:rPr>
                  </w:pPr>
                </w:p>
              </w:tc>
              <w:tc>
                <w:tcPr>
                  <w:tcW w:w="522" w:type="pct"/>
                  <w:tcBorders>
                    <w:tl2br w:val="nil"/>
                    <w:tr2bl w:val="nil"/>
                  </w:tcBorders>
                  <w:noWrap w:val="0"/>
                  <w:vAlign w:val="center"/>
                </w:tcPr>
                <w:p w14:paraId="732AD731">
                  <w:pPr>
                    <w:pStyle w:val="102"/>
                    <w:bidi w:val="0"/>
                    <w:jc w:val="center"/>
                    <w:rPr>
                      <w:rFonts w:hint="default"/>
                      <w:color w:val="auto"/>
                      <w:highlight w:val="none"/>
                      <w:lang w:val="en-US" w:eastAsia="zh-CN"/>
                    </w:rPr>
                  </w:pPr>
                  <w:r>
                    <w:rPr>
                      <w:rFonts w:hint="eastAsia"/>
                      <w:color w:val="auto"/>
                      <w:highlight w:val="none"/>
                      <w:lang w:val="en-US" w:eastAsia="zh-CN"/>
                    </w:rPr>
                    <w:t>X</w:t>
                  </w:r>
                </w:p>
              </w:tc>
              <w:tc>
                <w:tcPr>
                  <w:tcW w:w="532" w:type="pct"/>
                  <w:tcBorders>
                    <w:tl2br w:val="nil"/>
                    <w:tr2bl w:val="nil"/>
                  </w:tcBorders>
                  <w:noWrap w:val="0"/>
                  <w:vAlign w:val="center"/>
                </w:tcPr>
                <w:p w14:paraId="5B631404">
                  <w:pPr>
                    <w:pStyle w:val="102"/>
                    <w:bidi w:val="0"/>
                    <w:jc w:val="center"/>
                    <w:rPr>
                      <w:rFonts w:hint="eastAsia"/>
                      <w:color w:val="auto"/>
                      <w:highlight w:val="none"/>
                      <w:lang w:val="en-US" w:eastAsia="zh-CN"/>
                    </w:rPr>
                  </w:pPr>
                  <w:r>
                    <w:rPr>
                      <w:rFonts w:hint="eastAsia"/>
                      <w:color w:val="auto"/>
                      <w:highlight w:val="none"/>
                      <w:lang w:val="en-US" w:eastAsia="zh-CN"/>
                    </w:rPr>
                    <w:t>Y</w:t>
                  </w:r>
                </w:p>
              </w:tc>
              <w:tc>
                <w:tcPr>
                  <w:tcW w:w="336" w:type="pct"/>
                  <w:tcBorders>
                    <w:tl2br w:val="nil"/>
                    <w:tr2bl w:val="nil"/>
                  </w:tcBorders>
                  <w:noWrap w:val="0"/>
                  <w:vAlign w:val="center"/>
                </w:tcPr>
                <w:p w14:paraId="59A131FD">
                  <w:pPr>
                    <w:pStyle w:val="102"/>
                    <w:bidi w:val="0"/>
                    <w:jc w:val="center"/>
                    <w:rPr>
                      <w:rFonts w:hint="eastAsia"/>
                      <w:color w:val="auto"/>
                      <w:highlight w:val="none"/>
                      <w:lang w:val="en-US" w:eastAsia="zh-CN"/>
                    </w:rPr>
                  </w:pPr>
                  <w:r>
                    <w:rPr>
                      <w:rFonts w:hint="eastAsia"/>
                      <w:color w:val="auto"/>
                      <w:highlight w:val="none"/>
                      <w:lang w:val="en-US" w:eastAsia="zh-CN"/>
                    </w:rPr>
                    <w:t>Z</w:t>
                  </w:r>
                </w:p>
              </w:tc>
              <w:tc>
                <w:tcPr>
                  <w:tcW w:w="532" w:type="pct"/>
                  <w:vMerge w:val="continue"/>
                  <w:tcBorders>
                    <w:tl2br w:val="nil"/>
                    <w:tr2bl w:val="nil"/>
                  </w:tcBorders>
                  <w:noWrap w:val="0"/>
                  <w:vAlign w:val="center"/>
                </w:tcPr>
                <w:p w14:paraId="6C672080">
                  <w:pPr>
                    <w:pStyle w:val="103"/>
                    <w:bidi w:val="0"/>
                    <w:jc w:val="center"/>
                    <w:rPr>
                      <w:color w:val="auto"/>
                      <w:highlight w:val="none"/>
                    </w:rPr>
                  </w:pPr>
                </w:p>
              </w:tc>
              <w:tc>
                <w:tcPr>
                  <w:tcW w:w="214" w:type="pct"/>
                  <w:vMerge w:val="continue"/>
                  <w:tcBorders>
                    <w:tl2br w:val="nil"/>
                    <w:tr2bl w:val="nil"/>
                  </w:tcBorders>
                  <w:noWrap w:val="0"/>
                  <w:vAlign w:val="center"/>
                </w:tcPr>
                <w:p w14:paraId="2F669D82">
                  <w:pPr>
                    <w:pStyle w:val="103"/>
                    <w:bidi w:val="0"/>
                    <w:jc w:val="center"/>
                    <w:rPr>
                      <w:color w:val="auto"/>
                      <w:highlight w:val="none"/>
                    </w:rPr>
                  </w:pPr>
                </w:p>
              </w:tc>
              <w:tc>
                <w:tcPr>
                  <w:tcW w:w="991" w:type="pct"/>
                  <w:vMerge w:val="continue"/>
                  <w:tcBorders>
                    <w:tl2br w:val="nil"/>
                    <w:tr2bl w:val="nil"/>
                  </w:tcBorders>
                  <w:noWrap w:val="0"/>
                  <w:vAlign w:val="center"/>
                </w:tcPr>
                <w:p w14:paraId="011BF656">
                  <w:pPr>
                    <w:pStyle w:val="103"/>
                    <w:bidi w:val="0"/>
                    <w:jc w:val="center"/>
                    <w:rPr>
                      <w:color w:val="auto"/>
                      <w:highlight w:val="none"/>
                    </w:rPr>
                  </w:pPr>
                </w:p>
              </w:tc>
              <w:tc>
                <w:tcPr>
                  <w:tcW w:w="1045" w:type="pct"/>
                  <w:vMerge w:val="continue"/>
                  <w:tcBorders>
                    <w:tl2br w:val="nil"/>
                    <w:tr2bl w:val="nil"/>
                  </w:tcBorders>
                  <w:noWrap w:val="0"/>
                  <w:vAlign w:val="center"/>
                </w:tcPr>
                <w:p w14:paraId="01993B4C">
                  <w:pPr>
                    <w:pStyle w:val="103"/>
                    <w:bidi w:val="0"/>
                    <w:jc w:val="center"/>
                    <w:rPr>
                      <w:color w:val="auto"/>
                      <w:highlight w:val="none"/>
                    </w:rPr>
                  </w:pPr>
                </w:p>
              </w:tc>
            </w:tr>
            <w:tr w14:paraId="3C682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4" w:type="pct"/>
                  <w:tcBorders>
                    <w:tl2br w:val="nil"/>
                    <w:tr2bl w:val="nil"/>
                  </w:tcBorders>
                  <w:noWrap w:val="0"/>
                  <w:vAlign w:val="center"/>
                </w:tcPr>
                <w:p w14:paraId="22740E4A">
                  <w:pPr>
                    <w:pStyle w:val="103"/>
                    <w:bidi w:val="0"/>
                    <w:jc w:val="center"/>
                    <w:rPr>
                      <w:rFonts w:hint="default"/>
                      <w:color w:val="auto"/>
                      <w:highlight w:val="none"/>
                      <w:lang w:val="en-US" w:eastAsia="zh-CN"/>
                    </w:rPr>
                  </w:pPr>
                  <w:r>
                    <w:rPr>
                      <w:rFonts w:hint="eastAsia"/>
                      <w:color w:val="auto"/>
                      <w:highlight w:val="none"/>
                      <w:lang w:val="en-US" w:eastAsia="zh-CN"/>
                    </w:rPr>
                    <w:t>1</w:t>
                  </w:r>
                </w:p>
              </w:tc>
              <w:tc>
                <w:tcPr>
                  <w:tcW w:w="550" w:type="pct"/>
                  <w:tcBorders>
                    <w:tl2br w:val="nil"/>
                    <w:tr2bl w:val="nil"/>
                  </w:tcBorders>
                  <w:noWrap w:val="0"/>
                  <w:vAlign w:val="center"/>
                </w:tcPr>
                <w:p w14:paraId="60BDE273">
                  <w:pPr>
                    <w:pStyle w:val="103"/>
                    <w:bidi w:val="0"/>
                    <w:jc w:val="center"/>
                    <w:rPr>
                      <w:rFonts w:hint="default"/>
                      <w:color w:val="auto"/>
                      <w:highlight w:val="none"/>
                      <w:lang w:val="en-US" w:eastAsia="zh-CN"/>
                    </w:rPr>
                  </w:pPr>
                  <w:r>
                    <w:rPr>
                      <w:rFonts w:hint="eastAsia"/>
                      <w:color w:val="auto"/>
                      <w:highlight w:val="none"/>
                      <w:lang w:val="en-US" w:eastAsia="zh-CN"/>
                    </w:rPr>
                    <w:t>岳霍口村最近</w:t>
                  </w:r>
                  <w:r>
                    <w:rPr>
                      <w:rFonts w:hint="eastAsia"/>
                      <w:color w:val="auto"/>
                      <w:highlight w:val="none"/>
                      <w:lang w:eastAsia="zh-CN"/>
                    </w:rPr>
                    <w:t>住户</w:t>
                  </w:r>
                </w:p>
              </w:tc>
              <w:tc>
                <w:tcPr>
                  <w:tcW w:w="522" w:type="pct"/>
                  <w:tcBorders>
                    <w:tl2br w:val="nil"/>
                    <w:tr2bl w:val="nil"/>
                  </w:tcBorders>
                  <w:noWrap w:val="0"/>
                  <w:vAlign w:val="center"/>
                </w:tcPr>
                <w:p w14:paraId="7DC99DE9">
                  <w:pPr>
                    <w:pStyle w:val="103"/>
                    <w:bidi w:val="0"/>
                    <w:jc w:val="center"/>
                    <w:rPr>
                      <w:rFonts w:hint="default"/>
                      <w:color w:val="auto"/>
                      <w:highlight w:val="none"/>
                      <w:lang w:val="en-US" w:eastAsia="zh-CN"/>
                    </w:rPr>
                  </w:pPr>
                  <w:r>
                    <w:rPr>
                      <w:rFonts w:hint="eastAsia"/>
                      <w:color w:val="auto"/>
                      <w:highlight w:val="none"/>
                      <w:lang w:val="en-US" w:eastAsia="zh-CN"/>
                    </w:rPr>
                    <w:t>50</w:t>
                  </w:r>
                </w:p>
              </w:tc>
              <w:tc>
                <w:tcPr>
                  <w:tcW w:w="532" w:type="pct"/>
                  <w:tcBorders>
                    <w:tl2br w:val="nil"/>
                    <w:tr2bl w:val="nil"/>
                  </w:tcBorders>
                  <w:noWrap w:val="0"/>
                  <w:vAlign w:val="center"/>
                </w:tcPr>
                <w:p w14:paraId="6C9FFE26">
                  <w:pPr>
                    <w:pStyle w:val="103"/>
                    <w:bidi w:val="0"/>
                    <w:jc w:val="center"/>
                    <w:rPr>
                      <w:rFonts w:hint="default"/>
                      <w:color w:val="auto"/>
                      <w:highlight w:val="none"/>
                      <w:lang w:val="en-US" w:eastAsia="zh-CN"/>
                    </w:rPr>
                  </w:pPr>
                  <w:r>
                    <w:rPr>
                      <w:rFonts w:hint="eastAsia"/>
                      <w:color w:val="auto"/>
                      <w:highlight w:val="none"/>
                      <w:lang w:val="en-US" w:eastAsia="zh-CN"/>
                    </w:rPr>
                    <w:t>0</w:t>
                  </w:r>
                </w:p>
              </w:tc>
              <w:tc>
                <w:tcPr>
                  <w:tcW w:w="336" w:type="pct"/>
                  <w:tcBorders>
                    <w:tl2br w:val="nil"/>
                    <w:tr2bl w:val="nil"/>
                  </w:tcBorders>
                  <w:noWrap w:val="0"/>
                  <w:vAlign w:val="center"/>
                </w:tcPr>
                <w:p w14:paraId="04D42B6D">
                  <w:pPr>
                    <w:pStyle w:val="103"/>
                    <w:bidi w:val="0"/>
                    <w:jc w:val="center"/>
                    <w:rPr>
                      <w:rFonts w:hint="default"/>
                      <w:color w:val="auto"/>
                      <w:highlight w:val="none"/>
                      <w:lang w:val="en-US" w:eastAsia="zh-CN"/>
                    </w:rPr>
                  </w:pPr>
                  <w:r>
                    <w:rPr>
                      <w:rFonts w:hint="eastAsia"/>
                      <w:color w:val="auto"/>
                      <w:highlight w:val="none"/>
                      <w:lang w:val="en-US" w:eastAsia="zh-CN"/>
                    </w:rPr>
                    <w:t>1.2</w:t>
                  </w:r>
                </w:p>
              </w:tc>
              <w:tc>
                <w:tcPr>
                  <w:tcW w:w="532" w:type="pct"/>
                  <w:tcBorders>
                    <w:tl2br w:val="nil"/>
                    <w:tr2bl w:val="nil"/>
                  </w:tcBorders>
                  <w:noWrap w:val="0"/>
                  <w:vAlign w:val="center"/>
                </w:tcPr>
                <w:p w14:paraId="0A43F266">
                  <w:pPr>
                    <w:pStyle w:val="103"/>
                    <w:bidi w:val="0"/>
                    <w:jc w:val="center"/>
                    <w:rPr>
                      <w:rFonts w:hint="default"/>
                      <w:color w:val="auto"/>
                      <w:highlight w:val="none"/>
                      <w:lang w:val="en-US" w:eastAsia="zh-CN"/>
                    </w:rPr>
                  </w:pPr>
                  <w:r>
                    <w:rPr>
                      <w:rFonts w:hint="eastAsia"/>
                      <w:color w:val="auto"/>
                      <w:highlight w:val="none"/>
                      <w:lang w:val="en-US" w:eastAsia="zh-CN"/>
                    </w:rPr>
                    <w:t>30</w:t>
                  </w:r>
                </w:p>
              </w:tc>
              <w:tc>
                <w:tcPr>
                  <w:tcW w:w="214" w:type="pct"/>
                  <w:tcBorders>
                    <w:tl2br w:val="nil"/>
                    <w:tr2bl w:val="nil"/>
                  </w:tcBorders>
                  <w:noWrap w:val="0"/>
                  <w:vAlign w:val="center"/>
                </w:tcPr>
                <w:p w14:paraId="5A232287">
                  <w:pPr>
                    <w:pStyle w:val="103"/>
                    <w:bidi w:val="0"/>
                    <w:jc w:val="center"/>
                    <w:rPr>
                      <w:rFonts w:hint="eastAsia"/>
                      <w:color w:val="auto"/>
                      <w:highlight w:val="none"/>
                      <w:lang w:eastAsia="zh-CN"/>
                    </w:rPr>
                  </w:pPr>
                  <w:r>
                    <w:rPr>
                      <w:rFonts w:hint="eastAsia"/>
                      <w:color w:val="auto"/>
                      <w:highlight w:val="none"/>
                      <w:lang w:val="en-US" w:eastAsia="zh-CN"/>
                    </w:rPr>
                    <w:t>E</w:t>
                  </w:r>
                </w:p>
              </w:tc>
              <w:tc>
                <w:tcPr>
                  <w:tcW w:w="991" w:type="pct"/>
                  <w:tcBorders>
                    <w:tl2br w:val="nil"/>
                    <w:tr2bl w:val="nil"/>
                  </w:tcBorders>
                  <w:noWrap w:val="0"/>
                  <w:vAlign w:val="center"/>
                </w:tcPr>
                <w:p w14:paraId="7D21C14E">
                  <w:pPr>
                    <w:pStyle w:val="103"/>
                    <w:bidi w:val="0"/>
                    <w:jc w:val="center"/>
                    <w:rPr>
                      <w:color w:val="auto"/>
                      <w:highlight w:val="none"/>
                    </w:rPr>
                  </w:pPr>
                  <w:r>
                    <w:rPr>
                      <w:rFonts w:hint="default"/>
                      <w:color w:val="auto"/>
                      <w:highlight w:val="none"/>
                    </w:rPr>
                    <w:t>《声环境质量标准》</w:t>
                  </w:r>
                  <w:r>
                    <w:rPr>
                      <w:rFonts w:hint="default"/>
                      <w:color w:val="auto"/>
                      <w:highlight w:val="none"/>
                    </w:rPr>
                    <w:cr/>
                  </w:r>
                  <w:r>
                    <w:rPr>
                      <w:rFonts w:hint="default"/>
                      <w:color w:val="auto"/>
                      <w:highlight w:val="none"/>
                    </w:rPr>
                    <w:t>GB3</w:t>
                  </w:r>
                  <w:r>
                    <w:rPr>
                      <w:rFonts w:hint="default"/>
                      <w:color w:val="auto"/>
                      <w:highlight w:val="none"/>
                    </w:rPr>
                    <w:cr/>
                  </w:r>
                  <w:r>
                    <w:rPr>
                      <w:rFonts w:hint="default"/>
                      <w:color w:val="auto"/>
                      <w:highlight w:val="none"/>
                    </w:rPr>
                    <w:t>96-2008）</w:t>
                  </w:r>
                  <w:r>
                    <w:rPr>
                      <w:rFonts w:hint="eastAsia"/>
                      <w:color w:val="auto"/>
                      <w:highlight w:val="none"/>
                      <w:lang w:val="en-US" w:eastAsia="zh-CN"/>
                    </w:rPr>
                    <w:t>1</w:t>
                  </w:r>
                  <w:r>
                    <w:rPr>
                      <w:rFonts w:hint="default"/>
                      <w:color w:val="auto"/>
                      <w:highlight w:val="none"/>
                    </w:rPr>
                    <w:t>类标准</w:t>
                  </w:r>
                </w:p>
              </w:tc>
              <w:tc>
                <w:tcPr>
                  <w:tcW w:w="1045" w:type="pct"/>
                  <w:tcBorders>
                    <w:tl2br w:val="nil"/>
                    <w:tr2bl w:val="nil"/>
                  </w:tcBorders>
                  <w:noWrap w:val="0"/>
                  <w:vAlign w:val="center"/>
                </w:tcPr>
                <w:p w14:paraId="7AFD5A38">
                  <w:pPr>
                    <w:pStyle w:val="103"/>
                    <w:bidi w:val="0"/>
                    <w:jc w:val="center"/>
                    <w:rPr>
                      <w:rFonts w:hint="eastAsia"/>
                      <w:color w:val="auto"/>
                      <w:highlight w:val="none"/>
                      <w:lang w:eastAsia="zh-CN"/>
                    </w:rPr>
                  </w:pPr>
                  <w:r>
                    <w:rPr>
                      <w:rFonts w:hint="eastAsia"/>
                      <w:color w:val="auto"/>
                      <w:highlight w:val="none"/>
                      <w:lang w:val="en-US" w:eastAsia="zh-CN"/>
                    </w:rPr>
                    <w:t>50m内共有3户一层居民宅院，</w:t>
                  </w:r>
                  <w:r>
                    <w:rPr>
                      <w:rFonts w:hint="eastAsia"/>
                      <w:color w:val="auto"/>
                      <w:highlight w:val="none"/>
                      <w:lang w:eastAsia="zh-CN"/>
                    </w:rPr>
                    <w:t>砖混结构，朝南</w:t>
                  </w:r>
                </w:p>
              </w:tc>
            </w:tr>
            <w:tr w14:paraId="0A79C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9"/>
                  <w:tcBorders>
                    <w:tl2br w:val="nil"/>
                    <w:tr2bl w:val="nil"/>
                  </w:tcBorders>
                  <w:noWrap w:val="0"/>
                  <w:vAlign w:val="center"/>
                </w:tcPr>
                <w:p w14:paraId="43A1C093">
                  <w:pPr>
                    <w:pStyle w:val="103"/>
                    <w:bidi w:val="0"/>
                    <w:jc w:val="center"/>
                    <w:rPr>
                      <w:rFonts w:hint="eastAsia"/>
                      <w:color w:val="auto"/>
                      <w:highlight w:val="none"/>
                      <w:lang w:val="en-US" w:eastAsia="zh-CN"/>
                    </w:rPr>
                  </w:pPr>
                  <w:r>
                    <w:rPr>
                      <w:rFonts w:hint="eastAsia"/>
                      <w:szCs w:val="21"/>
                      <w:lang w:val="en-US" w:eastAsia="zh-CN"/>
                    </w:rPr>
                    <w:t>备注：表中XY坐标,以项目中心坐标为原点进行标注</w:t>
                  </w:r>
                </w:p>
              </w:tc>
            </w:tr>
          </w:tbl>
          <w:p w14:paraId="4D66338C">
            <w:pPr>
              <w:pStyle w:val="22"/>
              <w:spacing w:line="360" w:lineRule="auto"/>
              <w:jc w:val="both"/>
              <w:rPr>
                <w:rFonts w:ascii="Times New Roman" w:hAnsi="Times New Roman"/>
                <w:color w:val="auto"/>
                <w:kern w:val="0"/>
                <w:sz w:val="24"/>
                <w:highlight w:val="none"/>
              </w:rPr>
            </w:pPr>
          </w:p>
        </w:tc>
      </w:tr>
      <w:tr w14:paraId="1CDC93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tcBorders>
              <w:bottom w:val="single" w:color="auto" w:sz="8" w:space="0"/>
            </w:tcBorders>
            <w:noWrap w:val="0"/>
            <w:tcMar>
              <w:left w:w="28" w:type="dxa"/>
              <w:right w:w="28" w:type="dxa"/>
            </w:tcMar>
            <w:vAlign w:val="center"/>
          </w:tcPr>
          <w:p w14:paraId="38AF182E">
            <w:pPr>
              <w:adjustRightInd w:val="0"/>
              <w:snapToGrid w:val="0"/>
              <w:jc w:val="center"/>
              <w:rPr>
                <w:color w:val="auto"/>
                <w:kern w:val="0"/>
                <w:sz w:val="24"/>
                <w:highlight w:val="none"/>
              </w:rPr>
            </w:pPr>
            <w:r>
              <w:rPr>
                <w:color w:val="auto"/>
                <w:kern w:val="0"/>
                <w:sz w:val="24"/>
                <w:highlight w:val="none"/>
              </w:rPr>
              <w:t>污染</w:t>
            </w:r>
          </w:p>
          <w:p w14:paraId="3865D657">
            <w:pPr>
              <w:adjustRightInd w:val="0"/>
              <w:snapToGrid w:val="0"/>
              <w:jc w:val="center"/>
              <w:rPr>
                <w:color w:val="auto"/>
                <w:kern w:val="0"/>
                <w:sz w:val="24"/>
                <w:highlight w:val="none"/>
              </w:rPr>
            </w:pPr>
            <w:r>
              <w:rPr>
                <w:color w:val="auto"/>
                <w:kern w:val="0"/>
                <w:sz w:val="24"/>
                <w:highlight w:val="none"/>
              </w:rPr>
              <w:t>物排</w:t>
            </w:r>
          </w:p>
          <w:p w14:paraId="739A7052">
            <w:pPr>
              <w:adjustRightInd w:val="0"/>
              <w:snapToGrid w:val="0"/>
              <w:jc w:val="center"/>
              <w:rPr>
                <w:color w:val="auto"/>
                <w:kern w:val="0"/>
                <w:sz w:val="24"/>
                <w:highlight w:val="none"/>
              </w:rPr>
            </w:pPr>
            <w:r>
              <w:rPr>
                <w:color w:val="auto"/>
                <w:kern w:val="0"/>
                <w:sz w:val="24"/>
                <w:highlight w:val="none"/>
              </w:rPr>
              <w:t>放控</w:t>
            </w:r>
          </w:p>
          <w:p w14:paraId="5F18625D">
            <w:pPr>
              <w:adjustRightInd w:val="0"/>
              <w:snapToGrid w:val="0"/>
              <w:jc w:val="center"/>
              <w:rPr>
                <w:color w:val="auto"/>
                <w:kern w:val="0"/>
                <w:sz w:val="24"/>
                <w:highlight w:val="none"/>
              </w:rPr>
            </w:pPr>
            <w:r>
              <w:rPr>
                <w:color w:val="auto"/>
                <w:kern w:val="0"/>
                <w:sz w:val="24"/>
                <w:highlight w:val="none"/>
              </w:rPr>
              <w:t>制标</w:t>
            </w:r>
          </w:p>
          <w:p w14:paraId="4FE6CF77">
            <w:pPr>
              <w:adjustRightInd w:val="0"/>
              <w:snapToGrid w:val="0"/>
              <w:jc w:val="center"/>
              <w:rPr>
                <w:color w:val="auto"/>
                <w:kern w:val="0"/>
                <w:szCs w:val="21"/>
                <w:highlight w:val="none"/>
              </w:rPr>
            </w:pPr>
            <w:r>
              <w:rPr>
                <w:color w:val="auto"/>
                <w:kern w:val="0"/>
                <w:sz w:val="24"/>
                <w:highlight w:val="none"/>
              </w:rPr>
              <w:t>准</w:t>
            </w:r>
          </w:p>
        </w:tc>
        <w:tc>
          <w:tcPr>
            <w:tcW w:w="8528" w:type="dxa"/>
            <w:tcBorders>
              <w:bottom w:val="single" w:color="auto" w:sz="8" w:space="0"/>
            </w:tcBorders>
            <w:noWrap w:val="0"/>
            <w:vAlign w:val="center"/>
          </w:tcPr>
          <w:p w14:paraId="5EEDFF56">
            <w:pPr>
              <w:pStyle w:val="22"/>
              <w:spacing w:line="360" w:lineRule="auto"/>
              <w:jc w:val="left"/>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default" w:ascii="Times New Roman" w:hAnsi="Times New Roman" w:cs="Times New Roman"/>
                <w:b/>
                <w:bCs/>
                <w:color w:val="000000" w:themeColor="text1"/>
                <w:sz w:val="24"/>
                <w:szCs w:val="24"/>
                <w:highlight w:val="none"/>
                <w14:textFill>
                  <w14:solidFill>
                    <w14:schemeClr w14:val="tx1"/>
                  </w14:solidFill>
                </w14:textFill>
              </w:rPr>
              <w:t>施工期：</w:t>
            </w:r>
          </w:p>
          <w:p w14:paraId="6B49839B">
            <w:pPr>
              <w:numPr>
                <w:ilvl w:val="0"/>
                <w:numId w:val="11"/>
              </w:numPr>
              <w:spacing w:line="360" w:lineRule="auto"/>
              <w:ind w:firstLine="480" w:firstLineChars="200"/>
              <w:rPr>
                <w:rFonts w:hint="eastAsia" w:cs="Times New Roman"/>
                <w:color w:val="000000" w:themeColor="text1"/>
                <w:sz w:val="24"/>
                <w:szCs w:val="24"/>
                <w:highlight w:val="none"/>
                <w:lang w:val="en-US" w:eastAsia="zh-CN"/>
                <w14:textFill>
                  <w14:solidFill>
                    <w14:schemeClr w14:val="tx1"/>
                  </w14:solidFill>
                </w14:textFill>
              </w:rPr>
            </w:pPr>
            <w:r>
              <w:rPr>
                <w:rFonts w:hint="eastAsia" w:cs="Times New Roman"/>
                <w:color w:val="000000" w:themeColor="text1"/>
                <w:sz w:val="24"/>
                <w:szCs w:val="24"/>
                <w:highlight w:val="none"/>
                <w:lang w:val="en-US" w:eastAsia="zh-CN"/>
                <w14:textFill>
                  <w14:solidFill>
                    <w14:schemeClr w14:val="tx1"/>
                  </w14:solidFill>
                </w14:textFill>
              </w:rPr>
              <w:t>技改项目仅为清洗设备的安装和管路的铺设。安装工程无扬尘。施工过程</w:t>
            </w:r>
            <w:r>
              <w:rPr>
                <w:rFonts w:hint="eastAsia"/>
                <w:color w:val="000000" w:themeColor="text1"/>
                <w:sz w:val="24"/>
                <w:szCs w:val="24"/>
                <w:highlight w:val="none"/>
                <w:lang w:val="en-US" w:eastAsia="zh-CN"/>
                <w14:textFill>
                  <w14:solidFill>
                    <w14:schemeClr w14:val="tx1"/>
                  </w14:solidFill>
                </w14:textFill>
              </w:rPr>
              <w:t>主要为噪声，源强低、工作时间短，施工期噪声符合排放要求，环境影响小。</w:t>
            </w:r>
          </w:p>
          <w:p w14:paraId="2A2EB648">
            <w:pPr>
              <w:numPr>
                <w:ilvl w:val="0"/>
                <w:numId w:val="11"/>
              </w:numPr>
              <w:spacing w:line="360" w:lineRule="auto"/>
              <w:ind w:firstLine="480" w:firstLineChars="200"/>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施工期噪声执行《建筑施工场界环境噪声排放标准》（GB12523-20</w:t>
            </w:r>
            <w:r>
              <w:rPr>
                <w:rFonts w:hint="eastAsia" w:cs="Times New Roman"/>
                <w:color w:val="000000" w:themeColor="text1"/>
                <w:sz w:val="24"/>
                <w:szCs w:val="24"/>
                <w:highlight w:val="none"/>
                <w:lang w:val="en-US" w:eastAsia="zh-CN"/>
                <w14:textFill>
                  <w14:solidFill>
                    <w14:schemeClr w14:val="tx1"/>
                  </w14:solidFill>
                </w14:textFill>
              </w:rPr>
              <w:t>25</w:t>
            </w:r>
            <w:r>
              <w:rPr>
                <w:rFonts w:hint="default" w:ascii="Times New Roman" w:hAnsi="Times New Roman" w:cs="Times New Roman"/>
                <w:color w:val="000000" w:themeColor="text1"/>
                <w:sz w:val="24"/>
                <w:szCs w:val="24"/>
                <w:highlight w:val="none"/>
                <w14:textFill>
                  <w14:solidFill>
                    <w14:schemeClr w14:val="tx1"/>
                  </w14:solidFill>
                </w14:textFill>
              </w:rPr>
              <w:t>）中相关要求，即昼间≤70dB(A)、夜间≤55dB(A)。</w:t>
            </w:r>
          </w:p>
          <w:p w14:paraId="7B81BB6D">
            <w:pPr>
              <w:pStyle w:val="6"/>
              <w:spacing w:line="360" w:lineRule="auto"/>
              <w:ind w:firstLine="480"/>
              <w:jc w:val="left"/>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cs="Times New Roman"/>
                <w:color w:val="000000" w:themeColor="text1"/>
                <w:sz w:val="24"/>
                <w:szCs w:val="24"/>
                <w:highlight w:val="none"/>
                <w:lang w:val="en-US" w:eastAsia="zh-CN"/>
                <w14:textFill>
                  <w14:solidFill>
                    <w14:schemeClr w14:val="tx1"/>
                  </w14:solidFill>
                </w14:textFill>
              </w:rPr>
              <w:t>3、</w:t>
            </w:r>
            <w:r>
              <w:rPr>
                <w:rFonts w:hint="eastAsia" w:ascii="Times New Roman" w:hAnsi="Times New Roman" w:cs="Times New Roman"/>
                <w:color w:val="000000" w:themeColor="text1"/>
                <w:sz w:val="24"/>
                <w:szCs w:val="24"/>
                <w:highlight w:val="none"/>
                <w:lang w:eastAsia="zh-CN"/>
                <w14:textFill>
                  <w14:solidFill>
                    <w14:schemeClr w14:val="tx1"/>
                  </w14:solidFill>
                </w14:textFill>
              </w:rPr>
              <w:t>施工期</w:t>
            </w:r>
            <w:r>
              <w:rPr>
                <w:rFonts w:hint="eastAsia"/>
                <w:color w:val="000000" w:themeColor="text1"/>
                <w:highlight w:val="none"/>
                <w:lang w:val="en-US" w:eastAsia="zh-CN"/>
                <w14:textFill>
                  <w14:solidFill>
                    <w14:schemeClr w14:val="tx1"/>
                  </w14:solidFill>
                </w14:textFill>
              </w:rPr>
              <w:t>设备</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包装</w:t>
            </w:r>
            <w:r>
              <w:rPr>
                <w:rFonts w:hint="eastAsia"/>
                <w:color w:val="000000" w:themeColor="text1"/>
                <w:highlight w:val="none"/>
                <w:lang w:val="en-US" w:eastAsia="zh-CN"/>
                <w14:textFill>
                  <w14:solidFill>
                    <w14:schemeClr w14:val="tx1"/>
                  </w14:solidFill>
                </w14:textFill>
              </w:rPr>
              <w:t>等</w:t>
            </w:r>
            <w:r>
              <w:rPr>
                <w:rFonts w:hint="default" w:ascii="Times New Roman" w:hAnsi="Times New Roman" w:cs="Times New Roman"/>
                <w:color w:val="000000" w:themeColor="text1"/>
                <w:sz w:val="24"/>
                <w:szCs w:val="24"/>
                <w:highlight w:val="none"/>
                <w14:textFill>
                  <w14:solidFill>
                    <w14:schemeClr w14:val="tx1"/>
                  </w14:solidFill>
                </w14:textFill>
              </w:rPr>
              <w:t>执行《一般工业固体废物贮存</w:t>
            </w:r>
            <w:r>
              <w:rPr>
                <w:rFonts w:hint="eastAsia" w:ascii="Times New Roman" w:hAnsi="Times New Roman" w:cs="Times New Roman"/>
                <w:color w:val="000000" w:themeColor="text1"/>
                <w:sz w:val="24"/>
                <w:szCs w:val="24"/>
                <w:highlight w:val="none"/>
                <w:lang w:eastAsia="zh-CN"/>
                <w14:textFill>
                  <w14:solidFill>
                    <w14:schemeClr w14:val="tx1"/>
                  </w14:solidFill>
                </w14:textFill>
              </w:rPr>
              <w:t>和填埋</w:t>
            </w:r>
            <w:r>
              <w:rPr>
                <w:rFonts w:hint="default" w:ascii="Times New Roman" w:hAnsi="Times New Roman" w:cs="Times New Roman"/>
                <w:color w:val="000000" w:themeColor="text1"/>
                <w:sz w:val="24"/>
                <w:szCs w:val="24"/>
                <w:highlight w:val="none"/>
                <w14:textFill>
                  <w14:solidFill>
                    <w14:schemeClr w14:val="tx1"/>
                  </w14:solidFill>
                </w14:textFill>
              </w:rPr>
              <w:t>污染控制标准》（GB18599-20</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20</w:t>
            </w:r>
            <w:r>
              <w:rPr>
                <w:rFonts w:hint="default" w:ascii="Times New Roman" w:hAnsi="Times New Roman" w:cs="Times New Roman"/>
                <w:color w:val="000000" w:themeColor="text1"/>
                <w:sz w:val="24"/>
                <w:szCs w:val="24"/>
                <w:highlight w:val="none"/>
                <w14:textFill>
                  <w14:solidFill>
                    <w14:schemeClr w14:val="tx1"/>
                  </w14:solidFill>
                </w14:textFill>
              </w:rPr>
              <w:t>）中相关要</w:t>
            </w:r>
            <w:r>
              <w:rPr>
                <w:rFonts w:hint="default" w:ascii="Times New Roman" w:hAnsi="Times New Roman" w:eastAsia="宋体" w:cs="Times New Roman"/>
                <w:color w:val="000000" w:themeColor="text1"/>
                <w:sz w:val="24"/>
                <w:szCs w:val="24"/>
                <w:highlight w:val="none"/>
                <w14:textFill>
                  <w14:solidFill>
                    <w14:schemeClr w14:val="tx1"/>
                  </w14:solidFill>
                </w14:textFill>
              </w:rPr>
              <w:t>求</w:t>
            </w:r>
            <w:r>
              <w:rPr>
                <w:rFonts w:hint="eastAsia" w:ascii="Times New Roman" w:hAnsi="Times New Roman" w:eastAsia="宋体" w:cs="Times New Roman"/>
                <w:color w:val="000000" w:themeColor="text1"/>
                <w:sz w:val="24"/>
                <w:szCs w:val="24"/>
                <w:highlight w:val="none"/>
                <w:lang w:eastAsia="zh-CN"/>
                <w14:textFill>
                  <w14:solidFill>
                    <w14:schemeClr w14:val="tx1"/>
                  </w14:solidFill>
                </w14:textFill>
              </w:rPr>
              <w:t>。</w:t>
            </w:r>
          </w:p>
          <w:p w14:paraId="4A667C53">
            <w:pPr>
              <w:pStyle w:val="6"/>
              <w:spacing w:line="360" w:lineRule="auto"/>
              <w:ind w:left="0" w:leftChars="0" w:firstLine="0" w:firstLineChars="0"/>
              <w:rPr>
                <w:rFonts w:hint="eastAsia" w:ascii="Times New Roman" w:hAnsi="Times New Roman" w:eastAsia="宋体" w:cs="Times New Roman"/>
                <w:color w:val="auto"/>
                <w:kern w:val="2"/>
                <w:sz w:val="24"/>
                <w:szCs w:val="24"/>
                <w:highlight w:val="none"/>
                <w:lang w:val="en-US" w:eastAsia="zh-CN" w:bidi="ar-SA"/>
              </w:rPr>
            </w:pPr>
            <w:r>
              <w:rPr>
                <w:rFonts w:hint="default" w:ascii="Times New Roman" w:hAnsi="Times New Roman" w:cs="Times New Roman"/>
                <w:b/>
                <w:bCs/>
                <w:color w:val="auto"/>
                <w:sz w:val="24"/>
                <w:szCs w:val="24"/>
                <w:highlight w:val="none"/>
              </w:rPr>
              <w:t>运营期：</w:t>
            </w:r>
          </w:p>
          <w:p w14:paraId="2E0DE9FC">
            <w:pPr>
              <w:pStyle w:val="6"/>
              <w:spacing w:line="360" w:lineRule="auto"/>
              <w:ind w:left="0" w:leftChars="0" w:firstLine="240" w:firstLineChars="100"/>
              <w:jc w:val="left"/>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1、废气</w:t>
            </w:r>
            <w:r>
              <w:rPr>
                <w:rFonts w:hint="default" w:ascii="Times New Roman" w:hAnsi="Times New Roman" w:eastAsia="宋体" w:cs="Times New Roman"/>
                <w:color w:val="auto"/>
                <w:sz w:val="24"/>
                <w:szCs w:val="24"/>
                <w:highlight w:val="none"/>
                <w:lang w:val="en-US" w:eastAsia="zh-CN"/>
              </w:rPr>
              <w:t>：</w:t>
            </w:r>
            <w:r>
              <w:rPr>
                <w:rFonts w:hint="eastAsia" w:ascii="Times New Roman" w:hAnsi="Times New Roman" w:eastAsia="宋体" w:cs="Times New Roman"/>
                <w:color w:val="auto"/>
                <w:sz w:val="24"/>
                <w:szCs w:val="24"/>
                <w:highlight w:val="none"/>
                <w:lang w:val="en-US" w:eastAsia="zh-CN"/>
              </w:rPr>
              <w:t>技改项目</w:t>
            </w:r>
            <w:r>
              <w:rPr>
                <w:rFonts w:hint="eastAsia" w:cs="Times New Roman"/>
                <w:color w:val="auto"/>
                <w:sz w:val="24"/>
                <w:szCs w:val="24"/>
                <w:highlight w:val="none"/>
                <w:lang w:val="en-US" w:eastAsia="zh-CN"/>
              </w:rPr>
              <w:t>不涉及废气排放</w:t>
            </w:r>
            <w:r>
              <w:rPr>
                <w:rFonts w:hint="default" w:ascii="Times New Roman" w:hAnsi="Times New Roman" w:eastAsia="宋体" w:cs="Times New Roman"/>
                <w:color w:val="auto"/>
                <w:sz w:val="24"/>
                <w:szCs w:val="24"/>
                <w:highlight w:val="none"/>
                <w:lang w:val="en-US" w:eastAsia="zh-CN"/>
              </w:rPr>
              <w:t>。</w:t>
            </w:r>
          </w:p>
          <w:p w14:paraId="1D35C649">
            <w:pPr>
              <w:pStyle w:val="6"/>
              <w:spacing w:line="360" w:lineRule="auto"/>
              <w:ind w:left="0" w:leftChars="0" w:firstLine="240" w:firstLineChars="100"/>
              <w:jc w:val="left"/>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2、废水：技改项目执行《污水综合排放标准》(GB8978-1996)表4中三级标准，并满足行唐县第二污水处理厂进水水质标准。具体标准值见下表。</w:t>
            </w:r>
          </w:p>
          <w:p w14:paraId="10C13A63">
            <w:pPr>
              <w:adjustRightInd w:val="0"/>
              <w:snapToGrid w:val="0"/>
              <w:spacing w:line="420" w:lineRule="exact"/>
              <w:ind w:firstLine="482" w:firstLineChars="200"/>
              <w:jc w:val="center"/>
              <w:rPr>
                <w:b/>
                <w:bCs/>
                <w:color w:val="auto"/>
                <w:sz w:val="24"/>
                <w:highlight w:val="none"/>
              </w:rPr>
            </w:pPr>
            <w:r>
              <w:rPr>
                <w:b/>
                <w:bCs/>
                <w:color w:val="auto"/>
                <w:sz w:val="24"/>
                <w:highlight w:val="none"/>
              </w:rPr>
              <w:t>表</w:t>
            </w:r>
            <w:r>
              <w:rPr>
                <w:rFonts w:hint="eastAsia"/>
                <w:b/>
                <w:bCs/>
                <w:color w:val="auto"/>
                <w:sz w:val="24"/>
                <w:highlight w:val="none"/>
              </w:rPr>
              <w:t>3-</w:t>
            </w:r>
            <w:r>
              <w:rPr>
                <w:rFonts w:hint="eastAsia"/>
                <w:b/>
                <w:bCs/>
                <w:color w:val="auto"/>
                <w:sz w:val="24"/>
                <w:highlight w:val="none"/>
                <w:lang w:val="en-US" w:eastAsia="zh-CN"/>
              </w:rPr>
              <w:t>6</w:t>
            </w:r>
            <w:r>
              <w:rPr>
                <w:rFonts w:hint="eastAsia"/>
                <w:b/>
                <w:bCs/>
                <w:color w:val="auto"/>
                <w:sz w:val="24"/>
                <w:highlight w:val="none"/>
              </w:rPr>
              <w:t xml:space="preserve">   </w:t>
            </w:r>
            <w:r>
              <w:rPr>
                <w:b/>
                <w:bCs/>
                <w:color w:val="auto"/>
                <w:sz w:val="24"/>
                <w:highlight w:val="none"/>
              </w:rPr>
              <w:t>废水排放标准</w:t>
            </w:r>
            <w:r>
              <w:rPr>
                <w:rFonts w:hint="eastAsia"/>
                <w:b/>
                <w:bCs/>
                <w:color w:val="auto"/>
                <w:sz w:val="24"/>
                <w:highlight w:val="none"/>
              </w:rPr>
              <w:t xml:space="preserve">   单位：mg/L</w:t>
            </w:r>
          </w:p>
          <w:tbl>
            <w:tblPr>
              <w:tblStyle w:val="36"/>
              <w:tblW w:w="83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163"/>
              <w:gridCol w:w="3428"/>
              <w:gridCol w:w="2194"/>
              <w:gridCol w:w="1593"/>
            </w:tblGrid>
            <w:tr w14:paraId="5C57B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04" w:hRule="atLeast"/>
              </w:trPr>
              <w:tc>
                <w:tcPr>
                  <w:tcW w:w="694" w:type="pct"/>
                  <w:noWrap w:val="0"/>
                  <w:vAlign w:val="center"/>
                </w:tcPr>
                <w:p w14:paraId="3351CA62">
                  <w:pPr>
                    <w:spacing w:line="320" w:lineRule="exact"/>
                    <w:jc w:val="center"/>
                    <w:rPr>
                      <w:b/>
                      <w:bCs/>
                      <w:color w:val="auto"/>
                      <w:szCs w:val="21"/>
                      <w:highlight w:val="none"/>
                    </w:rPr>
                  </w:pPr>
                  <w:r>
                    <w:rPr>
                      <w:b/>
                      <w:bCs/>
                      <w:color w:val="auto"/>
                      <w:szCs w:val="21"/>
                      <w:highlight w:val="none"/>
                    </w:rPr>
                    <w:t>污染物</w:t>
                  </w:r>
                </w:p>
              </w:tc>
              <w:tc>
                <w:tcPr>
                  <w:tcW w:w="2045" w:type="pct"/>
                  <w:noWrap w:val="0"/>
                  <w:vAlign w:val="center"/>
                </w:tcPr>
                <w:p w14:paraId="4DFAA139">
                  <w:pPr>
                    <w:spacing w:line="320" w:lineRule="exact"/>
                    <w:jc w:val="center"/>
                    <w:rPr>
                      <w:b/>
                      <w:bCs/>
                      <w:color w:val="auto"/>
                      <w:szCs w:val="21"/>
                      <w:highlight w:val="none"/>
                    </w:rPr>
                  </w:pPr>
                  <w:r>
                    <w:rPr>
                      <w:b/>
                      <w:bCs/>
                      <w:color w:val="auto"/>
                      <w:szCs w:val="21"/>
                      <w:highlight w:val="none"/>
                    </w:rPr>
                    <w:t>《污水综合排放标准》（GB8978-1996）表4中三级标准</w:t>
                  </w:r>
                </w:p>
              </w:tc>
              <w:tc>
                <w:tcPr>
                  <w:tcW w:w="1309" w:type="pct"/>
                  <w:noWrap w:val="0"/>
                  <w:tcMar>
                    <w:left w:w="0" w:type="dxa"/>
                    <w:right w:w="0" w:type="dxa"/>
                  </w:tcMar>
                  <w:vAlign w:val="center"/>
                </w:tcPr>
                <w:p w14:paraId="61D29B1F">
                  <w:pPr>
                    <w:spacing w:line="320" w:lineRule="exact"/>
                    <w:jc w:val="center"/>
                    <w:rPr>
                      <w:b/>
                      <w:bCs/>
                      <w:color w:val="auto"/>
                      <w:szCs w:val="21"/>
                      <w:highlight w:val="none"/>
                    </w:rPr>
                  </w:pPr>
                  <w:r>
                    <w:rPr>
                      <w:b/>
                      <w:bCs/>
                      <w:color w:val="auto"/>
                      <w:szCs w:val="21"/>
                      <w:highlight w:val="none"/>
                    </w:rPr>
                    <w:t>行唐县第二污水处理厂进水水质要求</w:t>
                  </w:r>
                </w:p>
              </w:tc>
              <w:tc>
                <w:tcPr>
                  <w:tcW w:w="950" w:type="pct"/>
                  <w:noWrap w:val="0"/>
                  <w:vAlign w:val="center"/>
                </w:tcPr>
                <w:p w14:paraId="04D257FD">
                  <w:pPr>
                    <w:spacing w:line="320" w:lineRule="exact"/>
                    <w:jc w:val="center"/>
                    <w:rPr>
                      <w:b/>
                      <w:bCs/>
                      <w:color w:val="auto"/>
                      <w:szCs w:val="21"/>
                      <w:highlight w:val="none"/>
                    </w:rPr>
                  </w:pPr>
                  <w:r>
                    <w:rPr>
                      <w:b/>
                      <w:bCs/>
                      <w:color w:val="auto"/>
                      <w:szCs w:val="21"/>
                      <w:highlight w:val="none"/>
                    </w:rPr>
                    <w:t>本次评价执行标准</w:t>
                  </w:r>
                </w:p>
              </w:tc>
            </w:tr>
            <w:tr w14:paraId="7E7D9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2" w:hRule="exact"/>
              </w:trPr>
              <w:tc>
                <w:tcPr>
                  <w:tcW w:w="694" w:type="pct"/>
                  <w:noWrap w:val="0"/>
                  <w:vAlign w:val="center"/>
                </w:tcPr>
                <w:p w14:paraId="6A9E9A35">
                  <w:pPr>
                    <w:spacing w:line="320" w:lineRule="exact"/>
                    <w:jc w:val="center"/>
                    <w:rPr>
                      <w:color w:val="auto"/>
                      <w:szCs w:val="21"/>
                      <w:highlight w:val="none"/>
                    </w:rPr>
                  </w:pPr>
                  <w:r>
                    <w:rPr>
                      <w:rFonts w:hint="eastAsia"/>
                      <w:color w:val="auto"/>
                      <w:szCs w:val="21"/>
                      <w:highlight w:val="none"/>
                    </w:rPr>
                    <w:t>pH</w:t>
                  </w:r>
                </w:p>
              </w:tc>
              <w:tc>
                <w:tcPr>
                  <w:tcW w:w="2045" w:type="pct"/>
                  <w:noWrap w:val="0"/>
                  <w:vAlign w:val="center"/>
                </w:tcPr>
                <w:p w14:paraId="2AB9AB71">
                  <w:pPr>
                    <w:spacing w:line="320" w:lineRule="exact"/>
                    <w:jc w:val="center"/>
                    <w:rPr>
                      <w:color w:val="auto"/>
                      <w:szCs w:val="21"/>
                      <w:highlight w:val="none"/>
                    </w:rPr>
                  </w:pPr>
                  <w:r>
                    <w:rPr>
                      <w:rFonts w:hint="eastAsia"/>
                      <w:color w:val="auto"/>
                      <w:szCs w:val="21"/>
                      <w:highlight w:val="none"/>
                    </w:rPr>
                    <w:t>6~9</w:t>
                  </w:r>
                </w:p>
              </w:tc>
              <w:tc>
                <w:tcPr>
                  <w:tcW w:w="1309" w:type="pct"/>
                  <w:noWrap w:val="0"/>
                  <w:tcMar>
                    <w:left w:w="0" w:type="dxa"/>
                    <w:right w:w="0" w:type="dxa"/>
                  </w:tcMar>
                  <w:vAlign w:val="center"/>
                </w:tcPr>
                <w:p w14:paraId="021F9D7C">
                  <w:pPr>
                    <w:spacing w:line="320" w:lineRule="exact"/>
                    <w:jc w:val="center"/>
                    <w:rPr>
                      <w:color w:val="auto"/>
                      <w:szCs w:val="21"/>
                      <w:highlight w:val="none"/>
                    </w:rPr>
                  </w:pPr>
                  <w:r>
                    <w:rPr>
                      <w:rFonts w:hint="eastAsia"/>
                      <w:color w:val="auto"/>
                      <w:szCs w:val="21"/>
                      <w:highlight w:val="none"/>
                    </w:rPr>
                    <w:t>--</w:t>
                  </w:r>
                </w:p>
              </w:tc>
              <w:tc>
                <w:tcPr>
                  <w:tcW w:w="950" w:type="pct"/>
                  <w:noWrap w:val="0"/>
                  <w:vAlign w:val="center"/>
                </w:tcPr>
                <w:p w14:paraId="380981E9">
                  <w:pPr>
                    <w:spacing w:line="320" w:lineRule="exact"/>
                    <w:jc w:val="center"/>
                    <w:rPr>
                      <w:color w:val="auto"/>
                      <w:szCs w:val="21"/>
                      <w:highlight w:val="none"/>
                    </w:rPr>
                  </w:pPr>
                  <w:r>
                    <w:rPr>
                      <w:rFonts w:hint="eastAsia"/>
                      <w:color w:val="auto"/>
                      <w:szCs w:val="21"/>
                      <w:highlight w:val="none"/>
                    </w:rPr>
                    <w:t>6~9</w:t>
                  </w:r>
                </w:p>
              </w:tc>
            </w:tr>
            <w:tr w14:paraId="2864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8" w:hRule="exact"/>
              </w:trPr>
              <w:tc>
                <w:tcPr>
                  <w:tcW w:w="694" w:type="pct"/>
                  <w:noWrap w:val="0"/>
                  <w:vAlign w:val="center"/>
                </w:tcPr>
                <w:p w14:paraId="0FF2BAF9">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COD</w:t>
                  </w:r>
                </w:p>
              </w:tc>
              <w:tc>
                <w:tcPr>
                  <w:tcW w:w="2045" w:type="pct"/>
                  <w:noWrap w:val="0"/>
                  <w:tcMar>
                    <w:left w:w="0" w:type="dxa"/>
                    <w:right w:w="0" w:type="dxa"/>
                  </w:tcMar>
                  <w:vAlign w:val="center"/>
                </w:tcPr>
                <w:p w14:paraId="0829C15B">
                  <w:pPr>
                    <w:spacing w:line="320" w:lineRule="exact"/>
                    <w:jc w:val="center"/>
                    <w:rPr>
                      <w:color w:val="auto"/>
                      <w:szCs w:val="21"/>
                      <w:highlight w:val="none"/>
                    </w:rPr>
                  </w:pPr>
                  <w:r>
                    <w:rPr>
                      <w:rFonts w:hint="eastAsia"/>
                      <w:color w:val="auto"/>
                      <w:szCs w:val="21"/>
                      <w:highlight w:val="none"/>
                    </w:rPr>
                    <w:t>500</w:t>
                  </w:r>
                </w:p>
              </w:tc>
              <w:tc>
                <w:tcPr>
                  <w:tcW w:w="1309" w:type="pct"/>
                  <w:noWrap w:val="0"/>
                  <w:tcMar>
                    <w:left w:w="0" w:type="dxa"/>
                    <w:right w:w="0" w:type="dxa"/>
                  </w:tcMar>
                  <w:vAlign w:val="center"/>
                </w:tcPr>
                <w:p w14:paraId="69FCB109">
                  <w:pPr>
                    <w:spacing w:line="320" w:lineRule="exact"/>
                    <w:jc w:val="center"/>
                    <w:rPr>
                      <w:color w:val="auto"/>
                      <w:szCs w:val="21"/>
                      <w:highlight w:val="none"/>
                    </w:rPr>
                  </w:pPr>
                  <w:r>
                    <w:rPr>
                      <w:rFonts w:hint="eastAsia"/>
                      <w:color w:val="auto"/>
                      <w:szCs w:val="21"/>
                      <w:highlight w:val="none"/>
                    </w:rPr>
                    <w:t>450</w:t>
                  </w:r>
                </w:p>
              </w:tc>
              <w:tc>
                <w:tcPr>
                  <w:tcW w:w="950" w:type="pct"/>
                  <w:noWrap w:val="0"/>
                  <w:vAlign w:val="center"/>
                </w:tcPr>
                <w:p w14:paraId="7CF5F1F8">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450</w:t>
                  </w:r>
                </w:p>
              </w:tc>
            </w:tr>
            <w:tr w14:paraId="00EB8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8" w:hRule="exact"/>
              </w:trPr>
              <w:tc>
                <w:tcPr>
                  <w:tcW w:w="694" w:type="pct"/>
                  <w:noWrap w:val="0"/>
                  <w:vAlign w:val="center"/>
                </w:tcPr>
                <w:p w14:paraId="0CFC7CA6">
                  <w:pPr>
                    <w:pStyle w:val="113"/>
                    <w:widowControl/>
                    <w:spacing w:line="230" w:lineRule="exact"/>
                    <w:jc w:val="center"/>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BOD</w:t>
                  </w:r>
                  <w:r>
                    <w:rPr>
                      <w:rFonts w:ascii="Times New Roman" w:hAnsi="Times New Roman" w:cs="Times New Roman"/>
                      <w:color w:val="auto"/>
                      <w:sz w:val="21"/>
                      <w:szCs w:val="21"/>
                      <w:highlight w:val="none"/>
                      <w:vertAlign w:val="subscript"/>
                    </w:rPr>
                    <w:t>5</w:t>
                  </w:r>
                </w:p>
              </w:tc>
              <w:tc>
                <w:tcPr>
                  <w:tcW w:w="2045" w:type="pct"/>
                  <w:noWrap w:val="0"/>
                  <w:tcMar>
                    <w:left w:w="0" w:type="dxa"/>
                    <w:right w:w="0" w:type="dxa"/>
                  </w:tcMar>
                  <w:vAlign w:val="center"/>
                </w:tcPr>
                <w:p w14:paraId="313CF3FE">
                  <w:pPr>
                    <w:spacing w:line="320" w:lineRule="exact"/>
                    <w:jc w:val="center"/>
                    <w:rPr>
                      <w:color w:val="auto"/>
                      <w:szCs w:val="21"/>
                      <w:highlight w:val="none"/>
                    </w:rPr>
                  </w:pPr>
                  <w:r>
                    <w:rPr>
                      <w:rFonts w:hint="eastAsia"/>
                      <w:color w:val="auto"/>
                      <w:szCs w:val="21"/>
                      <w:highlight w:val="none"/>
                    </w:rPr>
                    <w:t>300</w:t>
                  </w:r>
                </w:p>
              </w:tc>
              <w:tc>
                <w:tcPr>
                  <w:tcW w:w="1309" w:type="pct"/>
                  <w:noWrap w:val="0"/>
                  <w:tcMar>
                    <w:left w:w="0" w:type="dxa"/>
                    <w:right w:w="0" w:type="dxa"/>
                  </w:tcMar>
                  <w:vAlign w:val="center"/>
                </w:tcPr>
                <w:p w14:paraId="1E8B0D34">
                  <w:pPr>
                    <w:spacing w:line="320" w:lineRule="exact"/>
                    <w:jc w:val="center"/>
                    <w:rPr>
                      <w:color w:val="auto"/>
                      <w:szCs w:val="21"/>
                      <w:highlight w:val="none"/>
                    </w:rPr>
                  </w:pPr>
                  <w:r>
                    <w:rPr>
                      <w:rFonts w:hint="eastAsia"/>
                      <w:color w:val="auto"/>
                      <w:szCs w:val="21"/>
                      <w:highlight w:val="none"/>
                    </w:rPr>
                    <w:t>200</w:t>
                  </w:r>
                </w:p>
              </w:tc>
              <w:tc>
                <w:tcPr>
                  <w:tcW w:w="950" w:type="pct"/>
                  <w:noWrap w:val="0"/>
                  <w:vAlign w:val="center"/>
                </w:tcPr>
                <w:p w14:paraId="06D994D2">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200</w:t>
                  </w:r>
                </w:p>
              </w:tc>
            </w:tr>
            <w:tr w14:paraId="789DD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8" w:hRule="exact"/>
              </w:trPr>
              <w:tc>
                <w:tcPr>
                  <w:tcW w:w="694" w:type="pct"/>
                  <w:noWrap w:val="0"/>
                  <w:vAlign w:val="center"/>
                </w:tcPr>
                <w:p w14:paraId="7DED23E7">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SS</w:t>
                  </w:r>
                </w:p>
              </w:tc>
              <w:tc>
                <w:tcPr>
                  <w:tcW w:w="2045" w:type="pct"/>
                  <w:noWrap w:val="0"/>
                  <w:tcMar>
                    <w:left w:w="0" w:type="dxa"/>
                    <w:right w:w="0" w:type="dxa"/>
                  </w:tcMar>
                  <w:vAlign w:val="center"/>
                </w:tcPr>
                <w:p w14:paraId="2452A690">
                  <w:pPr>
                    <w:spacing w:line="320" w:lineRule="exact"/>
                    <w:jc w:val="center"/>
                    <w:rPr>
                      <w:color w:val="auto"/>
                      <w:szCs w:val="21"/>
                      <w:highlight w:val="none"/>
                    </w:rPr>
                  </w:pPr>
                  <w:r>
                    <w:rPr>
                      <w:rFonts w:hint="eastAsia"/>
                      <w:color w:val="auto"/>
                      <w:szCs w:val="21"/>
                      <w:highlight w:val="none"/>
                    </w:rPr>
                    <w:t>4</w:t>
                  </w:r>
                  <w:r>
                    <w:rPr>
                      <w:color w:val="auto"/>
                      <w:szCs w:val="21"/>
                      <w:highlight w:val="none"/>
                    </w:rPr>
                    <w:t>00</w:t>
                  </w:r>
                </w:p>
              </w:tc>
              <w:tc>
                <w:tcPr>
                  <w:tcW w:w="1309" w:type="pct"/>
                  <w:noWrap w:val="0"/>
                  <w:tcMar>
                    <w:left w:w="0" w:type="dxa"/>
                    <w:right w:w="0" w:type="dxa"/>
                  </w:tcMar>
                  <w:vAlign w:val="center"/>
                </w:tcPr>
                <w:p w14:paraId="521889F2">
                  <w:pPr>
                    <w:spacing w:line="320" w:lineRule="exact"/>
                    <w:jc w:val="center"/>
                    <w:rPr>
                      <w:color w:val="auto"/>
                      <w:szCs w:val="21"/>
                      <w:highlight w:val="none"/>
                    </w:rPr>
                  </w:pPr>
                  <w:r>
                    <w:rPr>
                      <w:rFonts w:hint="eastAsia"/>
                      <w:color w:val="auto"/>
                      <w:szCs w:val="21"/>
                      <w:highlight w:val="none"/>
                    </w:rPr>
                    <w:t>200</w:t>
                  </w:r>
                </w:p>
              </w:tc>
              <w:tc>
                <w:tcPr>
                  <w:tcW w:w="950" w:type="pct"/>
                  <w:noWrap w:val="0"/>
                  <w:vAlign w:val="center"/>
                </w:tcPr>
                <w:p w14:paraId="0BBA6479">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200</w:t>
                  </w:r>
                </w:p>
              </w:tc>
            </w:tr>
            <w:tr w14:paraId="5D212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8" w:hRule="exact"/>
              </w:trPr>
              <w:tc>
                <w:tcPr>
                  <w:tcW w:w="694" w:type="pct"/>
                  <w:noWrap w:val="0"/>
                  <w:vAlign w:val="center"/>
                </w:tcPr>
                <w:p w14:paraId="1F419628">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氨氮</w:t>
                  </w:r>
                </w:p>
              </w:tc>
              <w:tc>
                <w:tcPr>
                  <w:tcW w:w="2045" w:type="pct"/>
                  <w:noWrap w:val="0"/>
                  <w:tcMar>
                    <w:left w:w="0" w:type="dxa"/>
                    <w:right w:w="0" w:type="dxa"/>
                  </w:tcMar>
                  <w:vAlign w:val="center"/>
                </w:tcPr>
                <w:p w14:paraId="0AE9C007">
                  <w:pPr>
                    <w:spacing w:line="320" w:lineRule="exact"/>
                    <w:jc w:val="center"/>
                    <w:rPr>
                      <w:color w:val="auto"/>
                      <w:szCs w:val="21"/>
                      <w:highlight w:val="none"/>
                    </w:rPr>
                  </w:pPr>
                  <w:r>
                    <w:rPr>
                      <w:rFonts w:hint="eastAsia"/>
                      <w:color w:val="auto"/>
                      <w:szCs w:val="21"/>
                      <w:highlight w:val="none"/>
                    </w:rPr>
                    <w:t>--</w:t>
                  </w:r>
                </w:p>
              </w:tc>
              <w:tc>
                <w:tcPr>
                  <w:tcW w:w="1309" w:type="pct"/>
                  <w:noWrap w:val="0"/>
                  <w:tcMar>
                    <w:left w:w="0" w:type="dxa"/>
                    <w:right w:w="0" w:type="dxa"/>
                  </w:tcMar>
                  <w:vAlign w:val="center"/>
                </w:tcPr>
                <w:p w14:paraId="5839420C">
                  <w:pPr>
                    <w:spacing w:line="320" w:lineRule="exact"/>
                    <w:jc w:val="center"/>
                    <w:rPr>
                      <w:color w:val="auto"/>
                      <w:szCs w:val="21"/>
                      <w:highlight w:val="none"/>
                    </w:rPr>
                  </w:pPr>
                  <w:r>
                    <w:rPr>
                      <w:rFonts w:hint="eastAsia"/>
                      <w:color w:val="auto"/>
                      <w:szCs w:val="21"/>
                      <w:highlight w:val="none"/>
                    </w:rPr>
                    <w:t>40</w:t>
                  </w:r>
                </w:p>
              </w:tc>
              <w:tc>
                <w:tcPr>
                  <w:tcW w:w="950" w:type="pct"/>
                  <w:noWrap w:val="0"/>
                  <w:vAlign w:val="center"/>
                </w:tcPr>
                <w:p w14:paraId="6ED3D6ED">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40</w:t>
                  </w:r>
                </w:p>
              </w:tc>
            </w:tr>
            <w:tr w14:paraId="516E0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78" w:hRule="exact"/>
              </w:trPr>
              <w:tc>
                <w:tcPr>
                  <w:tcW w:w="694" w:type="pct"/>
                  <w:noWrap w:val="0"/>
                  <w:vAlign w:val="center"/>
                </w:tcPr>
                <w:p w14:paraId="0F883116">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动植物油</w:t>
                  </w:r>
                </w:p>
              </w:tc>
              <w:tc>
                <w:tcPr>
                  <w:tcW w:w="2045" w:type="pct"/>
                  <w:noWrap w:val="0"/>
                  <w:tcMar>
                    <w:left w:w="0" w:type="dxa"/>
                    <w:right w:w="0" w:type="dxa"/>
                  </w:tcMar>
                  <w:vAlign w:val="center"/>
                </w:tcPr>
                <w:p w14:paraId="3780D3E7">
                  <w:pPr>
                    <w:spacing w:line="320" w:lineRule="exact"/>
                    <w:jc w:val="center"/>
                    <w:rPr>
                      <w:color w:val="auto"/>
                      <w:szCs w:val="21"/>
                      <w:highlight w:val="none"/>
                    </w:rPr>
                  </w:pPr>
                  <w:r>
                    <w:rPr>
                      <w:rFonts w:hint="eastAsia"/>
                      <w:color w:val="auto"/>
                      <w:szCs w:val="21"/>
                      <w:highlight w:val="none"/>
                    </w:rPr>
                    <w:t>100</w:t>
                  </w:r>
                </w:p>
              </w:tc>
              <w:tc>
                <w:tcPr>
                  <w:tcW w:w="1309" w:type="pct"/>
                  <w:noWrap w:val="0"/>
                  <w:tcMar>
                    <w:left w:w="0" w:type="dxa"/>
                    <w:right w:w="0" w:type="dxa"/>
                  </w:tcMar>
                  <w:vAlign w:val="center"/>
                </w:tcPr>
                <w:p w14:paraId="1E741600">
                  <w:pPr>
                    <w:spacing w:line="320" w:lineRule="exact"/>
                    <w:jc w:val="center"/>
                    <w:rPr>
                      <w:color w:val="auto"/>
                      <w:szCs w:val="21"/>
                      <w:highlight w:val="none"/>
                    </w:rPr>
                  </w:pPr>
                  <w:r>
                    <w:rPr>
                      <w:rFonts w:hint="eastAsia"/>
                      <w:color w:val="auto"/>
                      <w:szCs w:val="21"/>
                      <w:highlight w:val="none"/>
                    </w:rPr>
                    <w:t>--</w:t>
                  </w:r>
                </w:p>
              </w:tc>
              <w:tc>
                <w:tcPr>
                  <w:tcW w:w="950" w:type="pct"/>
                  <w:noWrap w:val="0"/>
                  <w:vAlign w:val="center"/>
                </w:tcPr>
                <w:p w14:paraId="3B372142">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100</w:t>
                  </w:r>
                </w:p>
              </w:tc>
            </w:tr>
            <w:tr w14:paraId="15C94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86" w:hRule="exact"/>
              </w:trPr>
              <w:tc>
                <w:tcPr>
                  <w:tcW w:w="694" w:type="pct"/>
                  <w:noWrap w:val="0"/>
                  <w:vAlign w:val="center"/>
                </w:tcPr>
                <w:p w14:paraId="29BE5653">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总磷</w:t>
                  </w:r>
                </w:p>
              </w:tc>
              <w:tc>
                <w:tcPr>
                  <w:tcW w:w="2045" w:type="pct"/>
                  <w:noWrap w:val="0"/>
                  <w:tcMar>
                    <w:left w:w="0" w:type="dxa"/>
                    <w:right w:w="0" w:type="dxa"/>
                  </w:tcMar>
                  <w:vAlign w:val="center"/>
                </w:tcPr>
                <w:p w14:paraId="40D87892">
                  <w:pPr>
                    <w:spacing w:line="320" w:lineRule="exact"/>
                    <w:jc w:val="center"/>
                    <w:rPr>
                      <w:color w:val="auto"/>
                      <w:szCs w:val="21"/>
                      <w:highlight w:val="none"/>
                    </w:rPr>
                  </w:pPr>
                  <w:r>
                    <w:rPr>
                      <w:rFonts w:hint="eastAsia"/>
                      <w:color w:val="auto"/>
                      <w:szCs w:val="21"/>
                      <w:highlight w:val="none"/>
                    </w:rPr>
                    <w:t>--</w:t>
                  </w:r>
                </w:p>
              </w:tc>
              <w:tc>
                <w:tcPr>
                  <w:tcW w:w="1309" w:type="pct"/>
                  <w:noWrap w:val="0"/>
                  <w:tcMar>
                    <w:left w:w="0" w:type="dxa"/>
                    <w:right w:w="0" w:type="dxa"/>
                  </w:tcMar>
                  <w:vAlign w:val="center"/>
                </w:tcPr>
                <w:p w14:paraId="658E7C32">
                  <w:pPr>
                    <w:spacing w:line="320" w:lineRule="exact"/>
                    <w:jc w:val="center"/>
                    <w:rPr>
                      <w:color w:val="auto"/>
                      <w:szCs w:val="21"/>
                      <w:highlight w:val="none"/>
                    </w:rPr>
                  </w:pPr>
                  <w:r>
                    <w:rPr>
                      <w:rFonts w:hint="eastAsia"/>
                      <w:color w:val="auto"/>
                      <w:szCs w:val="21"/>
                      <w:highlight w:val="none"/>
                    </w:rPr>
                    <w:t>5</w:t>
                  </w:r>
                </w:p>
              </w:tc>
              <w:tc>
                <w:tcPr>
                  <w:tcW w:w="950" w:type="pct"/>
                  <w:noWrap w:val="0"/>
                  <w:vAlign w:val="center"/>
                </w:tcPr>
                <w:p w14:paraId="1ED2B0B0">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5</w:t>
                  </w:r>
                </w:p>
              </w:tc>
            </w:tr>
            <w:tr w14:paraId="0F0DD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96" w:hRule="exact"/>
              </w:trPr>
              <w:tc>
                <w:tcPr>
                  <w:tcW w:w="694" w:type="pct"/>
                  <w:noWrap w:val="0"/>
                  <w:vAlign w:val="center"/>
                </w:tcPr>
                <w:p w14:paraId="18EDDF16">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石油类</w:t>
                  </w:r>
                </w:p>
              </w:tc>
              <w:tc>
                <w:tcPr>
                  <w:tcW w:w="2045" w:type="pct"/>
                  <w:noWrap w:val="0"/>
                  <w:tcMar>
                    <w:left w:w="0" w:type="dxa"/>
                    <w:right w:w="0" w:type="dxa"/>
                  </w:tcMar>
                  <w:vAlign w:val="center"/>
                </w:tcPr>
                <w:p w14:paraId="74B609C5">
                  <w:pPr>
                    <w:spacing w:line="320" w:lineRule="exact"/>
                    <w:jc w:val="center"/>
                    <w:rPr>
                      <w:color w:val="auto"/>
                      <w:szCs w:val="21"/>
                      <w:highlight w:val="none"/>
                    </w:rPr>
                  </w:pPr>
                  <w:r>
                    <w:rPr>
                      <w:rFonts w:hint="eastAsia"/>
                      <w:color w:val="auto"/>
                      <w:szCs w:val="21"/>
                      <w:highlight w:val="none"/>
                    </w:rPr>
                    <w:t>20</w:t>
                  </w:r>
                </w:p>
              </w:tc>
              <w:tc>
                <w:tcPr>
                  <w:tcW w:w="1309" w:type="pct"/>
                  <w:noWrap w:val="0"/>
                  <w:tcMar>
                    <w:left w:w="0" w:type="dxa"/>
                    <w:right w:w="0" w:type="dxa"/>
                  </w:tcMar>
                  <w:vAlign w:val="center"/>
                </w:tcPr>
                <w:p w14:paraId="542EB319">
                  <w:pPr>
                    <w:spacing w:line="320" w:lineRule="exact"/>
                    <w:jc w:val="center"/>
                    <w:rPr>
                      <w:color w:val="auto"/>
                      <w:szCs w:val="21"/>
                      <w:highlight w:val="none"/>
                    </w:rPr>
                  </w:pPr>
                  <w:r>
                    <w:rPr>
                      <w:rFonts w:hint="eastAsia"/>
                      <w:color w:val="auto"/>
                      <w:szCs w:val="21"/>
                      <w:highlight w:val="none"/>
                    </w:rPr>
                    <w:t>--</w:t>
                  </w:r>
                </w:p>
              </w:tc>
              <w:tc>
                <w:tcPr>
                  <w:tcW w:w="950" w:type="pct"/>
                  <w:noWrap w:val="0"/>
                  <w:vAlign w:val="center"/>
                </w:tcPr>
                <w:p w14:paraId="0D76FC7E">
                  <w:pPr>
                    <w:pStyle w:val="113"/>
                    <w:widowControl/>
                    <w:spacing w:line="230" w:lineRule="exact"/>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20</w:t>
                  </w:r>
                </w:p>
              </w:tc>
            </w:tr>
          </w:tbl>
          <w:p w14:paraId="45455319">
            <w:pPr>
              <w:pStyle w:val="6"/>
              <w:spacing w:line="360" w:lineRule="auto"/>
              <w:ind w:left="0" w:leftChars="0" w:firstLine="240" w:firstLineChars="100"/>
              <w:jc w:val="left"/>
              <w:rPr>
                <w:rFonts w:hint="eastAsia" w:ascii="Times New Roman" w:hAnsi="Times New Roman" w:eastAsia="宋体" w:cs="Times New Roman"/>
                <w:color w:val="auto"/>
                <w:sz w:val="24"/>
                <w:szCs w:val="24"/>
                <w:highlight w:val="none"/>
                <w:lang w:val="en-US" w:eastAsia="zh-CN"/>
              </w:rPr>
            </w:pPr>
          </w:p>
          <w:p w14:paraId="5A84983D">
            <w:pPr>
              <w:pStyle w:val="6"/>
              <w:spacing w:line="360" w:lineRule="auto"/>
              <w:ind w:left="0" w:leftChars="0" w:firstLine="240" w:firstLineChars="100"/>
              <w:jc w:val="both"/>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3噪声：</w:t>
            </w:r>
            <w:r>
              <w:rPr>
                <w:rFonts w:hint="eastAsia" w:cs="Times New Roman"/>
                <w:color w:val="000000" w:themeColor="text1"/>
                <w:sz w:val="24"/>
                <w:szCs w:val="24"/>
                <w:highlight w:val="none"/>
                <w:lang w:val="en-US" w:eastAsia="zh-CN"/>
                <w14:textFill>
                  <w14:solidFill>
                    <w14:schemeClr w14:val="tx1"/>
                  </w14:solidFill>
                </w14:textFill>
              </w:rPr>
              <w:t>北侧西侧</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厂界噪声执行《工业企业厂界环境噪声排放标准》（GB12348-2008）3类</w:t>
            </w:r>
            <w:r>
              <w:rPr>
                <w:rFonts w:hint="eastAsia" w:cs="Times New Roman"/>
                <w:color w:val="000000" w:themeColor="text1"/>
                <w:sz w:val="24"/>
                <w:szCs w:val="24"/>
                <w:highlight w:val="none"/>
                <w:lang w:val="en-US" w:eastAsia="zh-CN"/>
                <w14:textFill>
                  <w14:solidFill>
                    <w14:schemeClr w14:val="tx1"/>
                  </w14:solidFill>
                </w14:textFill>
              </w:rPr>
              <w:t>声功能区</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标准</w:t>
            </w:r>
            <w:r>
              <w:rPr>
                <w:rFonts w:hint="eastAsia" w:cs="Times New Roman"/>
                <w:color w:val="000000" w:themeColor="text1"/>
                <w:sz w:val="24"/>
                <w:szCs w:val="24"/>
                <w:highlight w:val="none"/>
                <w:lang w:val="en-US" w:eastAsia="zh-CN"/>
                <w14:textFill>
                  <w14:solidFill>
                    <w14:schemeClr w14:val="tx1"/>
                  </w14:solidFill>
                </w14:textFill>
              </w:rPr>
              <w:t>；南侧东侧厂界执行《工业企业厂界环境噪声排放标准》（GB12348-2008）4类声功能区标准。</w:t>
            </w:r>
          </w:p>
          <w:p w14:paraId="5AF7FF69">
            <w:pPr>
              <w:pStyle w:val="6"/>
              <w:spacing w:line="360" w:lineRule="auto"/>
              <w:ind w:left="0" w:leftChars="0" w:firstLine="240" w:firstLineChars="100"/>
              <w:jc w:val="left"/>
              <w:rPr>
                <w:color w:val="auto"/>
                <w:kern w:val="0"/>
                <w:szCs w:val="21"/>
                <w:highlight w:val="none"/>
              </w:rPr>
            </w:pPr>
            <w:r>
              <w:rPr>
                <w:rFonts w:hint="eastAsia" w:ascii="Times New Roman" w:hAnsi="Times New Roman" w:eastAsia="宋体" w:cs="Times New Roman"/>
                <w:color w:val="auto"/>
                <w:sz w:val="24"/>
                <w:szCs w:val="24"/>
                <w:highlight w:val="none"/>
                <w:lang w:val="en-US" w:eastAsia="zh-CN"/>
              </w:rPr>
              <w:t>4固废：一般工业固废处置参照执行《一般工业固体废物贮存和填埋污染控制标准》（GB18599-2020）相关标准要求。危险废物执行《危险废物贮存污染控制标准》(GB18597-2023)相关规定要求。</w:t>
            </w:r>
          </w:p>
        </w:tc>
      </w:tr>
      <w:tr w14:paraId="4EB264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3" w:type="dxa"/>
            <w:tcBorders>
              <w:top w:val="single" w:color="auto" w:sz="8" w:space="0"/>
              <w:bottom w:val="single" w:color="auto" w:sz="8" w:space="0"/>
              <w:right w:val="single" w:color="000000" w:sz="4" w:space="0"/>
            </w:tcBorders>
            <w:noWrap w:val="0"/>
            <w:vAlign w:val="center"/>
          </w:tcPr>
          <w:p w14:paraId="2F676E87">
            <w:pPr>
              <w:adjustRightInd w:val="0"/>
              <w:snapToGrid w:val="0"/>
              <w:jc w:val="center"/>
              <w:rPr>
                <w:color w:val="000000" w:themeColor="text1"/>
                <w:kern w:val="0"/>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总量控制</w:t>
            </w:r>
          </w:p>
          <w:p w14:paraId="64FF9331">
            <w:pPr>
              <w:adjustRightInd w:val="0"/>
              <w:snapToGrid w:val="0"/>
              <w:jc w:val="center"/>
              <w:rPr>
                <w:color w:val="FF0000"/>
                <w:kern w:val="0"/>
                <w:sz w:val="24"/>
                <w:highlight w:val="none"/>
              </w:rPr>
            </w:pPr>
            <w:r>
              <w:rPr>
                <w:color w:val="000000" w:themeColor="text1"/>
                <w:kern w:val="0"/>
                <w:sz w:val="24"/>
                <w:highlight w:val="none"/>
                <w14:textFill>
                  <w14:solidFill>
                    <w14:schemeClr w14:val="tx1"/>
                  </w14:solidFill>
                </w14:textFill>
              </w:rPr>
              <w:t>指标</w:t>
            </w:r>
          </w:p>
        </w:tc>
        <w:tc>
          <w:tcPr>
            <w:tcW w:w="8528" w:type="dxa"/>
            <w:tcBorders>
              <w:top w:val="single" w:color="auto" w:sz="8" w:space="0"/>
              <w:left w:val="single" w:color="000000" w:sz="4" w:space="0"/>
              <w:bottom w:val="single" w:color="auto" w:sz="8" w:space="0"/>
              <w:right w:val="single" w:color="auto" w:sz="8" w:space="0"/>
            </w:tcBorders>
            <w:noWrap w:val="0"/>
            <w:vAlign w:val="center"/>
          </w:tcPr>
          <w:p w14:paraId="7BDB1766">
            <w:pPr>
              <w:pStyle w:val="13"/>
              <w:keepNext w:val="0"/>
              <w:keepLines w:val="0"/>
              <w:pageBreakBefore w:val="0"/>
              <w:numPr>
                <w:ilvl w:val="0"/>
                <w:numId w:val="0"/>
              </w:numPr>
              <w:kinsoku/>
              <w:wordWrap/>
              <w:overflowPunct/>
              <w:topLinePunct w:val="0"/>
              <w:bidi w:val="0"/>
              <w:adjustRightInd/>
              <w:spacing w:before="0" w:after="0" w:line="360" w:lineRule="auto"/>
              <w:ind w:leftChars="0" w:right="0" w:rightChars="0"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1、现有项目批复及许可总量指标</w:t>
            </w:r>
          </w:p>
          <w:p w14:paraId="5A1AD13C">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cs="Times New Roman"/>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该公司</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年产5400吨汽车制动鼓、制动盘精密铸造项目</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环境影响评价报告表》</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于2022年08月24日</w:t>
            </w:r>
            <w:r>
              <w:rPr>
                <w:rFonts w:hint="eastAsia" w:cs="Times New Roman"/>
                <w:color w:val="000000" w:themeColor="text1"/>
                <w:kern w:val="0"/>
                <w:sz w:val="24"/>
                <w:szCs w:val="24"/>
                <w:highlight w:val="none"/>
                <w:lang w:val="en-US" w:eastAsia="zh-CN" w:bidi="ar-SA"/>
                <w14:textFill>
                  <w14:solidFill>
                    <w14:schemeClr w14:val="tx1"/>
                  </w14:solidFill>
                </w14:textFill>
              </w:rPr>
              <w:t>取</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得行唐县行政审批局批复，</w:t>
            </w:r>
            <w:r>
              <w:rPr>
                <w:rFonts w:hint="eastAsia" w:cs="Times New Roman"/>
                <w:color w:val="000000" w:themeColor="text1"/>
                <w:kern w:val="0"/>
                <w:sz w:val="24"/>
                <w:szCs w:val="24"/>
                <w:highlight w:val="none"/>
                <w:lang w:val="en-US" w:eastAsia="zh-CN" w:bidi="ar-SA"/>
                <w14:textFill>
                  <w14:solidFill>
                    <w14:schemeClr w14:val="tx1"/>
                  </w14:solidFill>
                </w14:textFill>
              </w:rPr>
              <w:t>编号：</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行审环表[2022]28号</w:t>
            </w:r>
            <w:r>
              <w:rPr>
                <w:rFonts w:hint="eastAsia" w:cs="Times New Roman"/>
                <w:color w:val="000000" w:themeColor="text1"/>
                <w:kern w:val="0"/>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《年产5400吨汽车制动鼓制动盘喷漆线技改项目》</w:t>
            </w:r>
            <w:r>
              <w:rPr>
                <w:rFonts w:hint="eastAsia" w:cs="Times New Roman"/>
                <w:color w:val="000000" w:themeColor="text1"/>
                <w:kern w:val="0"/>
                <w:sz w:val="24"/>
                <w:szCs w:val="24"/>
                <w:highlight w:val="none"/>
                <w:lang w:val="en-US" w:eastAsia="zh-CN" w:bidi="ar-SA"/>
                <w14:textFill>
                  <w14:solidFill>
                    <w14:schemeClr w14:val="tx1"/>
                  </w14:solidFill>
                </w14:textFill>
              </w:rPr>
              <w:t>于2023年9月27日取得</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批复</w:t>
            </w:r>
            <w:r>
              <w:rPr>
                <w:rFonts w:hint="eastAsia" w:cs="Times New Roman"/>
                <w:color w:val="000000" w:themeColor="text1"/>
                <w:kern w:val="0"/>
                <w:sz w:val="24"/>
                <w:szCs w:val="24"/>
                <w:highlight w:val="none"/>
                <w:lang w:val="en-US" w:eastAsia="zh-CN" w:bidi="ar-SA"/>
                <w14:textFill>
                  <w14:solidFill>
                    <w14:schemeClr w14:val="tx1"/>
                  </w14:solidFill>
                </w14:textFill>
              </w:rPr>
              <w:t>，编号：</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行审环表[202</w:t>
            </w:r>
            <w:r>
              <w:rPr>
                <w:rFonts w:hint="eastAsia" w:cs="Times New Roman"/>
                <w:color w:val="000000" w:themeColor="text1"/>
                <w:kern w:val="0"/>
                <w:sz w:val="24"/>
                <w:szCs w:val="24"/>
                <w:highlight w:val="none"/>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cs="Times New Roman"/>
                <w:color w:val="000000" w:themeColor="text1"/>
                <w:kern w:val="0"/>
                <w:sz w:val="24"/>
                <w:szCs w:val="24"/>
                <w:highlight w:val="none"/>
                <w:lang w:val="en-US" w:eastAsia="zh-CN" w:bidi="ar-SA"/>
                <w14:textFill>
                  <w14:solidFill>
                    <w14:schemeClr w14:val="tx1"/>
                  </w14:solidFill>
                </w14:textFill>
              </w:rPr>
              <w:t>16号。</w:t>
            </w:r>
          </w:p>
          <w:p w14:paraId="308359C2">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s="Times New Roman"/>
                <w:color w:val="000000" w:themeColor="text1"/>
                <w:kern w:val="0"/>
                <w:sz w:val="24"/>
                <w:szCs w:val="24"/>
                <w:highlight w:val="none"/>
                <w:lang w:val="en-US" w:eastAsia="zh-CN" w:bidi="ar-SA"/>
                <w14:textFill>
                  <w14:solidFill>
                    <w14:schemeClr w14:val="tx1"/>
                  </w14:solidFill>
                </w14:textFill>
              </w:rPr>
              <w:t>依据批复及总量交易，企业现有</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总量控制指标为：COD：</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0.512</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t/a；NH</w:t>
            </w:r>
            <w:r>
              <w:rPr>
                <w:rFonts w:hint="default" w:ascii="Times New Roman" w:hAnsi="Times New Roman" w:eastAsia="宋体" w:cs="Times New Roman"/>
                <w:color w:val="000000" w:themeColor="text1"/>
                <w:kern w:val="0"/>
                <w:sz w:val="24"/>
                <w:szCs w:val="24"/>
                <w:highlight w:val="none"/>
                <w:vertAlign w:val="subscript"/>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-N：</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0.045</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t/a；SO</w:t>
            </w:r>
            <w:r>
              <w:rPr>
                <w:rFonts w:hint="default" w:ascii="Times New Roman" w:hAnsi="Times New Roman" w:eastAsia="宋体" w:cs="Times New Roman"/>
                <w:color w:val="000000" w:themeColor="text1"/>
                <w:kern w:val="0"/>
                <w:sz w:val="24"/>
                <w:szCs w:val="24"/>
                <w:highlight w:val="none"/>
                <w:vertAlign w:val="subscript"/>
                <w:lang w:val="en-US" w:eastAsia="zh-CN" w:bidi="ar-SA"/>
                <w14:textFill>
                  <w14:solidFill>
                    <w14:schemeClr w14:val="tx1"/>
                  </w14:solidFill>
                </w14:textFill>
              </w:rPr>
              <w:t>2</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0.312</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NO</w:t>
            </w:r>
            <w:r>
              <w:rPr>
                <w:rFonts w:hint="default" w:ascii="Times New Roman" w:hAnsi="Times New Roman" w:eastAsia="宋体" w:cs="Times New Roman"/>
                <w:color w:val="000000" w:themeColor="text1"/>
                <w:kern w:val="0"/>
                <w:sz w:val="24"/>
                <w:szCs w:val="24"/>
                <w:highlight w:val="none"/>
                <w:vertAlign w:val="subscript"/>
                <w:lang w:val="en-US" w:eastAsia="zh-CN" w:bidi="ar-SA"/>
                <w14:textFill>
                  <w14:solidFill>
                    <w14:schemeClr w14:val="tx1"/>
                  </w14:solidFill>
                </w14:textFill>
              </w:rPr>
              <w:t>X</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0.936</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颗粒物：</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4.725</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；VOC</w:t>
            </w:r>
            <w:r>
              <w:rPr>
                <w:rFonts w:hint="eastAsia" w:ascii="Times New Roman" w:hAnsi="Times New Roman" w:eastAsia="宋体" w:cs="Times New Roman"/>
                <w:color w:val="000000" w:themeColor="text1"/>
                <w:kern w:val="0"/>
                <w:sz w:val="24"/>
                <w:szCs w:val="24"/>
                <w:highlight w:val="none"/>
                <w:vertAlign w:val="subscript"/>
                <w:lang w:val="en-US" w:eastAsia="zh-CN" w:bidi="ar-SA"/>
                <w14:textFill>
                  <w14:solidFill>
                    <w14:schemeClr w14:val="tx1"/>
                  </w14:solidFill>
                </w14:textFill>
              </w:rPr>
              <w:t>S</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（非甲烷总烃）</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w:t>
            </w:r>
            <w: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0.052</w:t>
            </w:r>
            <w:r>
              <w:rPr>
                <w:rFonts w:hint="default"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t>t/a。</w:t>
            </w:r>
          </w:p>
          <w:p w14:paraId="391EC980">
            <w:pPr>
              <w:pStyle w:val="13"/>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right="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2、技改项目总量指标</w:t>
            </w:r>
          </w:p>
          <w:p w14:paraId="1FBC07D2">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（1）技改项目不涉及废气排放；技改清洗废水经油水分离、过滤、絮凝沉淀处理后进入排入园区管网，最终进入行唐县第二污水处理厂进行深度处理。废水排放量增加0.05m</w:t>
            </w:r>
            <w:r>
              <w:rPr>
                <w:rFonts w:hint="eastAsia"/>
                <w:color w:val="000000" w:themeColor="text1"/>
                <w:sz w:val="24"/>
                <w:szCs w:val="24"/>
                <w:highlight w:val="none"/>
                <w:vertAlign w:val="superscript"/>
                <w:lang w:val="en-US" w:eastAsia="zh-CN"/>
                <w14:textFill>
                  <w14:solidFill>
                    <w14:schemeClr w14:val="tx1"/>
                  </w14:solidFill>
                </w14:textFill>
              </w:rPr>
              <w:t>3</w:t>
            </w:r>
            <w:r>
              <w:rPr>
                <w:rFonts w:hint="eastAsia"/>
                <w:color w:val="000000" w:themeColor="text1"/>
                <w:sz w:val="24"/>
                <w:szCs w:val="24"/>
                <w:highlight w:val="none"/>
                <w:lang w:val="en-US" w:eastAsia="zh-CN"/>
                <w14:textFill>
                  <w14:solidFill>
                    <w14:schemeClr w14:val="tx1"/>
                  </w14:solidFill>
                </w14:textFill>
              </w:rPr>
              <w:t>/d、15m</w:t>
            </w:r>
            <w:r>
              <w:rPr>
                <w:rFonts w:hint="eastAsia"/>
                <w:color w:val="000000" w:themeColor="text1"/>
                <w:sz w:val="24"/>
                <w:szCs w:val="24"/>
                <w:highlight w:val="none"/>
                <w:vertAlign w:val="superscript"/>
                <w:lang w:val="en-US" w:eastAsia="zh-CN"/>
                <w14:textFill>
                  <w14:solidFill>
                    <w14:schemeClr w14:val="tx1"/>
                  </w14:solidFill>
                </w14:textFill>
              </w:rPr>
              <w:t>3</w:t>
            </w:r>
            <w:r>
              <w:rPr>
                <w:rFonts w:hint="eastAsia"/>
                <w:color w:val="000000" w:themeColor="text1"/>
                <w:sz w:val="24"/>
                <w:szCs w:val="24"/>
                <w:highlight w:val="none"/>
                <w:lang w:val="en-US" w:eastAsia="zh-CN"/>
                <w14:textFill>
                  <w14:solidFill>
                    <w14:schemeClr w14:val="tx1"/>
                  </w14:solidFill>
                </w14:textFill>
              </w:rPr>
              <w:t>/a。达标排放总量计算如下：</w:t>
            </w:r>
          </w:p>
          <w:p w14:paraId="1F21C880">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污染物达标排放量=排放标准限值×年排放废水量</w:t>
            </w:r>
          </w:p>
          <w:p w14:paraId="71BCF960">
            <w:pPr>
              <w:pStyle w:val="13"/>
              <w:numPr>
                <w:ilvl w:val="0"/>
                <w:numId w:val="0"/>
              </w:numPr>
              <w:adjustRightInd/>
              <w:spacing w:before="0" w:after="0" w:line="360" w:lineRule="auto"/>
              <w:ind w:right="0" w:firstLine="720" w:firstLineChars="3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COD：450mg/L×15m³/ a×10</w:t>
            </w:r>
            <w:r>
              <w:rPr>
                <w:rFonts w:hint="eastAsia"/>
                <w:color w:val="000000" w:themeColor="text1"/>
                <w:sz w:val="24"/>
                <w:szCs w:val="24"/>
                <w:highlight w:val="none"/>
                <w:vertAlign w:val="superscript"/>
                <w:lang w:val="en-US" w:eastAsia="zh-CN"/>
                <w14:textFill>
                  <w14:solidFill>
                    <w14:schemeClr w14:val="tx1"/>
                  </w14:solidFill>
                </w14:textFill>
              </w:rPr>
              <w:t>-6</w:t>
            </w:r>
            <w:r>
              <w:rPr>
                <w:rFonts w:hint="eastAsia"/>
                <w:color w:val="000000" w:themeColor="text1"/>
                <w:sz w:val="24"/>
                <w:szCs w:val="24"/>
                <w:highlight w:val="none"/>
                <w:lang w:val="en-US" w:eastAsia="zh-CN"/>
                <w14:textFill>
                  <w14:solidFill>
                    <w14:schemeClr w14:val="tx1"/>
                  </w14:solidFill>
                </w14:textFill>
              </w:rPr>
              <w:t>=0.00675t/a≈0.007t/a</w:t>
            </w:r>
          </w:p>
          <w:p w14:paraId="41AC2628">
            <w:pPr>
              <w:pStyle w:val="13"/>
              <w:numPr>
                <w:ilvl w:val="0"/>
                <w:numId w:val="0"/>
              </w:numPr>
              <w:adjustRightInd/>
              <w:spacing w:before="0" w:after="0" w:line="360" w:lineRule="auto"/>
              <w:ind w:right="0" w:firstLine="720" w:firstLineChars="3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NH</w:t>
            </w:r>
            <w:r>
              <w:rPr>
                <w:rFonts w:hint="eastAsia"/>
                <w:color w:val="000000" w:themeColor="text1"/>
                <w:sz w:val="24"/>
                <w:szCs w:val="24"/>
                <w:highlight w:val="none"/>
                <w:vertAlign w:val="subscript"/>
                <w:lang w:val="en-US" w:eastAsia="zh-CN"/>
                <w14:textFill>
                  <w14:solidFill>
                    <w14:schemeClr w14:val="tx1"/>
                  </w14:solidFill>
                </w14:textFill>
              </w:rPr>
              <w:t>3</w:t>
            </w:r>
            <w:r>
              <w:rPr>
                <w:rFonts w:hint="eastAsia"/>
                <w:color w:val="000000" w:themeColor="text1"/>
                <w:sz w:val="24"/>
                <w:szCs w:val="24"/>
                <w:highlight w:val="none"/>
                <w:lang w:val="en-US" w:eastAsia="zh-CN"/>
                <w14:textFill>
                  <w14:solidFill>
                    <w14:schemeClr w14:val="tx1"/>
                  </w14:solidFill>
                </w14:textFill>
              </w:rPr>
              <w:t>-N：40mg/L×15m³/ a×10</w:t>
            </w:r>
            <w:r>
              <w:rPr>
                <w:rFonts w:hint="eastAsia"/>
                <w:color w:val="000000" w:themeColor="text1"/>
                <w:sz w:val="24"/>
                <w:szCs w:val="24"/>
                <w:highlight w:val="none"/>
                <w:vertAlign w:val="superscript"/>
                <w:lang w:val="en-US" w:eastAsia="zh-CN"/>
                <w14:textFill>
                  <w14:solidFill>
                    <w14:schemeClr w14:val="tx1"/>
                  </w14:solidFill>
                </w14:textFill>
              </w:rPr>
              <w:t>-6</w:t>
            </w:r>
            <w:r>
              <w:rPr>
                <w:rFonts w:hint="eastAsia"/>
                <w:color w:val="000000" w:themeColor="text1"/>
                <w:sz w:val="24"/>
                <w:szCs w:val="24"/>
                <w:highlight w:val="none"/>
                <w:lang w:val="en-US" w:eastAsia="zh-CN"/>
                <w14:textFill>
                  <w14:solidFill>
                    <w14:schemeClr w14:val="tx1"/>
                  </w14:solidFill>
                </w14:textFill>
              </w:rPr>
              <w:t>=0.0006t/a≈0.001t/a</w:t>
            </w:r>
          </w:p>
          <w:p w14:paraId="64505615">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（2）确权交易量</w:t>
            </w:r>
          </w:p>
          <w:p w14:paraId="790358D0">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bookmarkStart w:id="12" w:name="OLE_LINK103"/>
            <w:r>
              <w:rPr>
                <w:rFonts w:hint="eastAsia"/>
                <w:color w:val="000000" w:themeColor="text1"/>
                <w:sz w:val="24"/>
                <w:szCs w:val="24"/>
                <w:highlight w:val="none"/>
                <w:lang w:val="en-US" w:eastAsia="zh-CN"/>
                <w14:textFill>
                  <w14:solidFill>
                    <w14:schemeClr w14:val="tx1"/>
                  </w14:solidFill>
                </w14:textFill>
              </w:rPr>
              <w:t>技改项目清洗废水通过园区管网排入行唐县第二污水处理厂处理后再排入行唐县玉城污水处理厂</w:t>
            </w:r>
            <w:bookmarkEnd w:id="12"/>
            <w:r>
              <w:rPr>
                <w:rFonts w:hint="eastAsia"/>
                <w:color w:val="000000" w:themeColor="text1"/>
                <w:sz w:val="24"/>
                <w:szCs w:val="24"/>
                <w:highlight w:val="none"/>
                <w:lang w:val="en-US" w:eastAsia="zh-CN"/>
                <w14:textFill>
                  <w14:solidFill>
                    <w14:schemeClr w14:val="tx1"/>
                  </w14:solidFill>
                </w14:textFill>
              </w:rPr>
              <w:t>，玉城污水处理厂出水执行《大清河流域水污染物排放标准》（DB13/2795-2018）重点控制区排放限值，即COD和氨氮排放浓度限值分别为30mg/L和1.5。外排废水总量控制指标计算结果如下：</w:t>
            </w:r>
          </w:p>
          <w:p w14:paraId="10732711">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污染物确权交易量(t/a)=污染物浓度（mg/L）×废水量（m</w:t>
            </w:r>
            <w:r>
              <w:rPr>
                <w:rFonts w:hint="eastAsia"/>
                <w:color w:val="000000" w:themeColor="text1"/>
                <w:sz w:val="24"/>
                <w:szCs w:val="24"/>
                <w:highlight w:val="none"/>
                <w:vertAlign w:val="superscript"/>
                <w:lang w:val="en-US" w:eastAsia="zh-CN"/>
                <w14:textFill>
                  <w14:solidFill>
                    <w14:schemeClr w14:val="tx1"/>
                  </w14:solidFill>
                </w14:textFill>
              </w:rPr>
              <w:t>3</w:t>
            </w:r>
            <w:r>
              <w:rPr>
                <w:rFonts w:hint="eastAsia"/>
                <w:color w:val="000000" w:themeColor="text1"/>
                <w:sz w:val="24"/>
                <w:szCs w:val="24"/>
                <w:highlight w:val="none"/>
                <w:lang w:val="en-US" w:eastAsia="zh-CN"/>
                <w14:textFill>
                  <w14:solidFill>
                    <w14:schemeClr w14:val="tx1"/>
                  </w14:solidFill>
                </w14:textFill>
              </w:rPr>
              <w:t>/a）×10</w:t>
            </w:r>
            <w:r>
              <w:rPr>
                <w:rFonts w:hint="eastAsia"/>
                <w:color w:val="000000" w:themeColor="text1"/>
                <w:sz w:val="24"/>
                <w:szCs w:val="24"/>
                <w:highlight w:val="none"/>
                <w:vertAlign w:val="superscript"/>
                <w:lang w:val="en-US" w:eastAsia="zh-CN"/>
                <w14:textFill>
                  <w14:solidFill>
                    <w14:schemeClr w14:val="tx1"/>
                  </w14:solidFill>
                </w14:textFill>
              </w:rPr>
              <w:t>-6</w:t>
            </w:r>
          </w:p>
          <w:p w14:paraId="2CAE6243">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COD排放总量(t/a)=30mg/L×15m³/ a×10</w:t>
            </w:r>
            <w:r>
              <w:rPr>
                <w:rFonts w:hint="eastAsia"/>
                <w:color w:val="000000" w:themeColor="text1"/>
                <w:sz w:val="24"/>
                <w:szCs w:val="24"/>
                <w:highlight w:val="none"/>
                <w:vertAlign w:val="superscript"/>
                <w:lang w:val="en-US" w:eastAsia="zh-CN"/>
                <w14:textFill>
                  <w14:solidFill>
                    <w14:schemeClr w14:val="tx1"/>
                  </w14:solidFill>
                </w14:textFill>
              </w:rPr>
              <w:t>-6</w:t>
            </w:r>
            <w:r>
              <w:rPr>
                <w:rFonts w:hint="eastAsia"/>
                <w:color w:val="000000" w:themeColor="text1"/>
                <w:sz w:val="24"/>
                <w:szCs w:val="24"/>
                <w:highlight w:val="none"/>
                <w:lang w:val="en-US" w:eastAsia="zh-CN"/>
                <w14:textFill>
                  <w14:solidFill>
                    <w14:schemeClr w14:val="tx1"/>
                  </w14:solidFill>
                </w14:textFill>
              </w:rPr>
              <w:t>=0.00045t/a≈0.000t/a</w:t>
            </w:r>
          </w:p>
          <w:p w14:paraId="38FC68D3">
            <w:pPr>
              <w:pStyle w:val="13"/>
              <w:numPr>
                <w:ilvl w:val="0"/>
                <w:numId w:val="0"/>
              </w:numPr>
              <w:adjustRightInd/>
              <w:spacing w:before="0" w:after="0" w:line="360" w:lineRule="auto"/>
              <w:ind w:right="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氨氮排放总量(t/a)=1.5mg/L×15m³/ a×10</w:t>
            </w:r>
            <w:r>
              <w:rPr>
                <w:rFonts w:hint="eastAsia"/>
                <w:color w:val="000000" w:themeColor="text1"/>
                <w:sz w:val="24"/>
                <w:szCs w:val="24"/>
                <w:highlight w:val="none"/>
                <w:vertAlign w:val="superscript"/>
                <w:lang w:val="en-US" w:eastAsia="zh-CN"/>
                <w14:textFill>
                  <w14:solidFill>
                    <w14:schemeClr w14:val="tx1"/>
                  </w14:solidFill>
                </w14:textFill>
              </w:rPr>
              <w:t>-6</w:t>
            </w:r>
            <w:r>
              <w:rPr>
                <w:rFonts w:hint="eastAsia"/>
                <w:color w:val="000000" w:themeColor="text1"/>
                <w:sz w:val="24"/>
                <w:szCs w:val="24"/>
                <w:highlight w:val="none"/>
                <w:lang w:val="en-US" w:eastAsia="zh-CN"/>
                <w14:textFill>
                  <w14:solidFill>
                    <w14:schemeClr w14:val="tx1"/>
                  </w14:solidFill>
                </w14:textFill>
              </w:rPr>
              <w:t>=0.0000225t/a≈0.000t/a</w:t>
            </w:r>
          </w:p>
          <w:p w14:paraId="3CFAA748">
            <w:pPr>
              <w:pStyle w:val="13"/>
              <w:numPr>
                <w:ilvl w:val="0"/>
                <w:numId w:val="0"/>
              </w:numPr>
              <w:adjustRightInd/>
              <w:spacing w:before="0" w:after="0" w:line="360" w:lineRule="auto"/>
              <w:ind w:right="0" w:firstLine="480" w:firstLineChars="200"/>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3、</w:t>
            </w:r>
            <w:r>
              <w:rPr>
                <w:rFonts w:hint="eastAsia" w:cs="Times New Roman"/>
                <w:color w:val="000000" w:themeColor="text1"/>
                <w:sz w:val="24"/>
                <w:szCs w:val="24"/>
                <w:highlight w:val="none"/>
                <w:lang w:val="en-US" w:eastAsia="zh-CN"/>
                <w14:textFill>
                  <w14:solidFill>
                    <w14:schemeClr w14:val="tx1"/>
                  </w14:solidFill>
                </w14:textFill>
              </w:rPr>
              <w:t>技改完成后</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总量指标</w:t>
            </w:r>
          </w:p>
          <w:p w14:paraId="68E01950">
            <w:pPr>
              <w:pStyle w:val="13"/>
              <w:numPr>
                <w:ilvl w:val="0"/>
                <w:numId w:val="0"/>
              </w:numPr>
              <w:adjustRightInd/>
              <w:spacing w:before="0" w:after="0" w:line="360" w:lineRule="auto"/>
              <w:ind w:right="0" w:firstLine="480" w:firstLineChars="200"/>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cs="Times New Roman"/>
                <w:color w:val="000000" w:themeColor="text1"/>
                <w:sz w:val="24"/>
                <w:szCs w:val="24"/>
                <w:highlight w:val="none"/>
                <w:lang w:val="en-US" w:eastAsia="zh-CN"/>
                <w14:textFill>
                  <w14:solidFill>
                    <w14:schemeClr w14:val="tx1"/>
                  </w14:solidFill>
                </w14:textFill>
              </w:rPr>
              <w:t>本次</w:t>
            </w: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技改项目</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完成后，公司总量指标变化情况见下表。</w:t>
            </w:r>
          </w:p>
          <w:p w14:paraId="5CC98F57">
            <w:pPr>
              <w:pStyle w:val="14"/>
              <w:numPr>
                <w:ilvl w:val="0"/>
                <w:numId w:val="0"/>
              </w:numPr>
              <w:jc w:val="cente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表3-</w:t>
            </w:r>
            <w:r>
              <w:rPr>
                <w:rFonts w:hint="eastAsia" w:cs="Times New Roman"/>
                <w:b/>
                <w:bCs/>
                <w:color w:val="000000" w:themeColor="text1"/>
                <w:sz w:val="24"/>
                <w:szCs w:val="24"/>
                <w:highlight w:val="none"/>
                <w:lang w:val="en-US" w:eastAsia="zh-CN"/>
                <w14:textFill>
                  <w14:solidFill>
                    <w14:schemeClr w14:val="tx1"/>
                  </w14:solidFill>
                </w14:textFill>
              </w:rPr>
              <w:t>7</w:t>
            </w: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 xml:space="preserve">  总量指标变化表</w:t>
            </w:r>
          </w:p>
          <w:tbl>
            <w:tblPr>
              <w:tblStyle w:val="3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4"/>
              <w:gridCol w:w="1476"/>
              <w:gridCol w:w="1215"/>
              <w:gridCol w:w="1416"/>
              <w:gridCol w:w="1491"/>
              <w:gridCol w:w="1342"/>
            </w:tblGrid>
            <w:tr w14:paraId="28D2F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856" w:type="pct"/>
                  <w:noWrap w:val="0"/>
                  <w:vAlign w:val="center"/>
                </w:tcPr>
                <w:p w14:paraId="7AEE5CDF">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污染物类型</w:t>
                  </w:r>
                </w:p>
              </w:tc>
              <w:tc>
                <w:tcPr>
                  <w:tcW w:w="881" w:type="pct"/>
                  <w:noWrap w:val="0"/>
                  <w:vAlign w:val="center"/>
                </w:tcPr>
                <w:p w14:paraId="2996B8B9">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现有项目总量指标</w:t>
                  </w:r>
                </w:p>
              </w:tc>
              <w:tc>
                <w:tcPr>
                  <w:tcW w:w="725" w:type="pct"/>
                  <w:noWrap w:val="0"/>
                  <w:vAlign w:val="center"/>
                </w:tcPr>
                <w:p w14:paraId="1518ABFE">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技改项目削减量</w:t>
                  </w:r>
                </w:p>
              </w:tc>
              <w:tc>
                <w:tcPr>
                  <w:tcW w:w="845" w:type="pct"/>
                  <w:noWrap w:val="0"/>
                  <w:vAlign w:val="center"/>
                </w:tcPr>
                <w:p w14:paraId="45556E8E">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技改项目总量</w:t>
                  </w:r>
                  <w:r>
                    <w:rPr>
                      <w:rFonts w:hint="eastAsia" w:cs="Times New Roman"/>
                      <w:b/>
                      <w:color w:val="000000" w:themeColor="text1"/>
                      <w:sz w:val="21"/>
                      <w:szCs w:val="21"/>
                      <w:highlight w:val="none"/>
                      <w:lang w:val="en-US" w:eastAsia="zh-CN"/>
                      <w14:textFill>
                        <w14:solidFill>
                          <w14:schemeClr w14:val="tx1"/>
                        </w14:solidFill>
                      </w14:textFill>
                    </w:rPr>
                    <w:t>控制指标</w:t>
                  </w:r>
                </w:p>
              </w:tc>
              <w:tc>
                <w:tcPr>
                  <w:tcW w:w="890" w:type="pct"/>
                  <w:noWrap w:val="0"/>
                  <w:vAlign w:val="center"/>
                </w:tcPr>
                <w:p w14:paraId="1D6C2D9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整体项目</w:t>
                  </w:r>
                  <w:r>
                    <w:rPr>
                      <w:rFonts w:hint="eastAsia" w:cs="Times New Roman"/>
                      <w:b/>
                      <w:color w:val="000000" w:themeColor="text1"/>
                      <w:sz w:val="21"/>
                      <w:szCs w:val="21"/>
                      <w:highlight w:val="none"/>
                      <w:lang w:val="en-US" w:eastAsia="zh-CN"/>
                      <w14:textFill>
                        <w14:solidFill>
                          <w14:schemeClr w14:val="tx1"/>
                        </w14:solidFill>
                      </w14:textFill>
                    </w:rPr>
                    <w:t>总量控制指标</w:t>
                  </w:r>
                </w:p>
              </w:tc>
              <w:tc>
                <w:tcPr>
                  <w:tcW w:w="800" w:type="pct"/>
                  <w:noWrap w:val="0"/>
                  <w:vAlign w:val="center"/>
                </w:tcPr>
                <w:p w14:paraId="1C691949">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变化情况</w:t>
                  </w:r>
                </w:p>
              </w:tc>
            </w:tr>
            <w:tr w14:paraId="48CEF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6" w:type="pct"/>
                  <w:noWrap w:val="0"/>
                  <w:vAlign w:val="center"/>
                </w:tcPr>
                <w:p w14:paraId="0945B4D7">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SO</w:t>
                  </w:r>
                  <w:r>
                    <w:rPr>
                      <w:rFonts w:hint="eastAsia" w:ascii="Times New Roman" w:hAnsi="Times New Roman" w:eastAsia="宋体" w:cs="Times New Roman"/>
                      <w:b w:val="0"/>
                      <w:bCs/>
                      <w:color w:val="000000" w:themeColor="text1"/>
                      <w:sz w:val="21"/>
                      <w:szCs w:val="21"/>
                      <w:highlight w:val="none"/>
                      <w:vertAlign w:val="subscript"/>
                      <w:lang w:val="en-US" w:eastAsia="zh-CN"/>
                      <w14:textFill>
                        <w14:solidFill>
                          <w14:schemeClr w14:val="tx1"/>
                        </w14:solidFill>
                      </w14:textFill>
                    </w:rPr>
                    <w:t>2</w:t>
                  </w:r>
                </w:p>
              </w:tc>
              <w:tc>
                <w:tcPr>
                  <w:tcW w:w="881" w:type="pct"/>
                  <w:noWrap w:val="0"/>
                  <w:vAlign w:val="center"/>
                </w:tcPr>
                <w:p w14:paraId="5FEB3FB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0.312</w:t>
                  </w:r>
                </w:p>
              </w:tc>
              <w:tc>
                <w:tcPr>
                  <w:tcW w:w="725" w:type="pct"/>
                  <w:noWrap w:val="0"/>
                  <w:vAlign w:val="center"/>
                </w:tcPr>
                <w:p w14:paraId="3EEFBFE0">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58C3A9C7">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28A2CEF0">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0.312</w:t>
                  </w:r>
                </w:p>
              </w:tc>
              <w:tc>
                <w:tcPr>
                  <w:tcW w:w="800" w:type="pct"/>
                  <w:noWrap w:val="0"/>
                  <w:vAlign w:val="center"/>
                </w:tcPr>
                <w:p w14:paraId="42B7591E">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r>
            <w:tr w14:paraId="77028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 w:hRule="atLeast"/>
                <w:jc w:val="center"/>
              </w:trPr>
              <w:tc>
                <w:tcPr>
                  <w:tcW w:w="856" w:type="pct"/>
                  <w:noWrap w:val="0"/>
                  <w:vAlign w:val="center"/>
                </w:tcPr>
                <w:p w14:paraId="36EFF8D6">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NOx</w:t>
                  </w:r>
                </w:p>
              </w:tc>
              <w:tc>
                <w:tcPr>
                  <w:tcW w:w="881" w:type="pct"/>
                  <w:noWrap w:val="0"/>
                  <w:vAlign w:val="center"/>
                </w:tcPr>
                <w:p w14:paraId="3609B69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0.936</w:t>
                  </w:r>
                </w:p>
              </w:tc>
              <w:tc>
                <w:tcPr>
                  <w:tcW w:w="725" w:type="pct"/>
                  <w:noWrap w:val="0"/>
                  <w:vAlign w:val="center"/>
                </w:tcPr>
                <w:p w14:paraId="0F370C3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5A45CB5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3645AD8E">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0.936</w:t>
                  </w:r>
                </w:p>
              </w:tc>
              <w:tc>
                <w:tcPr>
                  <w:tcW w:w="800" w:type="pct"/>
                  <w:noWrap w:val="0"/>
                  <w:vAlign w:val="center"/>
                </w:tcPr>
                <w:p w14:paraId="17B865E6">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r>
            <w:tr w14:paraId="28C24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6" w:type="pct"/>
                  <w:noWrap w:val="0"/>
                  <w:vAlign w:val="center"/>
                </w:tcPr>
                <w:p w14:paraId="67F0B069">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颗粒物</w:t>
                  </w:r>
                </w:p>
              </w:tc>
              <w:tc>
                <w:tcPr>
                  <w:tcW w:w="881" w:type="pct"/>
                  <w:noWrap w:val="0"/>
                  <w:vAlign w:val="center"/>
                </w:tcPr>
                <w:p w14:paraId="3799CC35">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4.725</w:t>
                  </w:r>
                </w:p>
              </w:tc>
              <w:tc>
                <w:tcPr>
                  <w:tcW w:w="725" w:type="pct"/>
                  <w:noWrap w:val="0"/>
                  <w:vAlign w:val="center"/>
                </w:tcPr>
                <w:p w14:paraId="6FC82D1C">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7D6529F3">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473790B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4.725</w:t>
                  </w:r>
                </w:p>
              </w:tc>
              <w:tc>
                <w:tcPr>
                  <w:tcW w:w="800" w:type="pct"/>
                  <w:noWrap w:val="0"/>
                  <w:vAlign w:val="center"/>
                </w:tcPr>
                <w:p w14:paraId="3615015D">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r>
            <w:tr w14:paraId="67900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6" w:type="pct"/>
                  <w:noWrap w:val="0"/>
                  <w:vAlign w:val="center"/>
                </w:tcPr>
                <w:p w14:paraId="4AD5E9D5">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VOCs</w:t>
                  </w:r>
                </w:p>
              </w:tc>
              <w:tc>
                <w:tcPr>
                  <w:tcW w:w="881" w:type="pct"/>
                  <w:noWrap w:val="0"/>
                  <w:vAlign w:val="center"/>
                </w:tcPr>
                <w:p w14:paraId="17B8D2A4">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0.052</w:t>
                  </w:r>
                </w:p>
              </w:tc>
              <w:tc>
                <w:tcPr>
                  <w:tcW w:w="725" w:type="pct"/>
                  <w:noWrap w:val="0"/>
                  <w:vAlign w:val="center"/>
                </w:tcPr>
                <w:p w14:paraId="34D16CA8">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320DEBC0">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1F2961DB">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0.052</w:t>
                  </w:r>
                </w:p>
              </w:tc>
              <w:tc>
                <w:tcPr>
                  <w:tcW w:w="800" w:type="pct"/>
                  <w:noWrap w:val="0"/>
                  <w:vAlign w:val="center"/>
                </w:tcPr>
                <w:p w14:paraId="705D4E24">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s="Times New Roman"/>
                      <w:b w:val="0"/>
                      <w:bCs/>
                      <w:color w:val="000000" w:themeColor="text1"/>
                      <w:sz w:val="21"/>
                      <w:szCs w:val="21"/>
                      <w:highlight w:val="none"/>
                      <w:lang w:val="en-US" w:eastAsia="zh-CN"/>
                      <w14:textFill>
                        <w14:solidFill>
                          <w14:schemeClr w14:val="tx1"/>
                        </w14:solidFill>
                      </w14:textFill>
                    </w:rPr>
                    <w:t>0</w:t>
                  </w:r>
                </w:p>
              </w:tc>
            </w:tr>
            <w:tr w14:paraId="55827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6" w:type="pct"/>
                  <w:noWrap w:val="0"/>
                  <w:vAlign w:val="center"/>
                </w:tcPr>
                <w:p w14:paraId="55EE3D17">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COD</w:t>
                  </w:r>
                </w:p>
              </w:tc>
              <w:tc>
                <w:tcPr>
                  <w:tcW w:w="881" w:type="pct"/>
                  <w:noWrap w:val="0"/>
                  <w:vAlign w:val="center"/>
                </w:tcPr>
                <w:p w14:paraId="4B15D329">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0.512</w:t>
                  </w:r>
                </w:p>
              </w:tc>
              <w:tc>
                <w:tcPr>
                  <w:tcW w:w="725" w:type="pct"/>
                  <w:noWrap w:val="0"/>
                  <w:vAlign w:val="center"/>
                </w:tcPr>
                <w:p w14:paraId="3583651D">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7297F4E0">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34772E4A">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0.512</w:t>
                  </w:r>
                </w:p>
              </w:tc>
              <w:tc>
                <w:tcPr>
                  <w:tcW w:w="800" w:type="pct"/>
                  <w:noWrap w:val="0"/>
                  <w:vAlign w:val="center"/>
                </w:tcPr>
                <w:p w14:paraId="7E631EEE">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w:t>
                  </w:r>
                </w:p>
              </w:tc>
            </w:tr>
            <w:tr w14:paraId="6A754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6" w:type="pct"/>
                  <w:noWrap w:val="0"/>
                  <w:vAlign w:val="center"/>
                </w:tcPr>
                <w:p w14:paraId="5DCDA447">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氨氮</w:t>
                  </w:r>
                </w:p>
              </w:tc>
              <w:tc>
                <w:tcPr>
                  <w:tcW w:w="881" w:type="pct"/>
                  <w:noWrap w:val="0"/>
                  <w:vAlign w:val="center"/>
                </w:tcPr>
                <w:p w14:paraId="37345600">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0.045</w:t>
                  </w:r>
                </w:p>
              </w:tc>
              <w:tc>
                <w:tcPr>
                  <w:tcW w:w="725" w:type="pct"/>
                  <w:noWrap w:val="0"/>
                  <w:vAlign w:val="center"/>
                </w:tcPr>
                <w:p w14:paraId="2F19B601">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0</w:t>
                  </w:r>
                </w:p>
              </w:tc>
              <w:tc>
                <w:tcPr>
                  <w:tcW w:w="845" w:type="pct"/>
                  <w:noWrap w:val="0"/>
                  <w:vAlign w:val="center"/>
                </w:tcPr>
                <w:p w14:paraId="4C22A88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w:t>
                  </w:r>
                </w:p>
              </w:tc>
              <w:tc>
                <w:tcPr>
                  <w:tcW w:w="890" w:type="pct"/>
                  <w:noWrap w:val="0"/>
                  <w:vAlign w:val="center"/>
                </w:tcPr>
                <w:p w14:paraId="782258E7">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000000" w:themeColor="text1"/>
                      <w:kern w:val="2"/>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0.045</w:t>
                  </w:r>
                </w:p>
              </w:tc>
              <w:tc>
                <w:tcPr>
                  <w:tcW w:w="800" w:type="pct"/>
                  <w:noWrap w:val="0"/>
                  <w:vAlign w:val="center"/>
                </w:tcPr>
                <w:p w14:paraId="5D17FD1D">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0</w:t>
                  </w:r>
                </w:p>
              </w:tc>
            </w:tr>
          </w:tbl>
          <w:p w14:paraId="424FF4B3">
            <w:pPr>
              <w:pStyle w:val="14"/>
              <w:numPr>
                <w:ilvl w:val="0"/>
                <w:numId w:val="0"/>
              </w:numP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14:paraId="021FA14A">
            <w:pPr>
              <w:pStyle w:val="13"/>
              <w:numPr>
                <w:ilvl w:val="0"/>
                <w:numId w:val="0"/>
              </w:numPr>
              <w:adjustRightInd/>
              <w:spacing w:before="0" w:after="0" w:line="360" w:lineRule="auto"/>
              <w:ind w:right="0" w:firstLine="480" w:firstLineChars="200"/>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根据上述，</w:t>
            </w:r>
            <w:r>
              <w:rPr>
                <w:rFonts w:hint="eastAsia" w:cs="Times New Roman"/>
                <w:color w:val="000000" w:themeColor="text1"/>
                <w:sz w:val="24"/>
                <w:szCs w:val="24"/>
                <w:highlight w:val="none"/>
                <w:lang w:val="en-US" w:eastAsia="zh-CN"/>
                <w14:textFill>
                  <w14:solidFill>
                    <w14:schemeClr w14:val="tx1"/>
                  </w14:solidFill>
                </w14:textFill>
              </w:rPr>
              <w:t>技改完成后全厂</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总量控制指标为：</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COD：</w:t>
            </w:r>
            <w:r>
              <w:rPr>
                <w:rFonts w:hint="eastAsia" w:cs="Times New Roman"/>
                <w:color w:val="000000" w:themeColor="text1"/>
                <w:kern w:val="2"/>
                <w:sz w:val="24"/>
                <w:szCs w:val="24"/>
                <w:highlight w:val="none"/>
                <w:lang w:val="en-US" w:eastAsia="zh-CN" w:bidi="ar-SA"/>
                <w14:textFill>
                  <w14:solidFill>
                    <w14:schemeClr w14:val="tx1"/>
                  </w14:solidFill>
                </w14:textFill>
              </w:rPr>
              <w:t>0.512</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t/a</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；NH</w:t>
            </w:r>
            <w:r>
              <w:rPr>
                <w:rFonts w:hint="default" w:ascii="Times New Roman" w:hAnsi="Times New Roman" w:eastAsia="宋体" w:cs="Times New Roman"/>
                <w:i w:val="0"/>
                <w:iCs w:val="0"/>
                <w:color w:val="000000" w:themeColor="text1"/>
                <w:sz w:val="24"/>
                <w:szCs w:val="24"/>
                <w:highlight w:val="none"/>
                <w:vertAlign w:val="subscript"/>
                <w:lang w:val="en-US" w:eastAsia="zh-CN"/>
                <w14:textFill>
                  <w14:solidFill>
                    <w14:schemeClr w14:val="tx1"/>
                  </w14:solidFill>
                </w14:textFill>
              </w:rPr>
              <w:t>3</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-N：</w:t>
            </w:r>
            <w:r>
              <w:rPr>
                <w:rFonts w:hint="eastAsia" w:cs="Times New Roman"/>
                <w:color w:val="000000" w:themeColor="text1"/>
                <w:kern w:val="2"/>
                <w:sz w:val="24"/>
                <w:szCs w:val="24"/>
                <w:highlight w:val="none"/>
                <w:lang w:val="en-US" w:eastAsia="zh-CN" w:bidi="ar-SA"/>
                <w14:textFill>
                  <w14:solidFill>
                    <w14:schemeClr w14:val="tx1"/>
                  </w14:solidFill>
                </w14:textFill>
              </w:rPr>
              <w:t>0.045</w:t>
            </w:r>
            <w:r>
              <w:rPr>
                <w:rFonts w:hint="default" w:ascii="Times New Roman" w:hAnsi="Times New Roman" w:eastAsia="宋体" w:cs="Times New Roman"/>
                <w:color w:val="000000" w:themeColor="text1"/>
                <w:kern w:val="2"/>
                <w:sz w:val="24"/>
                <w:szCs w:val="24"/>
                <w:highlight w:val="none"/>
                <w:lang w:val="en-US" w:eastAsia="zh-CN" w:bidi="ar-SA"/>
                <w14:textFill>
                  <w14:solidFill>
                    <w14:schemeClr w14:val="tx1"/>
                  </w14:solidFill>
                </w14:textFill>
              </w:rPr>
              <w:t>t/a；</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SO</w:t>
            </w:r>
            <w:r>
              <w:rPr>
                <w:rFonts w:hint="default" w:ascii="Times New Roman" w:hAnsi="Times New Roman" w:eastAsia="宋体" w:cs="Times New Roman"/>
                <w:i w:val="0"/>
                <w:iCs w:val="0"/>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w:t>
            </w:r>
            <w:r>
              <w:rPr>
                <w:rFonts w:hint="eastAsia" w:cs="Times New Roman"/>
                <w:i w:val="0"/>
                <w:iCs w:val="0"/>
                <w:color w:val="000000" w:themeColor="text1"/>
                <w:sz w:val="24"/>
                <w:szCs w:val="24"/>
                <w:highlight w:val="none"/>
                <w:vertAlign w:val="baseline"/>
                <w:lang w:val="en-US" w:eastAsia="zh-CN"/>
                <w14:textFill>
                  <w14:solidFill>
                    <w14:schemeClr w14:val="tx1"/>
                  </w14:solidFill>
                </w14:textFill>
              </w:rPr>
              <w:t>0.312</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t/a</w:t>
            </w:r>
            <w:r>
              <w:rPr>
                <w:rFonts w:hint="eastAsia" w:cs="Times New Roman"/>
                <w:i w:val="0"/>
                <w:i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NO</w:t>
            </w:r>
            <w:r>
              <w:rPr>
                <w:rFonts w:hint="default" w:ascii="Times New Roman" w:hAnsi="Times New Roman" w:eastAsia="宋体" w:cs="Times New Roman"/>
                <w:i w:val="0"/>
                <w:iCs w:val="0"/>
                <w:color w:val="000000" w:themeColor="text1"/>
                <w:sz w:val="24"/>
                <w:szCs w:val="24"/>
                <w:highlight w:val="none"/>
                <w:vertAlign w:val="subscript"/>
                <w:lang w:val="en-US" w:eastAsia="zh-CN"/>
                <w14:textFill>
                  <w14:solidFill>
                    <w14:schemeClr w14:val="tx1"/>
                  </w14:solidFill>
                </w14:textFill>
              </w:rPr>
              <w:t>X</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w:t>
            </w:r>
            <w:r>
              <w:rPr>
                <w:rFonts w:hint="eastAsia" w:cs="Times New Roman"/>
                <w:i w:val="0"/>
                <w:color w:val="000000" w:themeColor="text1"/>
                <w:kern w:val="0"/>
                <w:sz w:val="24"/>
                <w:szCs w:val="24"/>
                <w:highlight w:val="none"/>
                <w:u w:val="none"/>
                <w:lang w:val="en-US" w:eastAsia="zh-CN" w:bidi="ar"/>
                <w14:textFill>
                  <w14:solidFill>
                    <w14:schemeClr w14:val="tx1"/>
                  </w14:solidFill>
                </w14:textFill>
              </w:rPr>
              <w:t>0.936</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t/a</w:t>
            </w:r>
            <w:r>
              <w:rPr>
                <w:rFonts w:hint="eastAsia"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颗粒物：</w:t>
            </w:r>
            <w:r>
              <w:rPr>
                <w:rFonts w:hint="eastAsia" w:cs="Times New Roman"/>
                <w:color w:val="000000" w:themeColor="text1"/>
                <w:sz w:val="24"/>
                <w:szCs w:val="24"/>
                <w:highlight w:val="none"/>
                <w:lang w:val="en-US" w:eastAsia="zh-CN"/>
                <w14:textFill>
                  <w14:solidFill>
                    <w14:schemeClr w14:val="tx1"/>
                  </w14:solidFill>
                </w14:textFill>
              </w:rPr>
              <w:t>4.725</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t/a</w:t>
            </w:r>
            <w:r>
              <w:rPr>
                <w:rFonts w:hint="eastAsia" w:cs="Times New Roman"/>
                <w:i w:val="0"/>
                <w:iCs w:val="0"/>
                <w:color w:val="000000" w:themeColor="text1"/>
                <w:sz w:val="24"/>
                <w:szCs w:val="24"/>
                <w:highlight w:val="none"/>
                <w:vertAlign w:val="baseline"/>
                <w:lang w:val="en-US" w:eastAsia="zh-CN"/>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VOC</w:t>
            </w:r>
            <w:r>
              <w:rPr>
                <w:rFonts w:hint="eastAsia"/>
                <w:color w:val="000000" w:themeColor="text1"/>
                <w:sz w:val="24"/>
                <w:szCs w:val="24"/>
                <w:highlight w:val="none"/>
                <w:vertAlign w:val="subscript"/>
                <w:lang w:val="en-US" w:eastAsia="zh-CN"/>
                <w14:textFill>
                  <w14:solidFill>
                    <w14:schemeClr w14:val="tx1"/>
                  </w14:solidFill>
                </w14:textFill>
              </w:rPr>
              <w:t>S</w:t>
            </w:r>
            <w:r>
              <w:rPr>
                <w:rFonts w:hint="eastAsia"/>
                <w:color w:val="000000" w:themeColor="text1"/>
                <w:sz w:val="24"/>
                <w:szCs w:val="24"/>
                <w:highlight w:val="none"/>
                <w:vertAlign w:val="baseline"/>
                <w:lang w:val="en-US" w:eastAsia="zh-CN"/>
                <w14:textFill>
                  <w14:solidFill>
                    <w14:schemeClr w14:val="tx1"/>
                  </w14:solidFill>
                </w14:textFill>
              </w:rPr>
              <w:t>（非甲烷总烃）</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w:t>
            </w:r>
            <w:r>
              <w:rPr>
                <w:rFonts w:hint="eastAsia" w:cs="Times New Roman"/>
                <w:i w:val="0"/>
                <w:iCs w:val="0"/>
                <w:color w:val="000000" w:themeColor="text1"/>
                <w:sz w:val="24"/>
                <w:szCs w:val="24"/>
                <w:highlight w:val="none"/>
                <w:vertAlign w:val="baseline"/>
                <w:lang w:val="en-US" w:eastAsia="zh-CN"/>
                <w14:textFill>
                  <w14:solidFill>
                    <w14:schemeClr w14:val="tx1"/>
                  </w14:solidFill>
                </w14:textFill>
              </w:rPr>
              <w:t>0.052</w:t>
            </w:r>
            <w:r>
              <w:rPr>
                <w:rFonts w:hint="default" w:ascii="Times New Roman" w:hAnsi="Times New Roman" w:eastAsia="宋体" w:cs="Times New Roman"/>
                <w:i w:val="0"/>
                <w:iCs w:val="0"/>
                <w:color w:val="000000" w:themeColor="text1"/>
                <w:sz w:val="24"/>
                <w:szCs w:val="24"/>
                <w:highlight w:val="none"/>
                <w:vertAlign w:val="baseline"/>
                <w:lang w:val="en-US" w:eastAsia="zh-CN"/>
                <w14:textFill>
                  <w14:solidFill>
                    <w14:schemeClr w14:val="tx1"/>
                  </w14:solidFill>
                </w14:textFill>
              </w:rPr>
              <w:t>t/a</w:t>
            </w:r>
            <w:r>
              <w:rPr>
                <w:rFonts w:hint="default" w:ascii="Times New Roman" w:hAnsi="Times New Roman" w:eastAsia="宋体" w:cs="Times New Roman"/>
                <w:i w:val="0"/>
                <w:iCs w:val="0"/>
                <w:color w:val="000000" w:themeColor="text1"/>
                <w:sz w:val="24"/>
                <w:szCs w:val="24"/>
                <w:highlight w:val="none"/>
                <w:lang w:val="en-US" w:eastAsia="zh-CN"/>
                <w14:textFill>
                  <w14:solidFill>
                    <w14:schemeClr w14:val="tx1"/>
                  </w14:solidFill>
                </w14:textFill>
              </w:rPr>
              <w:t>。</w:t>
            </w:r>
          </w:p>
          <w:p w14:paraId="31A5E228">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5E1FCA9C">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07D90BCE">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08AC4A11">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18CA6184">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10A4683B">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6C93E2EB">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3D5250B1">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2965E16B">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5BDF7910">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3666FF0E">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18546A67">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0EA8E96E">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66BCF793">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67281F8C">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00BFE1AA">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751966E1">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13823943">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01E20005">
            <w:pPr>
              <w:pStyle w:val="14"/>
              <w:widowControl w:val="0"/>
              <w:numPr>
                <w:ilvl w:val="0"/>
                <w:numId w:val="0"/>
              </w:numPr>
              <w:jc w:val="both"/>
              <w:rPr>
                <w:rFonts w:hint="default" w:ascii="Times New Roman" w:hAnsi="Times New Roman" w:eastAsia="宋体" w:cs="Times New Roman"/>
                <w:i w:val="0"/>
                <w:iCs w:val="0"/>
                <w:color w:val="FF0000"/>
                <w:sz w:val="24"/>
                <w:szCs w:val="24"/>
                <w:highlight w:val="none"/>
                <w:lang w:val="en-US" w:eastAsia="zh-CN"/>
              </w:rPr>
            </w:pPr>
          </w:p>
          <w:p w14:paraId="63126AB8">
            <w:pPr>
              <w:pStyle w:val="13"/>
              <w:numPr>
                <w:ilvl w:val="0"/>
                <w:numId w:val="0"/>
              </w:numPr>
              <w:adjustRightInd/>
              <w:spacing w:before="0" w:after="0" w:line="360" w:lineRule="auto"/>
              <w:ind w:right="0"/>
              <w:rPr>
                <w:rFonts w:hint="default"/>
                <w:color w:val="FF0000"/>
                <w:kern w:val="0"/>
                <w:sz w:val="24"/>
                <w:highlight w:val="none"/>
                <w:lang w:val="en-US"/>
              </w:rPr>
            </w:pPr>
          </w:p>
        </w:tc>
      </w:tr>
    </w:tbl>
    <w:p w14:paraId="53E7426A">
      <w:pPr>
        <w:pStyle w:val="30"/>
        <w:keepNext w:val="0"/>
        <w:keepLines w:val="0"/>
        <w:pageBreakBefore w:val="0"/>
        <w:widowControl/>
        <w:kinsoku/>
        <w:wordWrap/>
        <w:overflowPunct/>
        <w:topLinePunct w:val="0"/>
        <w:autoSpaceDE/>
        <w:autoSpaceDN/>
        <w:bidi w:val="0"/>
        <w:adjustRightInd/>
        <w:snapToGrid/>
        <w:spacing w:line="360" w:lineRule="exact"/>
        <w:jc w:val="center"/>
        <w:textAlignment w:val="auto"/>
        <w:outlineLvl w:val="0"/>
        <w:rPr>
          <w:rFonts w:ascii="Times New Roman" w:hAnsi="Times New Roman" w:eastAsia="黑体"/>
          <w:snapToGrid w:val="0"/>
          <w:color w:val="auto"/>
          <w:sz w:val="30"/>
          <w:szCs w:val="30"/>
          <w:highlight w:val="none"/>
        </w:rPr>
      </w:pPr>
      <w:r>
        <w:rPr>
          <w:rFonts w:ascii="Times New Roman" w:hAnsi="Times New Roman" w:eastAsia="黑体"/>
          <w:snapToGrid w:val="0"/>
          <w:color w:val="auto"/>
          <w:sz w:val="36"/>
          <w:szCs w:val="36"/>
          <w:highlight w:val="none"/>
        </w:rPr>
        <w:br w:type="page"/>
      </w:r>
      <w:bookmarkStart w:id="13" w:name="_Toc16631"/>
      <w:r>
        <w:rPr>
          <w:rFonts w:ascii="Times New Roman" w:hAnsi="Times New Roman" w:eastAsia="黑体"/>
          <w:snapToGrid w:val="0"/>
          <w:color w:val="auto"/>
          <w:sz w:val="30"/>
          <w:szCs w:val="30"/>
          <w:highlight w:val="none"/>
        </w:rPr>
        <w:t>四、主要环境影响和保护措施</w:t>
      </w:r>
      <w:bookmarkEnd w:id="13"/>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80"/>
        <w:gridCol w:w="8701"/>
      </w:tblGrid>
      <w:tr w14:paraId="46810C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160" w:type="pct"/>
            <w:noWrap w:val="0"/>
            <w:tcMar>
              <w:left w:w="28" w:type="dxa"/>
              <w:right w:w="28" w:type="dxa"/>
            </w:tcMar>
            <w:vAlign w:val="center"/>
          </w:tcPr>
          <w:p w14:paraId="6941CEF9">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施工</w:t>
            </w:r>
          </w:p>
          <w:p w14:paraId="61AD3313">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期环</w:t>
            </w:r>
          </w:p>
          <w:p w14:paraId="26D7A90F">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境保</w:t>
            </w:r>
          </w:p>
          <w:p w14:paraId="11D0B4F3">
            <w:pPr>
              <w:pStyle w:val="30"/>
              <w:adjustRightInd w:val="0"/>
              <w:snapToGrid w:val="0"/>
              <w:spacing w:before="0" w:beforeAutospacing="0" w:after="0" w:afterAutospacing="0"/>
              <w:jc w:val="center"/>
              <w:rPr>
                <w:rFonts w:ascii="Times New Roman" w:hAnsi="Times New Roman"/>
                <w:color w:val="auto"/>
                <w:kern w:val="2"/>
                <w:szCs w:val="24"/>
                <w:highlight w:val="none"/>
              </w:rPr>
            </w:pPr>
            <w:r>
              <w:rPr>
                <w:rFonts w:ascii="Times New Roman" w:hAnsi="Times New Roman"/>
                <w:color w:val="auto"/>
                <w:kern w:val="2"/>
                <w:szCs w:val="24"/>
                <w:highlight w:val="none"/>
              </w:rPr>
              <w:t>护措</w:t>
            </w:r>
          </w:p>
          <w:p w14:paraId="710CEB92">
            <w:pPr>
              <w:pStyle w:val="30"/>
              <w:adjustRightInd w:val="0"/>
              <w:snapToGrid w:val="0"/>
              <w:spacing w:before="0" w:beforeAutospacing="0" w:after="0" w:afterAutospacing="0"/>
              <w:jc w:val="center"/>
              <w:rPr>
                <w:rFonts w:ascii="Times New Roman" w:hAnsi="Times New Roman"/>
                <w:bCs/>
                <w:color w:val="auto"/>
                <w:kern w:val="2"/>
                <w:szCs w:val="24"/>
                <w:highlight w:val="none"/>
              </w:rPr>
            </w:pPr>
            <w:r>
              <w:rPr>
                <w:rFonts w:ascii="Times New Roman" w:hAnsi="Times New Roman"/>
                <w:color w:val="auto"/>
                <w:kern w:val="2"/>
                <w:szCs w:val="24"/>
                <w:highlight w:val="none"/>
              </w:rPr>
              <w:t>施</w:t>
            </w:r>
          </w:p>
        </w:tc>
        <w:tc>
          <w:tcPr>
            <w:tcW w:w="8693" w:type="dxa"/>
            <w:noWrap w:val="0"/>
            <w:vAlign w:val="center"/>
          </w:tcPr>
          <w:p w14:paraId="294E0629">
            <w:pPr>
              <w:pStyle w:val="112"/>
              <w:spacing w:before="0" w:beforeLines="0" w:after="0" w:afterLines="0" w:line="360" w:lineRule="auto"/>
              <w:ind w:firstLine="480"/>
              <w:rPr>
                <w:rFonts w:hint="default"/>
                <w:color w:val="000000" w:themeColor="text1"/>
                <w:sz w:val="24"/>
                <w:szCs w:val="24"/>
                <w:highlight w:val="none"/>
                <w:lang w:val="en-US" w:eastAsia="zh-CN"/>
                <w14:textFill>
                  <w14:solidFill>
                    <w14:schemeClr w14:val="tx1"/>
                  </w14:solidFill>
                </w14:textFill>
              </w:rPr>
            </w:pPr>
            <w:r>
              <w:rPr>
                <w:rFonts w:hint="eastAsia"/>
                <w:color w:val="auto"/>
                <w:sz w:val="24"/>
                <w:szCs w:val="24"/>
                <w:highlight w:val="none"/>
                <w:lang w:val="en-US" w:eastAsia="zh-CN"/>
              </w:rPr>
              <w:t>技改工程利用现有厂房进行建设，无土建工程施工，不产生扬尘等大气污染问题，施工期间主要是噪声影响。施工期的噪声主要来源于施工机械和设备运输车辆，建设单位应严格采取以下措施：（1）施工选择低噪声的机械设备，且尽量利用噪声距离衰减减小噪声影响，对相对固定的器械采取入棚操作。（2）做好施工机械的维修保养，严格按操作规程使用各类机械。（3）在施工器械上增加消声减噪的装置</w:t>
            </w:r>
            <w:r>
              <w:rPr>
                <w:rFonts w:hint="eastAsia"/>
                <w:color w:val="000000" w:themeColor="text1"/>
                <w:sz w:val="24"/>
                <w:szCs w:val="24"/>
                <w:highlight w:val="none"/>
                <w:lang w:val="en-US" w:eastAsia="zh-CN"/>
                <w14:textFill>
                  <w14:solidFill>
                    <w14:schemeClr w14:val="tx1"/>
                  </w14:solidFill>
                </w14:textFill>
              </w:rPr>
              <w:t>，如隔声罩等。通过采取以上措施施工期噪声能够满足《建筑施工场界环境噪声排放标准》（GB12523-2025）中相关要求。</w:t>
            </w:r>
          </w:p>
          <w:p w14:paraId="12D987C5">
            <w:pPr>
              <w:pStyle w:val="112"/>
              <w:spacing w:before="0" w:beforeLines="0" w:after="0" w:afterLines="0" w:line="360" w:lineRule="auto"/>
              <w:ind w:firstLine="48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施工工人依托现有生活设施，施工期间废水泼洒抑尘。安装设备产生的废包装木板、废纸箱、废塑料包装袋等全部收集外售；固废按照规范进行处置。</w:t>
            </w:r>
          </w:p>
          <w:p w14:paraId="14DF94D2">
            <w:pPr>
              <w:pStyle w:val="112"/>
              <w:spacing w:before="0" w:beforeLines="0" w:after="0" w:afterLines="0" w:line="360" w:lineRule="auto"/>
              <w:ind w:firstLine="480"/>
              <w:rPr>
                <w:rFonts w:hint="eastAsia" w:eastAsia="宋体"/>
                <w:lang w:val="en-US" w:eastAsia="zh-CN"/>
              </w:rPr>
            </w:pPr>
            <w:r>
              <w:rPr>
                <w:rFonts w:hint="eastAsia"/>
                <w:color w:val="000000" w:themeColor="text1"/>
                <w:sz w:val="24"/>
                <w:szCs w:val="24"/>
                <w:highlight w:val="none"/>
                <w:lang w:val="en-US" w:eastAsia="zh-CN"/>
                <w14:textFill>
                  <w14:solidFill>
                    <w14:schemeClr w14:val="tx1"/>
                  </w14:solidFill>
                </w14:textFill>
              </w:rPr>
              <w:t>随着施工结束上述影响也不复存在。</w:t>
            </w:r>
          </w:p>
        </w:tc>
      </w:tr>
      <w:tr w14:paraId="732609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160" w:type="pct"/>
            <w:noWrap w:val="0"/>
            <w:tcMar>
              <w:left w:w="28" w:type="dxa"/>
              <w:right w:w="28" w:type="dxa"/>
            </w:tcMar>
            <w:vAlign w:val="center"/>
          </w:tcPr>
          <w:p w14:paraId="579D2A76">
            <w:pPr>
              <w:adjustRightInd w:val="0"/>
              <w:snapToGrid w:val="0"/>
              <w:jc w:val="center"/>
              <w:rPr>
                <w:bCs/>
                <w:color w:val="auto"/>
                <w:sz w:val="24"/>
                <w:highlight w:val="none"/>
              </w:rPr>
            </w:pPr>
            <w:r>
              <w:rPr>
                <w:bCs/>
                <w:color w:val="auto"/>
                <w:sz w:val="24"/>
                <w:highlight w:val="none"/>
              </w:rPr>
              <w:t>运营</w:t>
            </w:r>
          </w:p>
          <w:p w14:paraId="1BEE69DE">
            <w:pPr>
              <w:adjustRightInd w:val="0"/>
              <w:snapToGrid w:val="0"/>
              <w:jc w:val="center"/>
              <w:rPr>
                <w:bCs/>
                <w:color w:val="auto"/>
                <w:sz w:val="24"/>
                <w:highlight w:val="none"/>
              </w:rPr>
            </w:pPr>
            <w:r>
              <w:rPr>
                <w:bCs/>
                <w:color w:val="auto"/>
                <w:sz w:val="24"/>
                <w:highlight w:val="none"/>
              </w:rPr>
              <w:t>期环</w:t>
            </w:r>
          </w:p>
          <w:p w14:paraId="28FF7275">
            <w:pPr>
              <w:adjustRightInd w:val="0"/>
              <w:snapToGrid w:val="0"/>
              <w:jc w:val="center"/>
              <w:rPr>
                <w:bCs/>
                <w:color w:val="auto"/>
                <w:sz w:val="24"/>
                <w:highlight w:val="none"/>
              </w:rPr>
            </w:pPr>
            <w:r>
              <w:rPr>
                <w:bCs/>
                <w:color w:val="auto"/>
                <w:sz w:val="24"/>
                <w:highlight w:val="none"/>
              </w:rPr>
              <w:t>境影</w:t>
            </w:r>
          </w:p>
          <w:p w14:paraId="33A0D0FA">
            <w:pPr>
              <w:adjustRightInd w:val="0"/>
              <w:snapToGrid w:val="0"/>
              <w:jc w:val="center"/>
              <w:rPr>
                <w:bCs/>
                <w:color w:val="auto"/>
                <w:sz w:val="24"/>
                <w:highlight w:val="none"/>
              </w:rPr>
            </w:pPr>
            <w:r>
              <w:rPr>
                <w:bCs/>
                <w:color w:val="auto"/>
                <w:sz w:val="24"/>
                <w:highlight w:val="none"/>
              </w:rPr>
              <w:t>响和</w:t>
            </w:r>
          </w:p>
          <w:p w14:paraId="2472364A">
            <w:pPr>
              <w:adjustRightInd w:val="0"/>
              <w:snapToGrid w:val="0"/>
              <w:jc w:val="center"/>
              <w:rPr>
                <w:bCs/>
                <w:color w:val="auto"/>
                <w:sz w:val="24"/>
                <w:highlight w:val="none"/>
              </w:rPr>
            </w:pPr>
            <w:r>
              <w:rPr>
                <w:bCs/>
                <w:color w:val="auto"/>
                <w:sz w:val="24"/>
                <w:highlight w:val="none"/>
              </w:rPr>
              <w:t>保护</w:t>
            </w:r>
          </w:p>
          <w:p w14:paraId="3E130C82">
            <w:pPr>
              <w:adjustRightInd w:val="0"/>
              <w:snapToGrid w:val="0"/>
              <w:jc w:val="center"/>
              <w:rPr>
                <w:bCs/>
                <w:color w:val="auto"/>
                <w:szCs w:val="21"/>
                <w:highlight w:val="none"/>
              </w:rPr>
            </w:pPr>
            <w:r>
              <w:rPr>
                <w:bCs/>
                <w:color w:val="auto"/>
                <w:sz w:val="24"/>
                <w:highlight w:val="none"/>
              </w:rPr>
              <w:t>措施</w:t>
            </w:r>
          </w:p>
        </w:tc>
        <w:tc>
          <w:tcPr>
            <w:tcW w:w="4839" w:type="pct"/>
            <w:noWrap w:val="0"/>
            <w:vAlign w:val="center"/>
          </w:tcPr>
          <w:p w14:paraId="4CDD1659">
            <w:pPr>
              <w:keepNext w:val="0"/>
              <w:keepLines w:val="0"/>
              <w:pageBreakBefore w:val="0"/>
              <w:kinsoku/>
              <w:wordWrap/>
              <w:overflowPunct/>
              <w:topLinePunct w:val="0"/>
              <w:autoSpaceDE/>
              <w:autoSpaceDN/>
              <w:bidi w:val="0"/>
              <w:adjustRightInd w:val="0"/>
              <w:snapToGrid w:val="0"/>
              <w:spacing w:line="360" w:lineRule="auto"/>
              <w:textAlignment w:val="auto"/>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t>一、废气</w:t>
            </w:r>
            <w:r>
              <w:rPr>
                <w:rFonts w:hint="eastAsia" w:ascii="Times New Roman" w:hAnsi="Times New Roman" w:cs="Times New Roman"/>
                <w:b/>
                <w:bCs/>
                <w:color w:val="000000" w:themeColor="text1"/>
                <w:sz w:val="24"/>
                <w:szCs w:val="24"/>
                <w:highlight w:val="none"/>
                <w:lang w:val="en-US" w:eastAsia="zh-CN"/>
                <w14:textFill>
                  <w14:solidFill>
                    <w14:schemeClr w14:val="tx1"/>
                  </w14:solidFill>
                </w14:textFill>
              </w:rPr>
              <w:t>治理措施及环境影响</w:t>
            </w:r>
          </w:p>
          <w:p w14:paraId="56D8D1D1">
            <w:pPr>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color w:val="auto"/>
                <w:sz w:val="24"/>
                <w:szCs w:val="24"/>
                <w:highlight w:val="none"/>
                <w:lang w:val="en-US" w:eastAsia="zh-CN"/>
              </w:rPr>
            </w:pPr>
            <w:r>
              <w:rPr>
                <w:rFonts w:hint="eastAsia"/>
                <w:color w:val="auto"/>
                <w:sz w:val="24"/>
                <w:szCs w:val="24"/>
                <w:highlight w:val="none"/>
                <w:lang w:val="en-US" w:eastAsia="zh-CN"/>
              </w:rPr>
              <w:t>1、废气产排情况分析</w:t>
            </w:r>
          </w:p>
          <w:p w14:paraId="1440E92E">
            <w:pPr>
              <w:pStyle w:val="112"/>
              <w:spacing w:before="0" w:beforeLines="0" w:after="0" w:afterLines="0" w:line="360" w:lineRule="auto"/>
              <w:ind w:firstLine="480"/>
              <w:rPr>
                <w:rFonts w:hint="eastAsia"/>
                <w:color w:val="auto"/>
                <w:sz w:val="24"/>
                <w:szCs w:val="24"/>
                <w:highlight w:val="none"/>
                <w:lang w:val="en-US" w:eastAsia="zh-CN"/>
              </w:rPr>
            </w:pPr>
            <w:r>
              <w:rPr>
                <w:rFonts w:hint="eastAsia"/>
                <w:color w:val="auto"/>
                <w:sz w:val="24"/>
                <w:szCs w:val="24"/>
                <w:highlight w:val="none"/>
                <w:lang w:val="en-US" w:eastAsia="zh-CN"/>
              </w:rPr>
              <w:t>技改项目为喷漆烘干线技改—在喷漆前加清洗烘干工序，保证喷漆工件的清洁度，提高喷漆质量，故技改不涉及主体工程废气排放及治理工程。项目使用重油垢清洗剂、多功能防锈剂中挥发性有机物含量低，极易溶于水中，各喷淋液温度保持在60℃以下，不会引起大量挥发；且工件在机械加工过程中携带的润滑油微量，故项目挥发性有机物等废气产生量极少，对周边环境影响极小。</w:t>
            </w:r>
          </w:p>
          <w:p w14:paraId="71FD9A23">
            <w:pPr>
              <w:pStyle w:val="13"/>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right="0" w:rightChars="0"/>
              <w:textAlignment w:val="auto"/>
              <w:rPr>
                <w:rFonts w:hint="eastAsia"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二、废水排放及治理</w:t>
            </w:r>
          </w:p>
          <w:p w14:paraId="14075DE4">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（1）技改项目废水排放情况</w:t>
            </w:r>
          </w:p>
          <w:p w14:paraId="1E555B0D">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参照《汽车工业污染防治可行技术指南》（HJ 1181—2021）、《排污许可证申请与核发技术规范 金属铸造工业》（HJ1115—2020），“机械加工零件清洗”废水主要为pH、COD、石油类。</w:t>
            </w:r>
          </w:p>
          <w:p w14:paraId="58284017">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①pH、COD、石油类</w:t>
            </w:r>
          </w:p>
          <w:p w14:paraId="18C830F1">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参照《汽车工业污染防治可行技术指南》（HJ 1181—2021）附录E“表 E.2 汽车工业废水及废水污染物参考一览表”中“机械加工零件清洗”，技改项目废水pH为7~9，</w:t>
            </w:r>
            <w:r>
              <w:rPr>
                <w:rFonts w:hint="eastAsia" w:cs="Times New Roman"/>
                <w:color w:val="auto"/>
                <w:sz w:val="24"/>
                <w:szCs w:val="24"/>
                <w:highlight w:val="none"/>
                <w:lang w:val="en-US" w:eastAsia="zh-CN"/>
              </w:rPr>
              <w:t>参照同类行业行唐县正佳机械有限责任公司清洗烘干先检测数据，</w:t>
            </w:r>
            <w:r>
              <w:rPr>
                <w:rFonts w:hint="eastAsia" w:ascii="Times New Roman" w:hAnsi="Times New Roman" w:eastAsia="宋体" w:cs="Times New Roman"/>
                <w:color w:val="auto"/>
                <w:sz w:val="24"/>
                <w:szCs w:val="24"/>
                <w:highlight w:val="none"/>
                <w:lang w:val="en-US" w:eastAsia="zh-CN"/>
              </w:rPr>
              <w:t>依据</w:t>
            </w:r>
            <w:r>
              <w:rPr>
                <w:rFonts w:hint="eastAsia" w:cs="Times New Roman"/>
                <w:color w:val="auto"/>
                <w:sz w:val="24"/>
                <w:szCs w:val="24"/>
                <w:highlight w:val="none"/>
                <w:lang w:val="en-US" w:eastAsia="zh-CN"/>
              </w:rPr>
              <w:t>河北华准检测技术有限公司</w:t>
            </w:r>
            <w:r>
              <w:rPr>
                <w:rFonts w:hint="eastAsia" w:ascii="Times New Roman" w:hAnsi="Times New Roman" w:eastAsia="宋体" w:cs="Times New Roman"/>
                <w:color w:val="auto"/>
                <w:sz w:val="24"/>
                <w:szCs w:val="24"/>
                <w:highlight w:val="none"/>
                <w:lang w:val="en-US" w:eastAsia="zh-CN"/>
              </w:rPr>
              <w:t>2023年4月12日出具《行唐县正佳机械有限责任公司验收监测项目检测报告》中相关监测数据，现有工程pH平均值为7.7，故技改后整体项目pH在7~9。</w:t>
            </w:r>
          </w:p>
          <w:p w14:paraId="2CEDC098">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参照《汽车工业污染防治可行技术指南》（HJ 1181—2021）附录E“表 E.2 汽车工业废水及废水污染物参考一览表”中“机械加工 零件清洗”，技改项目废水产生情况如下表。</w:t>
            </w:r>
          </w:p>
          <w:p w14:paraId="59DABEE6">
            <w:pPr>
              <w:pStyle w:val="112"/>
              <w:spacing w:before="0" w:beforeLines="0" w:after="0" w:afterLines="0" w:line="360" w:lineRule="auto"/>
              <w:ind w:firstLine="1440" w:firstLineChars="60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 xml:space="preserve">表4-1 </w:t>
            </w:r>
            <w:r>
              <w:rPr>
                <w:rFonts w:hint="eastAsia" w:cs="Times New Roman"/>
                <w:color w:val="auto"/>
                <w:sz w:val="24"/>
                <w:szCs w:val="24"/>
                <w:highlight w:val="none"/>
                <w:lang w:val="en-US" w:eastAsia="zh-CN"/>
              </w:rPr>
              <w:t xml:space="preserve"> </w:t>
            </w:r>
            <w:r>
              <w:rPr>
                <w:rFonts w:hint="eastAsia" w:ascii="Times New Roman" w:hAnsi="Times New Roman" w:eastAsia="宋体" w:cs="Times New Roman"/>
                <w:color w:val="auto"/>
                <w:sz w:val="24"/>
                <w:szCs w:val="24"/>
                <w:highlight w:val="none"/>
                <w:lang w:val="en-US" w:eastAsia="zh-CN"/>
              </w:rPr>
              <w:t>技改项目废水COD、石油类产生情况表</w:t>
            </w:r>
          </w:p>
          <w:tbl>
            <w:tblPr>
              <w:tblStyle w:val="37"/>
              <w:tblpPr w:leftFromText="180" w:rightFromText="180" w:vertAnchor="text" w:horzAnchor="page" w:tblpX="128" w:tblpY="50"/>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7"/>
              <w:gridCol w:w="798"/>
              <w:gridCol w:w="871"/>
              <w:gridCol w:w="1173"/>
              <w:gridCol w:w="842"/>
              <w:gridCol w:w="1598"/>
              <w:gridCol w:w="1413"/>
              <w:gridCol w:w="1060"/>
            </w:tblGrid>
            <w:tr w14:paraId="446A9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423" w:type="pct"/>
                  <w:vMerge w:val="restart"/>
                  <w:noWrap w:val="0"/>
                  <w:vAlign w:val="center"/>
                </w:tcPr>
                <w:p w14:paraId="36035578">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工序</w:t>
                  </w:r>
                </w:p>
              </w:tc>
              <w:tc>
                <w:tcPr>
                  <w:tcW w:w="471" w:type="pct"/>
                  <w:vMerge w:val="restart"/>
                  <w:noWrap w:val="0"/>
                  <w:vAlign w:val="center"/>
                </w:tcPr>
                <w:p w14:paraId="36A7F917">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过程/装置</w:t>
                  </w:r>
                </w:p>
              </w:tc>
              <w:tc>
                <w:tcPr>
                  <w:tcW w:w="514" w:type="pct"/>
                  <w:vMerge w:val="restart"/>
                  <w:noWrap w:val="0"/>
                  <w:vAlign w:val="center"/>
                </w:tcPr>
                <w:p w14:paraId="1787C87D">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产生环节</w:t>
                  </w:r>
                </w:p>
              </w:tc>
              <w:tc>
                <w:tcPr>
                  <w:tcW w:w="692" w:type="pct"/>
                  <w:vMerge w:val="restart"/>
                  <w:noWrap w:val="0"/>
                  <w:vAlign w:val="center"/>
                </w:tcPr>
                <w:p w14:paraId="2B34679D">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废水类别</w:t>
                  </w:r>
                </w:p>
              </w:tc>
              <w:tc>
                <w:tcPr>
                  <w:tcW w:w="2273" w:type="pct"/>
                  <w:gridSpan w:val="3"/>
                  <w:noWrap w:val="0"/>
                  <w:vAlign w:val="center"/>
                </w:tcPr>
                <w:p w14:paraId="7D12A534">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主要污染物浓度（除pH外，均为mg/L）</w:t>
                  </w:r>
                </w:p>
              </w:tc>
              <w:tc>
                <w:tcPr>
                  <w:tcW w:w="625" w:type="pct"/>
                  <w:vMerge w:val="restart"/>
                  <w:noWrap w:val="0"/>
                  <w:vAlign w:val="center"/>
                </w:tcPr>
                <w:p w14:paraId="0D398AD7">
                  <w:pPr>
                    <w:pStyle w:val="30"/>
                    <w:spacing w:before="0" w:beforeAutospacing="0" w:after="0" w:afterAutospacing="0"/>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排放方式</w:t>
                  </w:r>
                </w:p>
              </w:tc>
            </w:tr>
            <w:tr w14:paraId="43FA0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423" w:type="pct"/>
                  <w:vMerge w:val="continue"/>
                  <w:noWrap w:val="0"/>
                  <w:vAlign w:val="center"/>
                </w:tcPr>
                <w:p w14:paraId="44A183F7">
                  <w:pPr>
                    <w:pStyle w:val="30"/>
                    <w:spacing w:before="0" w:beforeAutospacing="0" w:after="0" w:afterAutospacing="0"/>
                    <w:jc w:val="center"/>
                    <w:rPr>
                      <w:rFonts w:ascii="Times New Roman" w:hAnsi="Times New Roman"/>
                      <w:b/>
                      <w:bCs/>
                      <w:color w:val="auto"/>
                      <w:sz w:val="21"/>
                      <w:szCs w:val="21"/>
                      <w:highlight w:val="none"/>
                    </w:rPr>
                  </w:pPr>
                </w:p>
              </w:tc>
              <w:tc>
                <w:tcPr>
                  <w:tcW w:w="471" w:type="pct"/>
                  <w:vMerge w:val="continue"/>
                  <w:noWrap w:val="0"/>
                  <w:vAlign w:val="center"/>
                </w:tcPr>
                <w:p w14:paraId="11530A4E">
                  <w:pPr>
                    <w:pStyle w:val="30"/>
                    <w:spacing w:before="0" w:beforeAutospacing="0" w:after="0" w:afterAutospacing="0"/>
                    <w:jc w:val="center"/>
                    <w:rPr>
                      <w:rFonts w:ascii="Times New Roman" w:hAnsi="Times New Roman"/>
                      <w:b/>
                      <w:bCs/>
                      <w:color w:val="auto"/>
                      <w:sz w:val="21"/>
                      <w:szCs w:val="21"/>
                      <w:highlight w:val="none"/>
                    </w:rPr>
                  </w:pPr>
                </w:p>
              </w:tc>
              <w:tc>
                <w:tcPr>
                  <w:tcW w:w="514" w:type="pct"/>
                  <w:vMerge w:val="continue"/>
                  <w:noWrap w:val="0"/>
                  <w:vAlign w:val="center"/>
                </w:tcPr>
                <w:p w14:paraId="43B32F98">
                  <w:pPr>
                    <w:pStyle w:val="30"/>
                    <w:spacing w:before="0" w:beforeAutospacing="0" w:after="0" w:afterAutospacing="0"/>
                    <w:jc w:val="center"/>
                    <w:rPr>
                      <w:rFonts w:ascii="Times New Roman" w:hAnsi="Times New Roman"/>
                      <w:b/>
                      <w:bCs/>
                      <w:color w:val="auto"/>
                      <w:sz w:val="21"/>
                      <w:szCs w:val="21"/>
                      <w:highlight w:val="none"/>
                    </w:rPr>
                  </w:pPr>
                </w:p>
              </w:tc>
              <w:tc>
                <w:tcPr>
                  <w:tcW w:w="692" w:type="pct"/>
                  <w:vMerge w:val="continue"/>
                  <w:noWrap w:val="0"/>
                  <w:vAlign w:val="center"/>
                </w:tcPr>
                <w:p w14:paraId="7471EAA8">
                  <w:pPr>
                    <w:pStyle w:val="30"/>
                    <w:spacing w:before="0" w:beforeAutospacing="0" w:after="0" w:afterAutospacing="0"/>
                    <w:jc w:val="center"/>
                    <w:rPr>
                      <w:rFonts w:ascii="Times New Roman" w:hAnsi="Times New Roman"/>
                      <w:b/>
                      <w:bCs/>
                      <w:color w:val="auto"/>
                      <w:sz w:val="21"/>
                      <w:szCs w:val="21"/>
                      <w:highlight w:val="none"/>
                    </w:rPr>
                  </w:pPr>
                </w:p>
              </w:tc>
              <w:tc>
                <w:tcPr>
                  <w:tcW w:w="497" w:type="pct"/>
                  <w:noWrap w:val="0"/>
                  <w:vAlign w:val="center"/>
                </w:tcPr>
                <w:p w14:paraId="51B66081">
                  <w:pPr>
                    <w:pStyle w:val="30"/>
                    <w:spacing w:before="0" w:beforeAutospacing="0" w:after="0" w:afterAutospacing="0"/>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pH</w:t>
                  </w:r>
                </w:p>
              </w:tc>
              <w:tc>
                <w:tcPr>
                  <w:tcW w:w="943" w:type="pct"/>
                  <w:noWrap w:val="0"/>
                  <w:vAlign w:val="center"/>
                </w:tcPr>
                <w:p w14:paraId="355E3530">
                  <w:pPr>
                    <w:pStyle w:val="30"/>
                    <w:spacing w:before="0" w:beforeAutospacing="0" w:after="0" w:afterAutospacing="0"/>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832" w:type="pct"/>
                  <w:noWrap w:val="0"/>
                  <w:vAlign w:val="center"/>
                </w:tcPr>
                <w:p w14:paraId="2076FBBD">
                  <w:pPr>
                    <w:pStyle w:val="30"/>
                    <w:spacing w:before="0" w:beforeAutospacing="0" w:after="0" w:afterAutospacing="0"/>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625" w:type="pct"/>
                  <w:vMerge w:val="continue"/>
                  <w:noWrap w:val="0"/>
                  <w:vAlign w:val="center"/>
                </w:tcPr>
                <w:p w14:paraId="5B59A8E4">
                  <w:pPr>
                    <w:pStyle w:val="30"/>
                    <w:spacing w:before="0" w:beforeAutospacing="0" w:after="0" w:afterAutospacing="0"/>
                    <w:jc w:val="center"/>
                    <w:rPr>
                      <w:rFonts w:ascii="Times New Roman" w:hAnsi="Times New Roman"/>
                      <w:b/>
                      <w:bCs/>
                      <w:color w:val="auto"/>
                      <w:sz w:val="21"/>
                      <w:szCs w:val="21"/>
                      <w:highlight w:val="none"/>
                    </w:rPr>
                  </w:pPr>
                </w:p>
              </w:tc>
            </w:tr>
            <w:tr w14:paraId="329FD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423" w:type="pct"/>
                  <w:noWrap w:val="0"/>
                  <w:vAlign w:val="center"/>
                </w:tcPr>
                <w:p w14:paraId="155F4EC7">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机械加工</w:t>
                  </w:r>
                </w:p>
              </w:tc>
              <w:tc>
                <w:tcPr>
                  <w:tcW w:w="471" w:type="pct"/>
                  <w:noWrap w:val="0"/>
                  <w:vAlign w:val="center"/>
                </w:tcPr>
                <w:p w14:paraId="1CBCED1F">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零件清洗</w:t>
                  </w:r>
                </w:p>
              </w:tc>
              <w:tc>
                <w:tcPr>
                  <w:tcW w:w="514" w:type="pct"/>
                  <w:noWrap w:val="0"/>
                  <w:vAlign w:val="center"/>
                </w:tcPr>
                <w:p w14:paraId="4750053F">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零件清洗</w:t>
                  </w:r>
                </w:p>
              </w:tc>
              <w:tc>
                <w:tcPr>
                  <w:tcW w:w="692" w:type="pct"/>
                  <w:noWrap w:val="0"/>
                  <w:vAlign w:val="center"/>
                </w:tcPr>
                <w:p w14:paraId="71C15105">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含</w:t>
                  </w:r>
                  <w:r>
                    <w:rPr>
                      <w:rFonts w:hint="eastAsia" w:ascii="Times New Roman" w:hAnsi="Times New Roman"/>
                      <w:color w:val="auto"/>
                      <w:sz w:val="21"/>
                      <w:szCs w:val="21"/>
                      <w:highlight w:val="none"/>
                      <w:lang w:val="en-US" w:eastAsia="zh-CN"/>
                    </w:rPr>
                    <w:t>油</w:t>
                  </w:r>
                  <w:r>
                    <w:rPr>
                      <w:rFonts w:hint="eastAsia" w:ascii="Times New Roman" w:hAnsi="Times New Roman"/>
                      <w:color w:val="auto"/>
                      <w:sz w:val="21"/>
                      <w:szCs w:val="21"/>
                      <w:highlight w:val="none"/>
                    </w:rPr>
                    <w:t>废水</w:t>
                  </w:r>
                </w:p>
              </w:tc>
              <w:tc>
                <w:tcPr>
                  <w:tcW w:w="497" w:type="pct"/>
                  <w:noWrap w:val="0"/>
                  <w:vAlign w:val="center"/>
                </w:tcPr>
                <w:p w14:paraId="28BA7971">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7~9</w:t>
                  </w:r>
                </w:p>
              </w:tc>
              <w:tc>
                <w:tcPr>
                  <w:tcW w:w="943" w:type="pct"/>
                  <w:noWrap w:val="0"/>
                  <w:vAlign w:val="center"/>
                </w:tcPr>
                <w:p w14:paraId="267FE89C">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6000~9000</w:t>
                  </w:r>
                </w:p>
              </w:tc>
              <w:tc>
                <w:tcPr>
                  <w:tcW w:w="832" w:type="pct"/>
                  <w:noWrap w:val="0"/>
                  <w:vAlign w:val="center"/>
                </w:tcPr>
                <w:p w14:paraId="57DBD3ED">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1000~3000</w:t>
                  </w:r>
                </w:p>
              </w:tc>
              <w:tc>
                <w:tcPr>
                  <w:tcW w:w="625" w:type="pct"/>
                  <w:noWrap w:val="0"/>
                  <w:vAlign w:val="center"/>
                </w:tcPr>
                <w:p w14:paraId="3473A236">
                  <w:pPr>
                    <w:pStyle w:val="30"/>
                    <w:spacing w:before="0" w:beforeAutospacing="0" w:after="0" w:afterAutospacing="0"/>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间歇排放</w:t>
                  </w:r>
                </w:p>
              </w:tc>
            </w:tr>
          </w:tbl>
          <w:p w14:paraId="566F136D">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p>
          <w:p w14:paraId="524072C3">
            <w:pPr>
              <w:pStyle w:val="112"/>
              <w:spacing w:before="0" w:beforeLines="0" w:after="0" w:afterLines="0" w:line="360" w:lineRule="auto"/>
              <w:ind w:firstLine="48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根据现场勘查情况，现有项目工件携带石油类极少，见下图。</w:t>
            </w:r>
          </w:p>
          <w:p w14:paraId="751FA61D">
            <w:pPr>
              <w:pStyle w:val="112"/>
              <w:spacing w:before="0" w:beforeLines="0" w:after="0" w:afterLines="0" w:line="360" w:lineRule="auto"/>
              <w:ind w:firstLine="2100" w:firstLineChars="100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color w:val="auto"/>
                <w:szCs w:val="24"/>
                <w:highlight w:val="none"/>
              </w:rPr>
              <w:drawing>
                <wp:anchor distT="0" distB="0" distL="114300" distR="114300" simplePos="0" relativeHeight="251666432" behindDoc="1" locked="0" layoutInCell="1" allowOverlap="1">
                  <wp:simplePos x="0" y="0"/>
                  <wp:positionH relativeFrom="column">
                    <wp:posOffset>2762885</wp:posOffset>
                  </wp:positionH>
                  <wp:positionV relativeFrom="paragraph">
                    <wp:posOffset>28575</wp:posOffset>
                  </wp:positionV>
                  <wp:extent cx="1847850" cy="2208530"/>
                  <wp:effectExtent l="0" t="0" r="6985" b="11430"/>
                  <wp:wrapNone/>
                  <wp:docPr id="3" name="图片 2" descr="4d8c51e98e08c59d7f4924425028d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4d8c51e98e08c59d7f4924425028d8c"/>
                          <pic:cNvPicPr>
                            <a:picLocks noChangeAspect="1"/>
                          </pic:cNvPicPr>
                        </pic:nvPicPr>
                        <pic:blipFill>
                          <a:blip r:embed="rId16"/>
                          <a:srcRect t="8235"/>
                          <a:stretch>
                            <a:fillRect/>
                          </a:stretch>
                        </pic:blipFill>
                        <pic:spPr>
                          <a:xfrm>
                            <a:off x="0" y="0"/>
                            <a:ext cx="1847850" cy="2208530"/>
                          </a:xfrm>
                          <a:prstGeom prst="rect">
                            <a:avLst/>
                          </a:prstGeom>
                          <a:noFill/>
                          <a:ln>
                            <a:noFill/>
                          </a:ln>
                        </pic:spPr>
                      </pic:pic>
                    </a:graphicData>
                  </a:graphic>
                </wp:anchor>
              </w:drawing>
            </w:r>
            <w:r>
              <w:rPr>
                <w:rFonts w:hint="eastAsia" w:ascii="Times New Roman" w:hAnsi="Times New Roman"/>
                <w:color w:val="auto"/>
                <w:szCs w:val="24"/>
                <w:highlight w:val="none"/>
              </w:rPr>
              <w:drawing>
                <wp:anchor distT="0" distB="0" distL="114300" distR="114300" simplePos="0" relativeHeight="251665408" behindDoc="1" locked="0" layoutInCell="1" allowOverlap="1">
                  <wp:simplePos x="0" y="0"/>
                  <wp:positionH relativeFrom="column">
                    <wp:posOffset>392430</wp:posOffset>
                  </wp:positionH>
                  <wp:positionV relativeFrom="paragraph">
                    <wp:posOffset>52070</wp:posOffset>
                  </wp:positionV>
                  <wp:extent cx="2064385" cy="2246630"/>
                  <wp:effectExtent l="0" t="0" r="9525" b="2540"/>
                  <wp:wrapNone/>
                  <wp:docPr id="6" name="图片 4" descr="a3f42bb9824b0bcd67ff8923ee0e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descr="a3f42bb9824b0bcd67ff8923ee0e20a"/>
                          <pic:cNvPicPr>
                            <a:picLocks noChangeAspect="1"/>
                          </pic:cNvPicPr>
                        </pic:nvPicPr>
                        <pic:blipFill>
                          <a:blip r:embed="rId17"/>
                          <a:srcRect t="22067" b="3296"/>
                          <a:stretch>
                            <a:fillRect/>
                          </a:stretch>
                        </pic:blipFill>
                        <pic:spPr>
                          <a:xfrm>
                            <a:off x="0" y="0"/>
                            <a:ext cx="2064385" cy="2246630"/>
                          </a:xfrm>
                          <a:prstGeom prst="rect">
                            <a:avLst/>
                          </a:prstGeom>
                          <a:noFill/>
                          <a:ln>
                            <a:noFill/>
                          </a:ln>
                        </pic:spPr>
                      </pic:pic>
                    </a:graphicData>
                  </a:graphic>
                </wp:anchor>
              </w:drawing>
            </w:r>
          </w:p>
          <w:p w14:paraId="1C921EB8">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5D6A406F">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78502AC4">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6F6283AF">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59B84CB1">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4D4EE3BD">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07D634CB">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3609D80A">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p>
          <w:p w14:paraId="72134D5D">
            <w:pPr>
              <w:pStyle w:val="112"/>
              <w:spacing w:before="0" w:beforeLines="0" w:after="0" w:afterLines="0" w:line="360" w:lineRule="auto"/>
              <w:ind w:firstLine="2400" w:firstLineChars="1000"/>
              <w:rPr>
                <w:rFonts w:hint="eastAsia" w:ascii="Times New Roman" w:hAnsi="Times New Roman" w:eastAsia="宋体" w:cs="Times New Roman"/>
                <w:color w:val="auto"/>
                <w:sz w:val="24"/>
                <w:szCs w:val="24"/>
                <w:highlight w:val="none"/>
                <w:lang w:val="en-US" w:eastAsia="zh-CN"/>
              </w:rPr>
            </w:pPr>
            <w:r>
              <w:rPr>
                <w:sz w:val="24"/>
              </w:rPr>
              <mc:AlternateContent>
                <mc:Choice Requires="wps">
                  <w:drawing>
                    <wp:anchor distT="0" distB="0" distL="114300" distR="114300" simplePos="0" relativeHeight="251663360" behindDoc="0" locked="0" layoutInCell="1" allowOverlap="1">
                      <wp:simplePos x="0" y="0"/>
                      <wp:positionH relativeFrom="column">
                        <wp:posOffset>1918970</wp:posOffset>
                      </wp:positionH>
                      <wp:positionV relativeFrom="paragraph">
                        <wp:posOffset>27305</wp:posOffset>
                      </wp:positionV>
                      <wp:extent cx="1609725" cy="285750"/>
                      <wp:effectExtent l="0" t="0" r="0" b="0"/>
                      <wp:wrapNone/>
                      <wp:docPr id="8" name="文本框 8"/>
                      <wp:cNvGraphicFramePr/>
                      <a:graphic xmlns:a="http://schemas.openxmlformats.org/drawingml/2006/main">
                        <a:graphicData uri="http://schemas.microsoft.com/office/word/2010/wordprocessingShape">
                          <wps:wsp>
                            <wps:cNvSpPr txBox="1"/>
                            <wps:spPr>
                              <a:xfrm>
                                <a:off x="2580640" y="3983355"/>
                                <a:ext cx="1609725" cy="2857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4FC9AA">
                                  <w:pPr>
                                    <w:rPr>
                                      <w:rFonts w:hint="default" w:eastAsia="宋体"/>
                                      <w:b/>
                                      <w:bCs/>
                                      <w:sz w:val="24"/>
                                      <w:szCs w:val="24"/>
                                      <w:lang w:val="en-US" w:eastAsia="zh-CN"/>
                                    </w:rPr>
                                  </w:pPr>
                                  <w:r>
                                    <w:rPr>
                                      <w:rFonts w:hint="eastAsia"/>
                                      <w:b/>
                                      <w:bCs/>
                                      <w:sz w:val="24"/>
                                      <w:szCs w:val="24"/>
                                      <w:lang w:val="en-US" w:eastAsia="zh-CN"/>
                                    </w:rPr>
                                    <w:t>图4-1 待清洗工件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1.1pt;margin-top:2.15pt;height:22.5pt;width:126.75pt;z-index:251663360;mso-width-relative:page;mso-height-relative:page;" filled="f" stroked="f" coordsize="21600,21600" o:gfxdata="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vILpGdkAAAAIAQAADwAAAAAAAAAB&#10;ACAAAAAiAAAAZHJzL2Rvd25yZXYueG1sUEsBAhQAFAAAAAgAh07iQPoY0gBIAgAAcgQAAA4AAAAA&#10;AAAAAQAgAAAAKAEAAGRycy9lMm9Eb2MueG1sUEsFBgAAAAAGAAYAWQEAAOIFAAAAAA==&#10;">
                      <v:fill on="f" focussize="0,0"/>
                      <v:stroke on="f" weight="0.5pt"/>
                      <v:imagedata o:title=""/>
                      <o:lock v:ext="edit" aspectratio="f"/>
                      <v:textbox>
                        <w:txbxContent>
                          <w:p w14:paraId="6E4FC9AA">
                            <w:pPr>
                              <w:rPr>
                                <w:rFonts w:hint="default" w:eastAsia="宋体"/>
                                <w:b/>
                                <w:bCs/>
                                <w:sz w:val="24"/>
                                <w:szCs w:val="24"/>
                                <w:lang w:val="en-US" w:eastAsia="zh-CN"/>
                              </w:rPr>
                            </w:pPr>
                            <w:r>
                              <w:rPr>
                                <w:rFonts w:hint="eastAsia"/>
                                <w:b/>
                                <w:bCs/>
                                <w:sz w:val="24"/>
                                <w:szCs w:val="24"/>
                                <w:lang w:val="en-US" w:eastAsia="zh-CN"/>
                              </w:rPr>
                              <w:t>图4-1 待清洗工件</w:t>
                            </w:r>
                          </w:p>
                        </w:txbxContent>
                      </v:textbox>
                    </v:shape>
                  </w:pict>
                </mc:Fallback>
              </mc:AlternateContent>
            </w:r>
          </w:p>
          <w:p w14:paraId="6BCE9DBA">
            <w:pPr>
              <w:pStyle w:val="112"/>
              <w:spacing w:before="0" w:beforeLines="0" w:after="0" w:afterLines="0" w:line="360" w:lineRule="auto"/>
              <w:ind w:left="2394" w:leftChars="1140" w:firstLine="0" w:firstLineChars="0"/>
              <w:rPr>
                <w:rFonts w:hint="eastAsia" w:ascii="Times New Roman" w:hAnsi="Times New Roman" w:eastAsia="宋体" w:cs="Times New Roman"/>
                <w:color w:val="auto"/>
                <w:sz w:val="24"/>
                <w:szCs w:val="24"/>
                <w:highlight w:val="none"/>
                <w:lang w:val="en-US" w:eastAsia="zh-CN"/>
              </w:rPr>
            </w:pPr>
          </w:p>
          <w:p w14:paraId="3A0FE04B">
            <w:pPr>
              <w:pStyle w:val="112"/>
              <w:spacing w:before="0" w:beforeLines="0" w:after="0" w:afterLines="0" w:line="360" w:lineRule="auto"/>
              <w:ind w:firstLine="480"/>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依据上述情况，技改项目</w:t>
            </w:r>
            <w:r>
              <w:rPr>
                <w:rFonts w:hint="eastAsia" w:cs="Times New Roman"/>
                <w:color w:val="000000" w:themeColor="text1"/>
                <w:sz w:val="24"/>
                <w:szCs w:val="24"/>
                <w:highlight w:val="none"/>
                <w:lang w:val="en-US" w:eastAsia="zh-CN"/>
                <w14:textFill>
                  <w14:solidFill>
                    <w14:schemeClr w14:val="tx1"/>
                  </w14:solidFill>
                </w14:textFill>
              </w:rPr>
              <w:t>清洗废水排放时四个水槽废水混合在一起，预脱脂和主脱脂含油浓度较高，水洗废水和防锈废水含油浓度较低，根据项目实际排水工况，本环评不细分隔水槽分别排放，将其混合排放进行工程分析。本报告依据源强数据和工程实际工况将</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COD</w:t>
            </w:r>
            <w:r>
              <w:rPr>
                <w:rFonts w:hint="eastAsia" w:cs="Times New Roman"/>
                <w:color w:val="000000" w:themeColor="text1"/>
                <w:sz w:val="24"/>
                <w:szCs w:val="24"/>
                <w:highlight w:val="none"/>
                <w:lang w:val="en-US" w:eastAsia="zh-CN"/>
                <w14:textFill>
                  <w14:solidFill>
                    <w14:schemeClr w14:val="tx1"/>
                  </w14:solidFill>
                </w14:textFill>
              </w:rPr>
              <w:t>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取6000mg/L、石油类取1000mg/L。依据工程分析，技改项目废水量情况为30天排放一次、一次排放1.5</w:t>
            </w:r>
            <w:r>
              <w:rPr>
                <w:rFonts w:hint="eastAsia" w:cs="Times New Roman"/>
                <w:color w:val="000000" w:themeColor="text1"/>
                <w:sz w:val="24"/>
                <w:szCs w:val="24"/>
                <w:highlight w:val="none"/>
                <w:lang w:val="en-US" w:eastAsia="zh-CN"/>
                <w14:textFill>
                  <w14:solidFill>
                    <w14:schemeClr w14:val="tx1"/>
                  </w14:solidFill>
                </w14:textFill>
              </w:rPr>
              <w:t>m</w:t>
            </w:r>
            <w:r>
              <w:rPr>
                <w:rFonts w:hint="eastAsia" w:cs="Times New Roman"/>
                <w:color w:val="000000" w:themeColor="text1"/>
                <w:sz w:val="24"/>
                <w:szCs w:val="24"/>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，运营</w:t>
            </w:r>
            <w:r>
              <w:rPr>
                <w:rFonts w:hint="eastAsia" w:cs="Times New Roman"/>
                <w:color w:val="000000" w:themeColor="text1"/>
                <w:sz w:val="24"/>
                <w:szCs w:val="24"/>
                <w:highlight w:val="none"/>
                <w:lang w:val="en-US" w:eastAsia="zh-CN"/>
                <w14:textFill>
                  <w14:solidFill>
                    <w14:schemeClr w14:val="tx1"/>
                  </w14:solidFill>
                </w14:textFill>
              </w:rPr>
              <w:t>300</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天，</w:t>
            </w:r>
            <w:r>
              <w:rPr>
                <w:rFonts w:hint="eastAsia" w:cs="Times New Roman"/>
                <w:color w:val="000000" w:themeColor="text1"/>
                <w:sz w:val="24"/>
                <w:szCs w:val="24"/>
                <w:highlight w:val="none"/>
                <w:lang w:val="en-US" w:eastAsia="zh-CN"/>
                <w14:textFill>
                  <w14:solidFill>
                    <w14:schemeClr w14:val="tx1"/>
                  </w14:solidFill>
                </w14:textFill>
              </w:rPr>
              <w:t>年排放15m</w:t>
            </w:r>
            <w:r>
              <w:rPr>
                <w:rFonts w:hint="eastAsia" w:cs="Times New Roman"/>
                <w:color w:val="000000" w:themeColor="text1"/>
                <w:sz w:val="24"/>
                <w:szCs w:val="24"/>
                <w:highlight w:val="none"/>
                <w:vertAlign w:val="superscript"/>
                <w:lang w:val="en-US" w:eastAsia="zh-CN"/>
                <w14:textFill>
                  <w14:solidFill>
                    <w14:schemeClr w14:val="tx1"/>
                  </w14:solidFill>
                </w14:textFill>
              </w:rPr>
              <w:t>3</w:t>
            </w:r>
            <w:r>
              <w:rPr>
                <w:rFonts w:hint="eastAsia" w:cs="Times New Roman"/>
                <w:color w:val="000000" w:themeColor="text1"/>
                <w:sz w:val="24"/>
                <w:szCs w:val="24"/>
                <w:highlight w:val="none"/>
                <w:vertAlign w:val="baseline"/>
                <w:lang w:val="en-US" w:eastAsia="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则COD、石油类产生量为0.0</w:t>
            </w:r>
            <w:r>
              <w:rPr>
                <w:rFonts w:hint="eastAsia" w:cs="Times New Roman"/>
                <w:color w:val="000000" w:themeColor="text1"/>
                <w:sz w:val="24"/>
                <w:szCs w:val="24"/>
                <w:highlight w:val="none"/>
                <w:lang w:val="en-US" w:eastAsia="zh-CN"/>
                <w14:textFill>
                  <w14:solidFill>
                    <w14:schemeClr w14:val="tx1"/>
                  </w14:solidFill>
                </w14:textFill>
              </w:rPr>
              <w:t>9</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t/a、0.01</w:t>
            </w:r>
            <w:r>
              <w:rPr>
                <w:rFonts w:hint="eastAsia" w:cs="Times New Roman"/>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w:t>
            </w:r>
          </w:p>
          <w:p w14:paraId="397477DF">
            <w:pPr>
              <w:pStyle w:val="112"/>
              <w:spacing w:before="0" w:beforeLines="0" w:after="0" w:afterLines="0" w:line="360" w:lineRule="auto"/>
              <w:ind w:firstLine="480"/>
              <w:rPr>
                <w:rFonts w:hint="default" w:ascii="Times New Roman" w:hAnsi="Times New Roman" w:eastAsia="宋体" w:cs="Times New Roman"/>
                <w:color w:val="FF0000"/>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依据工程分析，</w:t>
            </w:r>
            <w:r>
              <w:rPr>
                <w:rFonts w:hint="eastAsia" w:cs="Times New Roman"/>
                <w:color w:val="auto"/>
                <w:sz w:val="24"/>
                <w:szCs w:val="24"/>
                <w:highlight w:val="none"/>
                <w:lang w:val="en-US" w:eastAsia="zh-CN"/>
              </w:rPr>
              <w:t>清洗线系统</w:t>
            </w:r>
            <w:r>
              <w:rPr>
                <w:rFonts w:hint="eastAsia" w:ascii="Times New Roman" w:hAnsi="Times New Roman" w:eastAsia="宋体" w:cs="Times New Roman"/>
                <w:color w:val="auto"/>
                <w:sz w:val="24"/>
                <w:szCs w:val="24"/>
                <w:highlight w:val="none"/>
                <w:lang w:val="en-US" w:eastAsia="zh-CN"/>
              </w:rPr>
              <w:t>自带</w:t>
            </w:r>
            <w:r>
              <w:rPr>
                <w:rFonts w:hint="eastAsia" w:cs="Times New Roman"/>
                <w:color w:val="auto"/>
                <w:sz w:val="24"/>
                <w:szCs w:val="24"/>
                <w:highlight w:val="none"/>
                <w:lang w:val="en-US" w:eastAsia="zh-CN"/>
              </w:rPr>
              <w:t>油水分离装置采用不锈钢吸油带提取废油，油被刮油板刮出收集排放，刹车盘清洗以浮油及分散乳化油为主，清洗剂含表面活性剂，属于典型机加工水基清洗废水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，依据设计资料</w:t>
            </w:r>
            <w:r>
              <w:rPr>
                <w:rFonts w:hint="eastAsia" w:cs="Times New Roman"/>
                <w:color w:val="000000" w:themeColor="text1"/>
                <w:sz w:val="24"/>
                <w:szCs w:val="24"/>
                <w:highlight w:val="none"/>
                <w:lang w:val="en-US" w:eastAsia="zh-CN"/>
                <w14:textFill>
                  <w14:solidFill>
                    <w14:schemeClr w14:val="tx1"/>
                  </w14:solidFill>
                </w14:textFill>
              </w:rPr>
              <w:t>装置</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除油率为9</w:t>
            </w:r>
            <w:r>
              <w:rPr>
                <w:rFonts w:hint="eastAsia" w:cs="Times New Roman"/>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eastAsia="宋体" w:cs="Times New Roman"/>
                <w:color w:val="auto"/>
                <w:sz w:val="24"/>
                <w:szCs w:val="24"/>
                <w:highlight w:val="none"/>
                <w:lang w:val="en-US" w:eastAsia="zh-CN"/>
              </w:rPr>
              <w:t>油水分离去</w:t>
            </w:r>
            <w:r>
              <w:rPr>
                <w:rFonts w:hint="eastAsia" w:cs="Times New Roman"/>
                <w:color w:val="auto"/>
                <w:sz w:val="24"/>
                <w:szCs w:val="24"/>
                <w:highlight w:val="none"/>
                <w:lang w:val="en-US" w:eastAsia="zh-CN"/>
              </w:rPr>
              <w:t>除</w:t>
            </w:r>
            <w:r>
              <w:rPr>
                <w:rFonts w:hint="eastAsia" w:ascii="Times New Roman" w:hAnsi="Times New Roman" w:eastAsia="宋体" w:cs="Times New Roman"/>
                <w:color w:val="auto"/>
                <w:sz w:val="24"/>
                <w:szCs w:val="24"/>
                <w:highlight w:val="none"/>
                <w:lang w:val="en-US" w:eastAsia="zh-CN"/>
              </w:rPr>
              <w:t>油相</w:t>
            </w:r>
            <w:r>
              <w:rPr>
                <w:rFonts w:hint="eastAsia" w:cs="Times New Roman"/>
                <w:color w:val="auto"/>
                <w:sz w:val="24"/>
                <w:szCs w:val="24"/>
                <w:highlight w:val="none"/>
                <w:lang w:val="en-US" w:eastAsia="zh-CN"/>
              </w:rPr>
              <w:t>中的</w:t>
            </w:r>
            <w:r>
              <w:rPr>
                <w:rFonts w:hint="eastAsia" w:ascii="Times New Roman" w:hAnsi="Times New Roman" w:eastAsia="宋体" w:cs="Times New Roman"/>
                <w:color w:val="auto"/>
                <w:sz w:val="24"/>
                <w:szCs w:val="24"/>
                <w:highlight w:val="none"/>
                <w:lang w:val="en-US" w:eastAsia="zh-CN"/>
              </w:rPr>
              <w:t>COD，不</w:t>
            </w:r>
            <w:r>
              <w:rPr>
                <w:rFonts w:hint="eastAsia" w:cs="Times New Roman"/>
                <w:color w:val="auto"/>
                <w:sz w:val="24"/>
                <w:szCs w:val="24"/>
                <w:highlight w:val="none"/>
                <w:lang w:val="en-US" w:eastAsia="zh-CN"/>
              </w:rPr>
              <w:t>能去除</w:t>
            </w:r>
            <w:r>
              <w:rPr>
                <w:rFonts w:hint="eastAsia" w:ascii="Times New Roman" w:hAnsi="Times New Roman" w:eastAsia="宋体" w:cs="Times New Roman"/>
                <w:color w:val="auto"/>
                <w:sz w:val="24"/>
                <w:szCs w:val="24"/>
                <w:highlight w:val="none"/>
                <w:lang w:val="en-US" w:eastAsia="zh-CN"/>
              </w:rPr>
              <w:t>清洗剂</w:t>
            </w:r>
            <w:r>
              <w:rPr>
                <w:rFonts w:hint="eastAsia" w:cs="Times New Roman"/>
                <w:color w:val="auto"/>
                <w:sz w:val="24"/>
                <w:szCs w:val="24"/>
                <w:highlight w:val="none"/>
                <w:lang w:val="en-US" w:eastAsia="zh-CN"/>
              </w:rPr>
              <w:t>液中</w:t>
            </w:r>
            <w:r>
              <w:rPr>
                <w:rFonts w:hint="eastAsia" w:ascii="Times New Roman" w:hAnsi="Times New Roman" w:eastAsia="宋体" w:cs="Times New Roman"/>
                <w:color w:val="auto"/>
                <w:sz w:val="24"/>
                <w:szCs w:val="24"/>
                <w:highlight w:val="none"/>
                <w:lang w:val="en-US" w:eastAsia="zh-CN"/>
              </w:rPr>
              <w:t>溶解</w:t>
            </w:r>
            <w:r>
              <w:rPr>
                <w:rFonts w:hint="eastAsia" w:cs="Times New Roman"/>
                <w:color w:val="auto"/>
                <w:sz w:val="24"/>
                <w:szCs w:val="24"/>
                <w:highlight w:val="none"/>
                <w:lang w:val="en-US" w:eastAsia="zh-CN"/>
              </w:rPr>
              <w:t>的</w:t>
            </w:r>
            <w:r>
              <w:rPr>
                <w:rFonts w:hint="eastAsia" w:ascii="Times New Roman" w:hAnsi="Times New Roman" w:eastAsia="宋体" w:cs="Times New Roman"/>
                <w:color w:val="auto"/>
                <w:sz w:val="24"/>
                <w:szCs w:val="24"/>
                <w:highlight w:val="none"/>
                <w:lang w:val="en-US" w:eastAsia="zh-CN"/>
              </w:rPr>
              <w:t>COD，效率低于除油</w:t>
            </w:r>
            <w:r>
              <w:rPr>
                <w:rFonts w:hint="eastAsia" w:cs="Times New Roman"/>
                <w:color w:val="auto"/>
                <w:sz w:val="24"/>
                <w:szCs w:val="24"/>
                <w:highlight w:val="none"/>
                <w:lang w:val="en-US" w:eastAsia="zh-CN"/>
              </w:rPr>
              <w:t>，依据企业提供资料</w:t>
            </w:r>
            <w:r>
              <w:rPr>
                <w:rFonts w:hint="eastAsia" w:cs="Times New Roman"/>
                <w:color w:val="000000" w:themeColor="text1"/>
                <w:sz w:val="24"/>
                <w:szCs w:val="24"/>
                <w:highlight w:val="none"/>
                <w:lang w:val="en-US" w:eastAsia="zh-CN"/>
                <w14:textFill>
                  <w14:solidFill>
                    <w14:schemeClr w14:val="tx1"/>
                  </w14:solidFill>
                </w14:textFill>
              </w:rPr>
              <w:t>，油水分离装置对COD去除率为30%。</w:t>
            </w:r>
          </w:p>
          <w:p w14:paraId="5B5E74FC">
            <w:pPr>
              <w:pStyle w:val="112"/>
              <w:spacing w:before="0" w:beforeLines="0" w:after="0" w:afterLines="0" w:line="360" w:lineRule="auto"/>
              <w:ind w:firstLine="480"/>
              <w:rPr>
                <w:rFonts w:hint="eastAsia" w:cs="Times New Roman"/>
                <w:color w:val="000000" w:themeColor="text1"/>
                <w:sz w:val="24"/>
                <w:szCs w:val="24"/>
                <w:highlight w:val="none"/>
                <w:lang w:val="en-US" w:eastAsia="zh-CN"/>
                <w14:textFill>
                  <w14:solidFill>
                    <w14:schemeClr w14:val="tx1"/>
                  </w14:solidFill>
                </w14:textFill>
              </w:rPr>
            </w:pPr>
            <w:r>
              <w:rPr>
                <w:rFonts w:hint="eastAsia" w:cs="Times New Roman"/>
                <w:color w:val="auto"/>
                <w:sz w:val="24"/>
                <w:szCs w:val="24"/>
                <w:highlight w:val="none"/>
                <w:lang w:val="en-US" w:eastAsia="zh-CN"/>
              </w:rPr>
              <w:t>排水时</w:t>
            </w:r>
            <w:r>
              <w:rPr>
                <w:rFonts w:hint="eastAsia" w:ascii="Times New Roman" w:hAnsi="Times New Roman" w:eastAsia="宋体" w:cs="Times New Roman"/>
                <w:color w:val="auto"/>
                <w:sz w:val="24"/>
                <w:szCs w:val="24"/>
                <w:highlight w:val="none"/>
                <w:lang w:val="en-US" w:eastAsia="zh-CN"/>
              </w:rPr>
              <w:t>使用絮凝剂进行絮凝沉淀，</w:t>
            </w:r>
            <w:r>
              <w:rPr>
                <w:rFonts w:hint="eastAsia" w:cs="Times New Roman"/>
                <w:color w:val="auto"/>
                <w:sz w:val="24"/>
                <w:szCs w:val="24"/>
                <w:highlight w:val="none"/>
                <w:lang w:val="en-US" w:eastAsia="zh-CN"/>
              </w:rPr>
              <w:t xml:space="preserve">并且废水排放时通过清洗系统的两级过滤装置， </w:t>
            </w:r>
            <w:r>
              <w:rPr>
                <w:rFonts w:hint="eastAsia" w:ascii="Times New Roman" w:hAnsi="Times New Roman" w:eastAsia="宋体" w:cs="Times New Roman"/>
                <w:color w:val="auto"/>
                <w:sz w:val="24"/>
                <w:szCs w:val="24"/>
                <w:highlight w:val="none"/>
                <w:lang w:val="en-US" w:eastAsia="zh-CN"/>
              </w:rPr>
              <w:t>参考“关于发布《排放源统计调查产排污核算方法和系数手册》的公告”（环境部公告 2021年第24 号）中“机械行业制造手册”</w:t>
            </w:r>
            <w:r>
              <w:rPr>
                <w:rFonts w:hint="eastAsia" w:cs="Times New Roman"/>
                <w:color w:val="auto"/>
                <w:sz w:val="24"/>
                <w:szCs w:val="24"/>
                <w:highlight w:val="none"/>
                <w:lang w:val="en-US" w:eastAsia="zh-CN"/>
              </w:rPr>
              <w:t>数据，</w:t>
            </w:r>
            <w:r>
              <w:rPr>
                <w:rFonts w:hint="eastAsia" w:cs="Times New Roman"/>
                <w:color w:val="000000" w:themeColor="text1"/>
                <w:sz w:val="24"/>
                <w:szCs w:val="24"/>
                <w:highlight w:val="none"/>
                <w:lang w:val="en-US" w:eastAsia="zh-CN"/>
                <w14:textFill>
                  <w14:solidFill>
                    <w14:schemeClr w14:val="tx1"/>
                  </w14:solidFill>
                </w14:textFill>
              </w:rPr>
              <w:t>本步操作</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COD处理效率</w:t>
            </w:r>
            <w:r>
              <w:rPr>
                <w:rFonts w:hint="eastAsia" w:cs="Times New Roman"/>
                <w:color w:val="000000" w:themeColor="text1"/>
                <w:sz w:val="24"/>
                <w:szCs w:val="24"/>
                <w:highlight w:val="none"/>
                <w:lang w:val="en-US" w:eastAsia="zh-CN"/>
                <w14:textFill>
                  <w14:solidFill>
                    <w14:schemeClr w14:val="tx1"/>
                  </w14:solidFill>
                </w14:textFill>
              </w:rPr>
              <w:t>取值</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为</w:t>
            </w:r>
            <w:r>
              <w:rPr>
                <w:rFonts w:hint="eastAsia" w:cs="Times New Roman"/>
                <w:color w:val="000000" w:themeColor="text1"/>
                <w:sz w:val="24"/>
                <w:szCs w:val="24"/>
                <w:highlight w:val="none"/>
                <w:lang w:val="en-US" w:eastAsia="zh-CN"/>
                <w14:textFill>
                  <w14:solidFill>
                    <w14:schemeClr w14:val="tx1"/>
                  </w14:solidFill>
                </w14:textFill>
              </w:rPr>
              <w:t>4</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0%、石油类处理效率为</w:t>
            </w:r>
            <w:r>
              <w:rPr>
                <w:rFonts w:hint="eastAsia" w:cs="Times New Roman"/>
                <w:color w:val="000000" w:themeColor="text1"/>
                <w:sz w:val="24"/>
                <w:szCs w:val="24"/>
                <w:highlight w:val="none"/>
                <w:lang w:val="en-US" w:eastAsia="zh-CN"/>
                <w14:textFill>
                  <w14:solidFill>
                    <w14:schemeClr w14:val="tx1"/>
                  </w14:solidFill>
                </w14:textFill>
              </w:rPr>
              <w:t>65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 xml:space="preserve"> </w:t>
            </w:r>
          </w:p>
          <w:p w14:paraId="3F9627E3">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textAlignment w:val="auto"/>
              <w:rPr>
                <w:rFonts w:hint="eastAsia"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经计算，COD、石油类经</w:t>
            </w:r>
            <w:r>
              <w:rPr>
                <w:rFonts w:hint="eastAsia" w:cs="Times New Roman"/>
                <w:color w:val="000000" w:themeColor="text1"/>
                <w:sz w:val="24"/>
                <w:szCs w:val="24"/>
                <w:highlight w:val="none"/>
                <w:lang w:val="en-US" w:eastAsia="zh-CN"/>
                <w14:textFill>
                  <w14:solidFill>
                    <w14:schemeClr w14:val="tx1"/>
                  </w14:solidFill>
                </w14:textFill>
              </w:rPr>
              <w:t>油水分离装置</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、絮凝沉淀处理后的剩余量分别为0.0</w:t>
            </w:r>
            <w:r>
              <w:rPr>
                <w:rFonts w:hint="eastAsia" w:cs="Times New Roman"/>
                <w:color w:val="000000" w:themeColor="text1"/>
                <w:sz w:val="24"/>
                <w:szCs w:val="24"/>
                <w:highlight w:val="none"/>
                <w:lang w:val="en-US" w:eastAsia="zh-CN"/>
                <w14:textFill>
                  <w14:solidFill>
                    <w14:schemeClr w14:val="tx1"/>
                  </w14:solidFill>
                </w14:textFill>
              </w:rPr>
              <w:t>378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t/a、0.0002</w:t>
            </w:r>
            <w:r>
              <w:rPr>
                <w:rFonts w:hint="eastAsia" w:cs="Times New Roman"/>
                <w:color w:val="000000" w:themeColor="text1"/>
                <w:sz w:val="24"/>
                <w:szCs w:val="24"/>
                <w:highlight w:val="none"/>
                <w:lang w:val="en-US" w:eastAsia="zh-CN"/>
                <w14:textFill>
                  <w14:solidFill>
                    <w14:schemeClr w14:val="tx1"/>
                  </w14:solidFill>
                </w14:textFill>
              </w:rPr>
              <w:t>625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w:t>
            </w:r>
            <w:r>
              <w:rPr>
                <w:rFonts w:hint="eastAsia" w:cs="Times New Roman"/>
                <w:color w:val="000000" w:themeColor="text1"/>
                <w:sz w:val="24"/>
                <w:szCs w:val="24"/>
                <w:highlight w:val="none"/>
                <w:lang w:val="en-US" w:eastAsia="zh-CN"/>
                <w14:textFill>
                  <w14:solidFill>
                    <w14:schemeClr w14:val="tx1"/>
                  </w14:solidFill>
                </w14:textFill>
              </w:rPr>
              <w:t>折算废水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浓度为</w:t>
            </w:r>
            <w:r>
              <w:rPr>
                <w:rFonts w:hint="eastAsia" w:cs="Times New Roman"/>
                <w:color w:val="000000" w:themeColor="text1"/>
                <w:sz w:val="24"/>
                <w:szCs w:val="24"/>
                <w:highlight w:val="none"/>
                <w:lang w:val="en-US" w:eastAsia="zh-CN"/>
                <w14:textFill>
                  <w14:solidFill>
                    <w14:schemeClr w14:val="tx1"/>
                  </w14:solidFill>
                </w14:textFill>
              </w:rPr>
              <w:t>2520</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w:t>
            </w:r>
            <w:r>
              <w:rPr>
                <w:rFonts w:hint="eastAsia" w:cs="Times New Roman"/>
                <w:color w:val="000000" w:themeColor="text1"/>
                <w:sz w:val="24"/>
                <w:szCs w:val="24"/>
                <w:highlight w:val="none"/>
                <w:lang w:val="en-US" w:eastAsia="zh-CN"/>
                <w14:textFill>
                  <w14:solidFill>
                    <w14:schemeClr w14:val="tx1"/>
                  </w14:solidFill>
                </w14:textFill>
              </w:rPr>
              <w:t>17.5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w:t>
            </w:r>
            <w:r>
              <w:rPr>
                <w:rFonts w:hint="eastAsia" w:cs="Times New Roman"/>
                <w:color w:val="000000" w:themeColor="text1"/>
                <w:sz w:val="24"/>
                <w:szCs w:val="24"/>
                <w:highlight w:val="none"/>
                <w:lang w:val="en-US" w:eastAsia="zh-CN"/>
                <w14:textFill>
                  <w14:solidFill>
                    <w14:schemeClr w14:val="tx1"/>
                  </w14:solidFill>
                </w14:textFill>
              </w:rPr>
              <w:t>。</w:t>
            </w:r>
          </w:p>
          <w:p w14:paraId="557EADF7">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依据水平衡部分，现有工程无生产废水产生，排放废水只有生活水，排放量为</w:t>
            </w:r>
            <w:r>
              <w:rPr>
                <w:rFonts w:hint="eastAsia" w:cs="Times New Roman"/>
                <w:color w:val="000000" w:themeColor="text1"/>
                <w:sz w:val="24"/>
                <w:szCs w:val="24"/>
                <w:highlight w:val="none"/>
                <w:lang w:val="en-US" w:eastAsia="zh-CN"/>
                <w14:textFill>
                  <w14:solidFill>
                    <w14:schemeClr w14:val="tx1"/>
                  </w14:solidFill>
                </w14:textFill>
              </w:rPr>
              <w:t>3.789</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t/d。技改后综合排放口</w:t>
            </w:r>
            <w:r>
              <w:rPr>
                <w:rFonts w:hint="eastAsia" w:cs="Times New Roman"/>
                <w:color w:val="000000" w:themeColor="text1"/>
                <w:sz w:val="24"/>
                <w:szCs w:val="24"/>
                <w:highlight w:val="none"/>
                <w:lang w:val="en-US" w:eastAsia="zh-CN"/>
                <w14:textFill>
                  <w14:solidFill>
                    <w14:schemeClr w14:val="tx1"/>
                  </w14:solidFill>
                </w14:textFill>
              </w:rPr>
              <w:t>包括</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现有工程生活污水排放量</w:t>
            </w:r>
            <w:r>
              <w:rPr>
                <w:rFonts w:hint="eastAsia" w:cs="Times New Roman"/>
                <w:color w:val="000000" w:themeColor="text1"/>
                <w:sz w:val="24"/>
                <w:szCs w:val="24"/>
                <w:highlight w:val="none"/>
                <w:lang w:val="en-US" w:eastAsia="zh-CN"/>
                <w14:textFill>
                  <w14:solidFill>
                    <w14:schemeClr w14:val="tx1"/>
                  </w14:solidFill>
                </w14:textFill>
              </w:rPr>
              <w:t>3.789</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t/d</w:t>
            </w:r>
            <w:r>
              <w:rPr>
                <w:rFonts w:hint="eastAsia" w:cs="Times New Roman"/>
                <w:color w:val="000000" w:themeColor="text1"/>
                <w:sz w:val="24"/>
                <w:szCs w:val="24"/>
                <w:highlight w:val="none"/>
                <w:lang w:val="en-US" w:eastAsia="zh-CN"/>
                <w14:textFill>
                  <w14:solidFill>
                    <w14:schemeClr w14:val="tx1"/>
                  </w14:solidFill>
                </w14:textFill>
              </w:rPr>
              <w:t>和</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清洗废水排放量</w:t>
            </w:r>
            <w:r>
              <w:rPr>
                <w:rFonts w:hint="eastAsia" w:cs="Times New Roman"/>
                <w:color w:val="000000" w:themeColor="text1"/>
                <w:sz w:val="24"/>
                <w:szCs w:val="24"/>
                <w:highlight w:val="none"/>
                <w:lang w:val="en-US" w:eastAsia="zh-CN"/>
                <w14:textFill>
                  <w14:solidFill>
                    <w14:schemeClr w14:val="tx1"/>
                  </w14:solidFill>
                </w14:textFill>
              </w:rPr>
              <w:t>0.05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t/d，合计3.</w:t>
            </w:r>
            <w:r>
              <w:rPr>
                <w:rFonts w:hint="eastAsia" w:cs="Times New Roman"/>
                <w:color w:val="000000" w:themeColor="text1"/>
                <w:sz w:val="24"/>
                <w:szCs w:val="24"/>
                <w:highlight w:val="none"/>
                <w:lang w:val="en-US" w:eastAsia="zh-CN"/>
                <w14:textFill>
                  <w14:solidFill>
                    <w14:schemeClr w14:val="tx1"/>
                  </w14:solidFill>
                </w14:textFill>
              </w:rPr>
              <w:t>839</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t/d。</w:t>
            </w:r>
          </w:p>
          <w:p w14:paraId="23416087">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依据</w:t>
            </w:r>
            <w:r>
              <w:rPr>
                <w:rFonts w:hint="eastAsia" w:cs="Times New Roman"/>
                <w:color w:val="auto"/>
                <w:sz w:val="24"/>
                <w:szCs w:val="24"/>
                <w:highlight w:val="none"/>
                <w:lang w:val="en-US" w:eastAsia="zh-CN"/>
              </w:rPr>
              <w:t>河北华准检测技术有限公司</w:t>
            </w:r>
            <w:r>
              <w:rPr>
                <w:rFonts w:hint="eastAsia" w:ascii="Times New Roman" w:hAnsi="Times New Roman" w:eastAsia="宋体" w:cs="Times New Roman"/>
                <w:color w:val="auto"/>
                <w:sz w:val="24"/>
                <w:szCs w:val="24"/>
                <w:highlight w:val="none"/>
                <w:lang w:val="en-US" w:eastAsia="zh-CN"/>
              </w:rPr>
              <w:t>202</w:t>
            </w:r>
            <w:r>
              <w:rPr>
                <w:rFonts w:hint="eastAsia" w:cs="Times New Roman"/>
                <w:color w:val="auto"/>
                <w:sz w:val="24"/>
                <w:szCs w:val="24"/>
                <w:highlight w:val="none"/>
                <w:lang w:val="en-US" w:eastAsia="zh-CN"/>
              </w:rPr>
              <w:t>5</w:t>
            </w:r>
            <w:r>
              <w:rPr>
                <w:rFonts w:hint="eastAsia" w:ascii="Times New Roman" w:hAnsi="Times New Roman" w:eastAsia="宋体" w:cs="Times New Roman"/>
                <w:color w:val="auto"/>
                <w:sz w:val="24"/>
                <w:szCs w:val="24"/>
                <w:highlight w:val="none"/>
                <w:lang w:val="en-US" w:eastAsia="zh-CN"/>
              </w:rPr>
              <w:t>年</w:t>
            </w:r>
            <w:r>
              <w:rPr>
                <w:rFonts w:hint="eastAsia" w:cs="Times New Roman"/>
                <w:color w:val="auto"/>
                <w:sz w:val="24"/>
                <w:szCs w:val="24"/>
                <w:highlight w:val="none"/>
                <w:lang w:val="en-US" w:eastAsia="zh-CN"/>
              </w:rPr>
              <w:t>10</w:t>
            </w:r>
            <w:r>
              <w:rPr>
                <w:rFonts w:hint="eastAsia" w:ascii="Times New Roman" w:hAnsi="Times New Roman" w:eastAsia="宋体" w:cs="Times New Roman"/>
                <w:color w:val="auto"/>
                <w:sz w:val="24"/>
                <w:szCs w:val="24"/>
                <w:highlight w:val="none"/>
                <w:lang w:val="en-US" w:eastAsia="zh-CN"/>
              </w:rPr>
              <w:t>月</w:t>
            </w:r>
            <w:r>
              <w:rPr>
                <w:rFonts w:hint="eastAsia" w:cs="Times New Roman"/>
                <w:color w:val="auto"/>
                <w:sz w:val="24"/>
                <w:szCs w:val="24"/>
                <w:highlight w:val="none"/>
                <w:lang w:val="en-US" w:eastAsia="zh-CN"/>
              </w:rPr>
              <w:t>9</w:t>
            </w:r>
            <w:r>
              <w:rPr>
                <w:rFonts w:hint="eastAsia" w:ascii="Times New Roman" w:hAnsi="Times New Roman" w:eastAsia="宋体" w:cs="Times New Roman"/>
                <w:color w:val="auto"/>
                <w:sz w:val="24"/>
                <w:szCs w:val="24"/>
                <w:highlight w:val="none"/>
                <w:lang w:val="en-US" w:eastAsia="zh-CN"/>
              </w:rPr>
              <w:t>日出具《行唐县</w:t>
            </w:r>
            <w:r>
              <w:rPr>
                <w:rFonts w:hint="eastAsia" w:cs="Times New Roman"/>
                <w:color w:val="auto"/>
                <w:sz w:val="24"/>
                <w:szCs w:val="24"/>
                <w:highlight w:val="none"/>
                <w:lang w:val="en-US" w:eastAsia="zh-CN"/>
              </w:rPr>
              <w:t>龙鑫机械制造有限公司自行监测</w:t>
            </w:r>
            <w:r>
              <w:rPr>
                <w:rFonts w:hint="eastAsia" w:ascii="Times New Roman" w:hAnsi="Times New Roman" w:eastAsia="宋体" w:cs="Times New Roman"/>
                <w:color w:val="auto"/>
                <w:sz w:val="24"/>
                <w:szCs w:val="24"/>
                <w:highlight w:val="none"/>
                <w:lang w:val="en-US" w:eastAsia="zh-CN"/>
              </w:rPr>
              <w:t>报告》中相关监测数据，现有项目COD平均排放浓度为</w:t>
            </w:r>
            <w:r>
              <w:rPr>
                <w:rFonts w:hint="eastAsia" w:cs="Times New Roman"/>
                <w:color w:val="auto"/>
                <w:sz w:val="24"/>
                <w:szCs w:val="24"/>
                <w:highlight w:val="none"/>
                <w:lang w:val="en-US" w:eastAsia="zh-CN"/>
              </w:rPr>
              <w:t>116</w:t>
            </w:r>
            <w:r>
              <w:rPr>
                <w:rFonts w:hint="eastAsia" w:ascii="Times New Roman" w:hAnsi="Times New Roman" w:eastAsia="宋体" w:cs="Times New Roman"/>
                <w:color w:val="auto"/>
                <w:sz w:val="24"/>
                <w:szCs w:val="24"/>
                <w:highlight w:val="none"/>
                <w:lang w:val="en-US" w:eastAsia="zh-CN"/>
              </w:rPr>
              <w:t>mg/L。现有工程无石油类物质排放。经计算技改完成后，当技改项目排放清洗废水时</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，整体项目综合污水总排口COD、石油类排放浓度为</w:t>
            </w:r>
            <w:r>
              <w:rPr>
                <w:rFonts w:hint="eastAsia" w:cs="Times New Roman"/>
                <w:color w:val="000000" w:themeColor="text1"/>
                <w:sz w:val="24"/>
                <w:szCs w:val="24"/>
                <w:highlight w:val="none"/>
                <w:lang w:val="en-US" w:eastAsia="zh-CN"/>
                <w14:textFill>
                  <w14:solidFill>
                    <w14:schemeClr w14:val="tx1"/>
                  </w14:solidFill>
                </w14:textFill>
              </w:rPr>
              <w:t>147.31</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w:t>
            </w:r>
            <w:r>
              <w:rPr>
                <w:rFonts w:hint="eastAsia" w:cs="Times New Roman"/>
                <w:color w:val="000000" w:themeColor="text1"/>
                <w:sz w:val="24"/>
                <w:szCs w:val="24"/>
                <w:highlight w:val="none"/>
                <w:lang w:val="en-US" w:eastAsia="zh-CN"/>
                <w14:textFill>
                  <w14:solidFill>
                    <w14:schemeClr w14:val="tx1"/>
                  </w14:solidFill>
                </w14:textFill>
              </w:rPr>
              <w:t>0.228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mg/L，满足《污水综合排放标准》(GB8978-1996)表4中三级标准，并满足行唐县第二污水处理厂进水水质标准：pH6~9、COD450mg/L、石油类20mg/mL。</w:t>
            </w:r>
          </w:p>
          <w:p w14:paraId="0A44733E">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（2）固体悬浮物</w:t>
            </w:r>
          </w:p>
          <w:p w14:paraId="489DE261">
            <w:pPr>
              <w:pStyle w:val="112"/>
              <w:keepNext w:val="0"/>
              <w:keepLines w:val="0"/>
              <w:pageBreakBefore w:val="0"/>
              <w:widowControl/>
              <w:kinsoku/>
              <w:wordWrap/>
              <w:overflowPunct/>
              <w:topLinePunct w:val="0"/>
              <w:autoSpaceDE/>
              <w:autoSpaceDN/>
              <w:bidi w:val="0"/>
              <w:adjustRightInd/>
              <w:snapToGrid/>
              <w:spacing w:before="0" w:beforeLines="0" w:after="0" w:afterLines="0" w:line="480" w:lineRule="exact"/>
              <w:ind w:firstLine="480"/>
              <w:textAlignment w:val="auto"/>
              <w:rPr>
                <w:rFonts w:hint="eastAsia" w:cs="Times New Roman"/>
                <w:color w:val="FF0000"/>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由于工件携带微量铁屑等固体，故技改项目废水中含有固体悬浮物，依据工程分析，预脱脂、主脱脂、水洗、水洗防锈水槽槽底均采用斜底结构并设有集污沟，安装二级过滤装置，工件携带的铁屑等固体不溶物质经过滤装置进入水槽集污沟内。依据试验及考察资料，工件携带铁屑量</w:t>
            </w:r>
            <w:r>
              <w:rPr>
                <w:rFonts w:hint="eastAsia" w:cs="Times New Roman"/>
                <w:color w:val="auto"/>
                <w:sz w:val="24"/>
                <w:szCs w:val="24"/>
                <w:highlight w:val="none"/>
                <w:lang w:val="en-US" w:eastAsia="zh-CN"/>
              </w:rPr>
              <w:t>较小</w:t>
            </w:r>
            <w:r>
              <w:rPr>
                <w:rFonts w:hint="eastAsia" w:ascii="Times New Roman" w:hAnsi="Times New Roman" w:eastAsia="宋体" w:cs="Times New Roman"/>
                <w:color w:val="auto"/>
                <w:sz w:val="24"/>
                <w:szCs w:val="24"/>
                <w:highlight w:val="none"/>
                <w:lang w:val="en-US" w:eastAsia="zh-CN"/>
              </w:rPr>
              <w:t>，水中悬浮物为7</w:t>
            </w:r>
            <w:r>
              <w:rPr>
                <w:rFonts w:hint="eastAsia" w:cs="Times New Roman"/>
                <w:color w:val="auto"/>
                <w:sz w:val="24"/>
                <w:szCs w:val="24"/>
                <w:highlight w:val="none"/>
                <w:lang w:val="en-US" w:eastAsia="zh-CN"/>
              </w:rPr>
              <w:t>0</w:t>
            </w:r>
            <w:r>
              <w:rPr>
                <w:rFonts w:hint="eastAsia" w:ascii="Times New Roman" w:hAnsi="Times New Roman" w:eastAsia="宋体" w:cs="Times New Roman"/>
                <w:color w:val="auto"/>
                <w:sz w:val="24"/>
                <w:szCs w:val="24"/>
                <w:highlight w:val="none"/>
                <w:lang w:val="en-US" w:eastAsia="zh-CN"/>
              </w:rPr>
              <w:t>mg/L±，</w:t>
            </w:r>
            <w:r>
              <w:rPr>
                <w:rFonts w:hint="eastAsia" w:cs="Times New Roman"/>
                <w:color w:val="000000" w:themeColor="text1"/>
                <w:sz w:val="24"/>
                <w:szCs w:val="24"/>
                <w:highlight w:val="none"/>
                <w:lang w:val="en-US" w:eastAsia="zh-CN"/>
                <w14:textFill>
                  <w14:solidFill>
                    <w14:schemeClr w14:val="tx1"/>
                  </w14:solidFill>
                </w14:textFill>
              </w:rPr>
              <w:t>清洗系统采取</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水槽槽底斜底结构并设有集污沟</w:t>
            </w:r>
            <w:r>
              <w:rPr>
                <w:rFonts w:hint="eastAsia" w:cs="Times New Roman"/>
                <w:color w:val="000000" w:themeColor="text1"/>
                <w:sz w:val="24"/>
                <w:szCs w:val="24"/>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安装二级过滤装置</w:t>
            </w:r>
            <w:r>
              <w:rPr>
                <w:rFonts w:hint="eastAsia" w:cs="Times New Roman"/>
                <w:color w:val="000000" w:themeColor="text1"/>
                <w:sz w:val="24"/>
                <w:szCs w:val="24"/>
                <w:highlight w:val="none"/>
                <w:lang w:val="en-US" w:eastAsia="zh-CN"/>
                <w14:textFill>
                  <w14:solidFill>
                    <w14:schemeClr w14:val="tx1"/>
                  </w14:solidFill>
                </w14:textFill>
              </w:rPr>
              <w:t>（系统预脱脂和主脱脂均采用两级过滤，第一级为15目的双层不锈钢板式过滤器，第二级为不锈钢袋式过滤器，内置标准滤袋过滤精度为50μ）等措施，折算</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集污沟</w:t>
            </w:r>
            <w:r>
              <w:rPr>
                <w:rFonts w:hint="eastAsia" w:cs="Times New Roman"/>
                <w:color w:val="000000" w:themeColor="text1"/>
                <w:sz w:val="24"/>
                <w:szCs w:val="24"/>
                <w:highlight w:val="none"/>
                <w:lang w:val="en-US" w:eastAsia="zh-CN"/>
                <w14:textFill>
                  <w14:solidFill>
                    <w14:schemeClr w14:val="tx1"/>
                  </w14:solidFill>
                </w14:textFill>
              </w:rPr>
              <w:t>能</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产生</w:t>
            </w:r>
            <w:r>
              <w:rPr>
                <w:rFonts w:hint="eastAsia" w:cs="Times New Roman"/>
                <w:color w:val="000000" w:themeColor="text1"/>
                <w:sz w:val="24"/>
                <w:szCs w:val="24"/>
                <w:highlight w:val="none"/>
                <w:lang w:val="en-US" w:eastAsia="zh-CN"/>
                <w14:textFill>
                  <w14:solidFill>
                    <w14:schemeClr w14:val="tx1"/>
                  </w14:solidFill>
                </w14:textFill>
              </w:rPr>
              <w:t>约5.88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kg/30d铁屑等固体废物</w:t>
            </w:r>
            <w:r>
              <w:rPr>
                <w:rFonts w:hint="eastAsia" w:cs="Times New Roman"/>
                <w:color w:val="000000" w:themeColor="text1"/>
                <w:sz w:val="24"/>
                <w:szCs w:val="24"/>
                <w:highlight w:val="none"/>
                <w:lang w:val="en-US" w:eastAsia="zh-CN"/>
                <w14:textFill>
                  <w14:solidFill>
                    <w14:schemeClr w14:val="tx1"/>
                  </w14:solidFill>
                </w14:textFill>
              </w:rPr>
              <w:t>。</w:t>
            </w:r>
          </w:p>
          <w:p w14:paraId="367015D6">
            <w:pPr>
              <w:keepNext w:val="0"/>
              <w:keepLines w:val="0"/>
              <w:pageBreakBefore w:val="0"/>
              <w:kinsoku/>
              <w:wordWrap/>
              <w:overflowPunct/>
              <w:topLinePunct w:val="0"/>
              <w:autoSpaceDE/>
              <w:autoSpaceDN/>
              <w:bidi w:val="0"/>
              <w:adjustRightInd/>
              <w:snapToGrid/>
              <w:spacing w:line="480" w:lineRule="exact"/>
              <w:ind w:firstLine="480" w:firstLineChars="200"/>
              <w:textAlignment w:val="auto"/>
              <w:rPr>
                <w:color w:val="auto"/>
                <w:sz w:val="24"/>
                <w:highlight w:val="none"/>
              </w:rPr>
            </w:pPr>
            <w:r>
              <w:rPr>
                <w:rFonts w:hint="eastAsia"/>
                <w:color w:val="auto"/>
                <w:sz w:val="24"/>
                <w:highlight w:val="none"/>
              </w:rPr>
              <w:t>2、可行性分析</w:t>
            </w:r>
          </w:p>
          <w:p w14:paraId="68111851">
            <w:pPr>
              <w:pStyle w:val="112"/>
              <w:keepNext w:val="0"/>
              <w:keepLines w:val="0"/>
              <w:pageBreakBefore w:val="0"/>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（1）处理措施可行性分析</w:t>
            </w:r>
          </w:p>
          <w:p w14:paraId="1823BF42">
            <w:pPr>
              <w:pStyle w:val="112"/>
              <w:keepNext w:val="0"/>
              <w:keepLines w:val="0"/>
              <w:pageBreakBefore w:val="0"/>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《排污许可证申请与核发技术规范 金属铸造工业》（HJ1115—2020）中对间接排放无处理要求。</w:t>
            </w:r>
          </w:p>
          <w:p w14:paraId="1AFE08A1">
            <w:pPr>
              <w:pStyle w:val="112"/>
              <w:keepNext w:val="0"/>
              <w:keepLines w:val="0"/>
              <w:pageBreakBefore w:val="0"/>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技改项目废水处理工艺采用措施：预脱脂、主脱脂均自带</w:t>
            </w:r>
            <w:r>
              <w:rPr>
                <w:rFonts w:hint="eastAsia" w:cs="Times New Roman"/>
                <w:color w:val="auto"/>
                <w:sz w:val="24"/>
                <w:szCs w:val="24"/>
                <w:highlight w:val="none"/>
                <w:lang w:val="en-US" w:eastAsia="zh-CN"/>
              </w:rPr>
              <w:t>油水分离装置</w:t>
            </w:r>
            <w:r>
              <w:rPr>
                <w:rFonts w:hint="eastAsia" w:ascii="Times New Roman" w:hAnsi="Times New Roman" w:eastAsia="宋体" w:cs="Times New Roman"/>
                <w:color w:val="auto"/>
                <w:sz w:val="24"/>
                <w:szCs w:val="24"/>
                <w:highlight w:val="none"/>
                <w:lang w:val="en-US" w:eastAsia="zh-CN"/>
              </w:rPr>
              <w:t>；生产间歇添加絮凝剂；水槽槽底采用斜底结构并设有集污沟，</w:t>
            </w:r>
            <w:r>
              <w:rPr>
                <w:rFonts w:hint="eastAsia" w:cs="Times New Roman"/>
                <w:color w:val="auto"/>
                <w:sz w:val="24"/>
                <w:szCs w:val="24"/>
                <w:highlight w:val="none"/>
                <w:lang w:val="en-US" w:eastAsia="zh-CN"/>
              </w:rPr>
              <w:t>系统</w:t>
            </w:r>
            <w:r>
              <w:rPr>
                <w:rFonts w:hint="eastAsia" w:ascii="Times New Roman" w:hAnsi="Times New Roman" w:eastAsia="宋体" w:cs="Times New Roman"/>
                <w:color w:val="auto"/>
                <w:sz w:val="24"/>
                <w:szCs w:val="24"/>
                <w:highlight w:val="none"/>
                <w:lang w:val="en-US" w:eastAsia="zh-CN"/>
              </w:rPr>
              <w:t>安装二级过滤装置；经园区管网，进入第二污水处理厂。</w:t>
            </w:r>
          </w:p>
          <w:p w14:paraId="72C1B9E5">
            <w:pPr>
              <w:pStyle w:val="112"/>
              <w:keepNext w:val="0"/>
              <w:keepLines w:val="0"/>
              <w:pageBreakBefore w:val="0"/>
              <w:kinsoku/>
              <w:wordWrap/>
              <w:overflowPunct/>
              <w:topLinePunct w:val="0"/>
              <w:autoSpaceDE/>
              <w:autoSpaceDN/>
              <w:bidi w:val="0"/>
              <w:adjustRightInd/>
              <w:snapToGrid/>
              <w:spacing w:before="0" w:beforeLines="0" w:after="0" w:afterLines="0" w:line="480" w:lineRule="exac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经计算，</w:t>
            </w:r>
            <w:r>
              <w:rPr>
                <w:rFonts w:hint="eastAsia" w:cs="Times New Roman"/>
                <w:color w:val="000000" w:themeColor="text1"/>
                <w:sz w:val="24"/>
                <w:szCs w:val="24"/>
                <w:highlight w:val="none"/>
                <w:lang w:val="en-US" w:eastAsia="zh-CN"/>
                <w14:textFill>
                  <w14:solidFill>
                    <w14:schemeClr w14:val="tx1"/>
                  </w14:solidFill>
                </w14:textFill>
              </w:rPr>
              <w:t>清洗线系统废水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COD、石油类经</w:t>
            </w:r>
            <w:r>
              <w:rPr>
                <w:rFonts w:hint="eastAsia" w:cs="Times New Roman"/>
                <w:color w:val="000000" w:themeColor="text1"/>
                <w:sz w:val="24"/>
                <w:szCs w:val="24"/>
                <w:highlight w:val="none"/>
                <w:lang w:val="en-US" w:eastAsia="zh-CN"/>
                <w14:textFill>
                  <w14:solidFill>
                    <w14:schemeClr w14:val="tx1"/>
                  </w14:solidFill>
                </w14:textFill>
              </w:rPr>
              <w:t>油水分离</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、絮凝沉淀处理后的剩余量为0.0</w:t>
            </w:r>
            <w:r>
              <w:rPr>
                <w:rFonts w:hint="eastAsia" w:cs="Times New Roman"/>
                <w:color w:val="000000" w:themeColor="text1"/>
                <w:sz w:val="24"/>
                <w:szCs w:val="24"/>
                <w:highlight w:val="none"/>
                <w:lang w:val="en-US" w:eastAsia="zh-CN"/>
                <w14:textFill>
                  <w14:solidFill>
                    <w14:schemeClr w14:val="tx1"/>
                  </w14:solidFill>
                </w14:textFill>
              </w:rPr>
              <w:t>378</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t/a、0.0002</w:t>
            </w:r>
            <w:r>
              <w:rPr>
                <w:rFonts w:hint="eastAsia" w:cs="Times New Roman"/>
                <w:color w:val="000000" w:themeColor="text1"/>
                <w:sz w:val="24"/>
                <w:szCs w:val="24"/>
                <w:highlight w:val="none"/>
                <w:lang w:val="en-US" w:eastAsia="zh-CN"/>
                <w14:textFill>
                  <w14:solidFill>
                    <w14:schemeClr w14:val="tx1"/>
                  </w14:solidFill>
                </w14:textFill>
              </w:rPr>
              <w:t>625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t/a，</w:t>
            </w:r>
            <w:r>
              <w:rPr>
                <w:rFonts w:hint="eastAsia" w:cs="Times New Roman"/>
                <w:color w:val="000000" w:themeColor="text1"/>
                <w:sz w:val="24"/>
                <w:szCs w:val="24"/>
                <w:highlight w:val="none"/>
                <w:lang w:val="en-US" w:eastAsia="zh-CN"/>
                <w14:textFill>
                  <w14:solidFill>
                    <w14:schemeClr w14:val="tx1"/>
                  </w14:solidFill>
                </w14:textFill>
              </w:rPr>
              <w:t>折算废水</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浓度为</w:t>
            </w:r>
            <w:r>
              <w:rPr>
                <w:rFonts w:hint="eastAsia" w:cs="Times New Roman"/>
                <w:color w:val="000000" w:themeColor="text1"/>
                <w:sz w:val="24"/>
                <w:szCs w:val="24"/>
                <w:highlight w:val="none"/>
                <w:lang w:val="en-US" w:eastAsia="zh-CN"/>
                <w14:textFill>
                  <w14:solidFill>
                    <w14:schemeClr w14:val="tx1"/>
                  </w14:solidFill>
                </w14:textFill>
              </w:rPr>
              <w:t>2520</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w:t>
            </w:r>
            <w:r>
              <w:rPr>
                <w:rFonts w:hint="eastAsia" w:cs="Times New Roman"/>
                <w:color w:val="000000" w:themeColor="text1"/>
                <w:sz w:val="24"/>
                <w:szCs w:val="24"/>
                <w:highlight w:val="none"/>
                <w:lang w:val="en-US" w:eastAsia="zh-CN"/>
                <w14:textFill>
                  <w14:solidFill>
                    <w14:schemeClr w14:val="tx1"/>
                  </w14:solidFill>
                </w14:textFill>
              </w:rPr>
              <w:t>17.5</w:t>
            </w:r>
            <w:r>
              <w:rPr>
                <w:rFonts w:hint="eastAsia" w:ascii="Times New Roman" w:hAnsi="Times New Roman" w:eastAsia="宋体" w:cs="Times New Roman"/>
                <w:color w:val="000000" w:themeColor="text1"/>
                <w:sz w:val="24"/>
                <w:szCs w:val="24"/>
                <w:highlight w:val="none"/>
                <w:lang w:val="en-US" w:eastAsia="zh-CN"/>
                <w14:textFill>
                  <w14:solidFill>
                    <w14:schemeClr w14:val="tx1"/>
                  </w14:solidFill>
                </w14:textFill>
              </w:rPr>
              <w:t>mg/L</w:t>
            </w:r>
            <w:r>
              <w:rPr>
                <w:rFonts w:hint="eastAsia" w:cs="Times New Roman"/>
                <w:color w:val="000000" w:themeColor="text1"/>
                <w:sz w:val="24"/>
                <w:szCs w:val="24"/>
                <w:highlight w:val="none"/>
                <w:lang w:val="en-US" w:eastAsia="zh-CN"/>
                <w14:textFill>
                  <w14:solidFill>
                    <w14:schemeClr w14:val="tx1"/>
                  </w14:solidFill>
                </w14:textFill>
              </w:rPr>
              <w:t>；与现有废水混合后排放，能满足《污水综合排放标准》(GB8978-1996)表4中三级标准，并满足行唐县第二污水处理厂进水水质标准：pH6~9、COD450mg/L、石油类20mg/mL。</w:t>
            </w:r>
          </w:p>
          <w:p w14:paraId="78E6ED93">
            <w:pPr>
              <w:pStyle w:val="112"/>
              <w:keepNext w:val="0"/>
              <w:keepLines w:val="0"/>
              <w:pageBreakBefore w:val="0"/>
              <w:kinsoku/>
              <w:wordWrap/>
              <w:overflowPunct/>
              <w:topLinePunct w:val="0"/>
              <w:autoSpaceDE/>
              <w:autoSpaceDN/>
              <w:bidi w:val="0"/>
              <w:adjustRightInd/>
              <w:snapToGrid/>
              <w:spacing w:before="0" w:beforeLines="0" w:after="0" w:afterLines="0" w:line="480" w:lineRule="exact"/>
              <w:ind w:firstLine="480"/>
              <w:textAlignment w:val="auto"/>
              <w:rPr>
                <w:rFonts w:hint="eastAsia"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 xml:space="preserve"> </w:t>
            </w:r>
            <w:r>
              <w:rPr>
                <w:rFonts w:hint="eastAsia" w:ascii="Times New Roman" w:hAnsi="Times New Roman" w:eastAsia="宋体" w:cs="Times New Roman"/>
                <w:color w:val="auto"/>
                <w:sz w:val="24"/>
                <w:szCs w:val="24"/>
                <w:highlight w:val="none"/>
                <w:lang w:val="en-US" w:eastAsia="zh-CN"/>
              </w:rPr>
              <w:t xml:space="preserve">技改项目产排情况及技改后整体项目排放情况见下表。     </w:t>
            </w:r>
          </w:p>
          <w:p w14:paraId="573E8098">
            <w:pPr>
              <w:pStyle w:val="29"/>
              <w:keepNext w:val="0"/>
              <w:keepLines w:val="0"/>
              <w:pageBreakBefore w:val="0"/>
              <w:widowControl w:val="0"/>
              <w:kinsoku/>
              <w:wordWrap/>
              <w:overflowPunct/>
              <w:topLinePunct w:val="0"/>
              <w:autoSpaceDE/>
              <w:autoSpaceDN/>
              <w:bidi w:val="0"/>
              <w:adjustRightInd/>
              <w:snapToGrid/>
              <w:spacing w:after="0" w:line="480" w:lineRule="exact"/>
              <w:jc w:val="center"/>
              <w:textAlignment w:val="auto"/>
              <w:rPr>
                <w:b/>
                <w:bCs/>
                <w:color w:val="auto"/>
                <w:sz w:val="24"/>
                <w:highlight w:val="none"/>
              </w:rPr>
            </w:pPr>
            <w:r>
              <w:rPr>
                <w:rFonts w:hint="eastAsia"/>
                <w:b/>
                <w:bCs/>
                <w:color w:val="auto"/>
                <w:sz w:val="24"/>
                <w:highlight w:val="none"/>
              </w:rPr>
              <w:t>表4-2  技改项目废水产排情况表</w:t>
            </w:r>
          </w:p>
          <w:tbl>
            <w:tblPr>
              <w:tblStyle w:val="37"/>
              <w:tblpPr w:leftFromText="180" w:rightFromText="180" w:vertAnchor="text" w:horzAnchor="page" w:tblpXSpec="center" w:tblpY="145"/>
              <w:tblOverlap w:val="never"/>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5"/>
              <w:gridCol w:w="405"/>
              <w:gridCol w:w="405"/>
              <w:gridCol w:w="405"/>
              <w:gridCol w:w="507"/>
              <w:gridCol w:w="635"/>
              <w:gridCol w:w="593"/>
              <w:gridCol w:w="635"/>
              <w:gridCol w:w="640"/>
              <w:gridCol w:w="507"/>
              <w:gridCol w:w="635"/>
              <w:gridCol w:w="546"/>
              <w:gridCol w:w="734"/>
              <w:gridCol w:w="1017"/>
              <w:gridCol w:w="406"/>
            </w:tblGrid>
            <w:tr w14:paraId="14F52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279" w:type="pct"/>
                  <w:vMerge w:val="restart"/>
                  <w:noWrap w:val="0"/>
                  <w:vAlign w:val="center"/>
                </w:tcPr>
                <w:p w14:paraId="3B0EECA2">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工序</w:t>
                  </w:r>
                </w:p>
              </w:tc>
              <w:tc>
                <w:tcPr>
                  <w:tcW w:w="248" w:type="pct"/>
                  <w:vMerge w:val="restart"/>
                  <w:noWrap w:val="0"/>
                  <w:vAlign w:val="center"/>
                </w:tcPr>
                <w:p w14:paraId="43819426">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过程/装置</w:t>
                  </w:r>
                </w:p>
              </w:tc>
              <w:tc>
                <w:tcPr>
                  <w:tcW w:w="224" w:type="pct"/>
                  <w:vMerge w:val="restart"/>
                  <w:noWrap w:val="0"/>
                  <w:vAlign w:val="center"/>
                </w:tcPr>
                <w:p w14:paraId="63FE1FD5">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产生环节</w:t>
                  </w:r>
                </w:p>
              </w:tc>
              <w:tc>
                <w:tcPr>
                  <w:tcW w:w="438" w:type="pct"/>
                  <w:vMerge w:val="restart"/>
                  <w:noWrap w:val="0"/>
                  <w:vAlign w:val="center"/>
                </w:tcPr>
                <w:p w14:paraId="12C9CD9C">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废水类别</w:t>
                  </w:r>
                </w:p>
              </w:tc>
              <w:tc>
                <w:tcPr>
                  <w:tcW w:w="1781" w:type="pct"/>
                  <w:gridSpan w:val="5"/>
                  <w:noWrap w:val="0"/>
                  <w:vAlign w:val="center"/>
                </w:tcPr>
                <w:p w14:paraId="662584B7">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产生情况</w:t>
                  </w:r>
                </w:p>
              </w:tc>
              <w:tc>
                <w:tcPr>
                  <w:tcW w:w="1807" w:type="pct"/>
                  <w:gridSpan w:val="5"/>
                  <w:noWrap w:val="0"/>
                  <w:vAlign w:val="center"/>
                </w:tcPr>
                <w:p w14:paraId="2CEC75BB">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槽液总排口排放情况</w:t>
                  </w:r>
                </w:p>
              </w:tc>
              <w:tc>
                <w:tcPr>
                  <w:tcW w:w="221" w:type="pct"/>
                  <w:vMerge w:val="restart"/>
                  <w:noWrap w:val="0"/>
                  <w:vAlign w:val="center"/>
                </w:tcPr>
                <w:p w14:paraId="60789896">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排放方式</w:t>
                  </w:r>
                </w:p>
              </w:tc>
            </w:tr>
            <w:tr w14:paraId="15809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79" w:type="pct"/>
                  <w:vMerge w:val="continue"/>
                  <w:noWrap w:val="0"/>
                  <w:vAlign w:val="center"/>
                </w:tcPr>
                <w:p w14:paraId="06CCFDAE">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48" w:type="pct"/>
                  <w:vMerge w:val="continue"/>
                  <w:noWrap w:val="0"/>
                  <w:vAlign w:val="center"/>
                </w:tcPr>
                <w:p w14:paraId="69B94186">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24" w:type="pct"/>
                  <w:vMerge w:val="continue"/>
                  <w:noWrap w:val="0"/>
                  <w:vAlign w:val="center"/>
                </w:tcPr>
                <w:p w14:paraId="1D50AB98">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38" w:type="pct"/>
                  <w:vMerge w:val="continue"/>
                  <w:noWrap w:val="0"/>
                  <w:vAlign w:val="center"/>
                </w:tcPr>
                <w:p w14:paraId="701C9CF0">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79" w:type="pct"/>
                  <w:vMerge w:val="restart"/>
                  <w:noWrap w:val="0"/>
                  <w:vAlign w:val="center"/>
                </w:tcPr>
                <w:p w14:paraId="0B37BC9C">
                  <w:pPr>
                    <w:pStyle w:val="30"/>
                    <w:spacing w:before="0" w:beforeAutospacing="0" w:after="0" w:afterAutospacing="0" w:line="240" w:lineRule="exact"/>
                    <w:jc w:val="center"/>
                    <w:rPr>
                      <w:rFonts w:hint="eastAsia" w:ascii="Times New Roman" w:hAnsi="Times New Roman"/>
                      <w:b/>
                      <w:bCs/>
                      <w:color w:val="auto"/>
                      <w:sz w:val="21"/>
                      <w:szCs w:val="21"/>
                      <w:highlight w:val="none"/>
                    </w:rPr>
                  </w:pPr>
                  <w:r>
                    <w:rPr>
                      <w:rFonts w:hint="eastAsia" w:ascii="Times New Roman" w:hAnsi="Times New Roman"/>
                      <w:b/>
                      <w:bCs/>
                      <w:color w:val="auto"/>
                      <w:sz w:val="21"/>
                      <w:szCs w:val="21"/>
                      <w:highlight w:val="none"/>
                    </w:rPr>
                    <w:t>pH</w:t>
                  </w:r>
                </w:p>
              </w:tc>
              <w:tc>
                <w:tcPr>
                  <w:tcW w:w="755" w:type="pct"/>
                  <w:gridSpan w:val="2"/>
                  <w:noWrap w:val="0"/>
                  <w:vAlign w:val="center"/>
                </w:tcPr>
                <w:p w14:paraId="734E8F36">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产生浓度</w:t>
                  </w:r>
                  <w:r>
                    <w:rPr>
                      <w:rFonts w:ascii="Times New Roman" w:hAnsi="Times New Roman"/>
                      <w:b/>
                      <w:bCs/>
                      <w:color w:val="auto"/>
                      <w:sz w:val="21"/>
                      <w:szCs w:val="21"/>
                      <w:highlight w:val="none"/>
                    </w:rPr>
                    <w:t>mg/L</w:t>
                  </w:r>
                </w:p>
              </w:tc>
              <w:tc>
                <w:tcPr>
                  <w:tcW w:w="746" w:type="pct"/>
                  <w:gridSpan w:val="2"/>
                  <w:noWrap w:val="0"/>
                  <w:vAlign w:val="center"/>
                </w:tcPr>
                <w:p w14:paraId="0F6AC83A">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产生量t/a</w:t>
                  </w:r>
                </w:p>
              </w:tc>
              <w:tc>
                <w:tcPr>
                  <w:tcW w:w="294" w:type="pct"/>
                  <w:vMerge w:val="restart"/>
                  <w:noWrap w:val="0"/>
                  <w:vAlign w:val="center"/>
                </w:tcPr>
                <w:p w14:paraId="578FC3F8">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pH</w:t>
                  </w:r>
                </w:p>
              </w:tc>
              <w:tc>
                <w:tcPr>
                  <w:tcW w:w="755" w:type="pct"/>
                  <w:gridSpan w:val="2"/>
                  <w:noWrap w:val="0"/>
                  <w:vAlign w:val="center"/>
                </w:tcPr>
                <w:p w14:paraId="615E2BCF">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排放浓度</w:t>
                  </w:r>
                  <w:r>
                    <w:rPr>
                      <w:rFonts w:ascii="Times New Roman" w:hAnsi="Times New Roman"/>
                      <w:b/>
                      <w:bCs/>
                      <w:color w:val="auto"/>
                      <w:sz w:val="21"/>
                      <w:szCs w:val="21"/>
                      <w:highlight w:val="none"/>
                    </w:rPr>
                    <w:t>mg/L</w:t>
                  </w:r>
                </w:p>
              </w:tc>
              <w:tc>
                <w:tcPr>
                  <w:tcW w:w="756" w:type="pct"/>
                  <w:gridSpan w:val="2"/>
                  <w:noWrap w:val="0"/>
                  <w:vAlign w:val="center"/>
                </w:tcPr>
                <w:p w14:paraId="26054578">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排放量t/a</w:t>
                  </w:r>
                </w:p>
              </w:tc>
              <w:tc>
                <w:tcPr>
                  <w:tcW w:w="221" w:type="pct"/>
                  <w:vMerge w:val="continue"/>
                  <w:noWrap w:val="0"/>
                  <w:vAlign w:val="center"/>
                </w:tcPr>
                <w:p w14:paraId="6B34670F">
                  <w:pPr>
                    <w:pStyle w:val="30"/>
                    <w:spacing w:before="0" w:beforeAutospacing="0" w:after="0" w:afterAutospacing="0" w:line="240" w:lineRule="exact"/>
                    <w:jc w:val="center"/>
                    <w:rPr>
                      <w:rFonts w:ascii="Times New Roman" w:hAnsi="Times New Roman"/>
                      <w:b/>
                      <w:bCs/>
                      <w:color w:val="auto"/>
                      <w:sz w:val="21"/>
                      <w:szCs w:val="21"/>
                      <w:highlight w:val="none"/>
                    </w:rPr>
                  </w:pPr>
                </w:p>
              </w:tc>
            </w:tr>
            <w:tr w14:paraId="1DEA3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279" w:type="pct"/>
                  <w:vMerge w:val="continue"/>
                  <w:noWrap w:val="0"/>
                  <w:vAlign w:val="center"/>
                </w:tcPr>
                <w:p w14:paraId="47CA1C5A">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48" w:type="pct"/>
                  <w:vMerge w:val="continue"/>
                  <w:noWrap w:val="0"/>
                  <w:vAlign w:val="center"/>
                </w:tcPr>
                <w:p w14:paraId="570D6C24">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24" w:type="pct"/>
                  <w:vMerge w:val="continue"/>
                  <w:noWrap w:val="0"/>
                  <w:vAlign w:val="center"/>
                </w:tcPr>
                <w:p w14:paraId="14987666">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38" w:type="pct"/>
                  <w:vMerge w:val="continue"/>
                  <w:noWrap w:val="0"/>
                  <w:vAlign w:val="center"/>
                </w:tcPr>
                <w:p w14:paraId="1567C89F">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279" w:type="pct"/>
                  <w:vMerge w:val="continue"/>
                  <w:noWrap w:val="0"/>
                  <w:vAlign w:val="center"/>
                </w:tcPr>
                <w:p w14:paraId="63510116">
                  <w:pPr>
                    <w:pStyle w:val="30"/>
                    <w:spacing w:before="0" w:beforeAutospacing="0" w:after="0" w:afterAutospacing="0" w:line="240" w:lineRule="exact"/>
                    <w:jc w:val="center"/>
                    <w:rPr>
                      <w:rFonts w:hint="eastAsia" w:ascii="Times New Roman" w:hAnsi="Times New Roman"/>
                      <w:b/>
                      <w:bCs/>
                      <w:color w:val="auto"/>
                      <w:sz w:val="21"/>
                      <w:szCs w:val="21"/>
                      <w:highlight w:val="none"/>
                    </w:rPr>
                  </w:pPr>
                </w:p>
              </w:tc>
              <w:tc>
                <w:tcPr>
                  <w:tcW w:w="353" w:type="pct"/>
                  <w:noWrap w:val="0"/>
                  <w:vAlign w:val="center"/>
                </w:tcPr>
                <w:p w14:paraId="1B3E10EC">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402" w:type="pct"/>
                  <w:noWrap w:val="0"/>
                  <w:vAlign w:val="center"/>
                </w:tcPr>
                <w:p w14:paraId="7974DEAB">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347" w:type="pct"/>
                  <w:noWrap w:val="0"/>
                  <w:vAlign w:val="center"/>
                </w:tcPr>
                <w:p w14:paraId="263AFA5D">
                  <w:pPr>
                    <w:pStyle w:val="30"/>
                    <w:spacing w:before="0" w:beforeAutospacing="0" w:after="0" w:afterAutospacing="0" w:line="240" w:lineRule="exact"/>
                    <w:jc w:val="center"/>
                    <w:rPr>
                      <w:rFonts w:hint="eastAsia"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398" w:type="pct"/>
                  <w:noWrap w:val="0"/>
                  <w:vAlign w:val="center"/>
                </w:tcPr>
                <w:p w14:paraId="3A581DB7">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294" w:type="pct"/>
                  <w:vMerge w:val="continue"/>
                  <w:noWrap w:val="0"/>
                  <w:vAlign w:val="center"/>
                </w:tcPr>
                <w:p w14:paraId="15665DAB">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353" w:type="pct"/>
                  <w:noWrap w:val="0"/>
                  <w:vAlign w:val="center"/>
                </w:tcPr>
                <w:p w14:paraId="7DB7B450">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402" w:type="pct"/>
                  <w:noWrap w:val="0"/>
                  <w:vAlign w:val="center"/>
                </w:tcPr>
                <w:p w14:paraId="0C05B054">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385" w:type="pct"/>
                  <w:noWrap w:val="0"/>
                  <w:vAlign w:val="center"/>
                </w:tcPr>
                <w:p w14:paraId="7E9BF921">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371" w:type="pct"/>
                  <w:noWrap w:val="0"/>
                  <w:vAlign w:val="center"/>
                </w:tcPr>
                <w:p w14:paraId="19D917E8">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221" w:type="pct"/>
                  <w:vMerge w:val="continue"/>
                  <w:noWrap w:val="0"/>
                  <w:vAlign w:val="center"/>
                </w:tcPr>
                <w:p w14:paraId="19F35EA0">
                  <w:pPr>
                    <w:pStyle w:val="30"/>
                    <w:spacing w:before="0" w:beforeAutospacing="0" w:after="0" w:afterAutospacing="0" w:line="240" w:lineRule="exact"/>
                    <w:jc w:val="center"/>
                    <w:rPr>
                      <w:rFonts w:ascii="Times New Roman" w:hAnsi="Times New Roman"/>
                      <w:b/>
                      <w:bCs/>
                      <w:color w:val="auto"/>
                      <w:sz w:val="21"/>
                      <w:szCs w:val="21"/>
                      <w:highlight w:val="none"/>
                    </w:rPr>
                  </w:pPr>
                </w:p>
              </w:tc>
            </w:tr>
            <w:tr w14:paraId="64B2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02" w:hRule="atLeast"/>
                <w:jc w:val="center"/>
              </w:trPr>
              <w:tc>
                <w:tcPr>
                  <w:tcW w:w="279" w:type="pct"/>
                  <w:noWrap w:val="0"/>
                  <w:vAlign w:val="center"/>
                </w:tcPr>
                <w:p w14:paraId="5A694EBF">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机械加工</w:t>
                  </w:r>
                </w:p>
              </w:tc>
              <w:tc>
                <w:tcPr>
                  <w:tcW w:w="248" w:type="pct"/>
                  <w:noWrap w:val="0"/>
                  <w:vAlign w:val="center"/>
                </w:tcPr>
                <w:p w14:paraId="74F1D64E">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零件清洗</w:t>
                  </w:r>
                </w:p>
              </w:tc>
              <w:tc>
                <w:tcPr>
                  <w:tcW w:w="224" w:type="pct"/>
                  <w:noWrap w:val="0"/>
                  <w:vAlign w:val="center"/>
                </w:tcPr>
                <w:p w14:paraId="61B8C1A0">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零件清洗</w:t>
                  </w:r>
                </w:p>
              </w:tc>
              <w:tc>
                <w:tcPr>
                  <w:tcW w:w="438" w:type="pct"/>
                  <w:noWrap w:val="0"/>
                  <w:vAlign w:val="center"/>
                </w:tcPr>
                <w:p w14:paraId="15C12CCC">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含油废水</w:t>
                  </w:r>
                </w:p>
              </w:tc>
              <w:tc>
                <w:tcPr>
                  <w:tcW w:w="279" w:type="pct"/>
                  <w:noWrap w:val="0"/>
                  <w:vAlign w:val="center"/>
                </w:tcPr>
                <w:p w14:paraId="03EA76A2">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7~9</w:t>
                  </w:r>
                </w:p>
              </w:tc>
              <w:tc>
                <w:tcPr>
                  <w:tcW w:w="353" w:type="pct"/>
                  <w:noWrap w:val="0"/>
                  <w:vAlign w:val="center"/>
                </w:tcPr>
                <w:p w14:paraId="548F4671">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6000</w:t>
                  </w:r>
                </w:p>
              </w:tc>
              <w:tc>
                <w:tcPr>
                  <w:tcW w:w="402" w:type="pct"/>
                  <w:noWrap w:val="0"/>
                  <w:vAlign w:val="center"/>
                </w:tcPr>
                <w:p w14:paraId="6F7750D2">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1000</w:t>
                  </w:r>
                </w:p>
              </w:tc>
              <w:tc>
                <w:tcPr>
                  <w:tcW w:w="347" w:type="pct"/>
                  <w:noWrap w:val="0"/>
                  <w:vAlign w:val="center"/>
                </w:tcPr>
                <w:p w14:paraId="3DF40E62">
                  <w:pPr>
                    <w:pStyle w:val="30"/>
                    <w:spacing w:before="0" w:beforeAutospacing="0" w:after="0" w:afterAutospacing="0" w:line="240" w:lineRule="exact"/>
                    <w:jc w:val="center"/>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0.09</w:t>
                  </w:r>
                </w:p>
              </w:tc>
              <w:tc>
                <w:tcPr>
                  <w:tcW w:w="398" w:type="pct"/>
                  <w:noWrap w:val="0"/>
                  <w:vAlign w:val="center"/>
                </w:tcPr>
                <w:p w14:paraId="702456F3">
                  <w:pPr>
                    <w:pStyle w:val="30"/>
                    <w:spacing w:before="0" w:beforeAutospacing="0" w:after="0" w:afterAutospacing="0" w:line="240" w:lineRule="exact"/>
                    <w:jc w:val="center"/>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rPr>
                    <w:t>0.0</w:t>
                  </w:r>
                  <w:r>
                    <w:rPr>
                      <w:rFonts w:hint="eastAsia" w:ascii="Times New Roman" w:hAnsi="Times New Roman"/>
                      <w:color w:val="auto"/>
                      <w:sz w:val="21"/>
                      <w:szCs w:val="21"/>
                      <w:highlight w:val="none"/>
                      <w:lang w:val="en-US" w:eastAsia="zh-CN"/>
                    </w:rPr>
                    <w:t>15</w:t>
                  </w:r>
                </w:p>
              </w:tc>
              <w:tc>
                <w:tcPr>
                  <w:tcW w:w="294" w:type="pct"/>
                  <w:noWrap w:val="0"/>
                  <w:vAlign w:val="center"/>
                </w:tcPr>
                <w:p w14:paraId="32123B43">
                  <w:pPr>
                    <w:pStyle w:val="30"/>
                    <w:spacing w:before="0" w:beforeAutospacing="0" w:after="0" w:afterAutospacing="0" w:line="240" w:lineRule="exact"/>
                    <w:jc w:val="center"/>
                    <w:rPr>
                      <w:rFonts w:ascii="Times New Roman" w:hAnsi="Times New Roman"/>
                      <w:color w:val="FF0000"/>
                      <w:sz w:val="21"/>
                      <w:szCs w:val="21"/>
                      <w:highlight w:val="none"/>
                    </w:rPr>
                  </w:pPr>
                  <w:r>
                    <w:rPr>
                      <w:rFonts w:hint="eastAsia" w:ascii="Times New Roman" w:hAnsi="Times New Roman"/>
                      <w:color w:val="000000" w:themeColor="text1"/>
                      <w:sz w:val="21"/>
                      <w:szCs w:val="21"/>
                      <w:highlight w:val="none"/>
                      <w14:textFill>
                        <w14:solidFill>
                          <w14:schemeClr w14:val="tx1"/>
                        </w14:solidFill>
                      </w14:textFill>
                    </w:rPr>
                    <w:t>7~9</w:t>
                  </w:r>
                </w:p>
              </w:tc>
              <w:tc>
                <w:tcPr>
                  <w:tcW w:w="353" w:type="pct"/>
                  <w:noWrap w:val="0"/>
                  <w:vAlign w:val="center"/>
                </w:tcPr>
                <w:p w14:paraId="0AAF193C">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2520</w:t>
                  </w:r>
                </w:p>
              </w:tc>
              <w:tc>
                <w:tcPr>
                  <w:tcW w:w="402" w:type="pct"/>
                  <w:noWrap w:val="0"/>
                  <w:vAlign w:val="center"/>
                </w:tcPr>
                <w:p w14:paraId="0781F35A">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17.5</w:t>
                  </w:r>
                </w:p>
              </w:tc>
              <w:tc>
                <w:tcPr>
                  <w:tcW w:w="385" w:type="pct"/>
                  <w:noWrap w:val="0"/>
                  <w:vAlign w:val="center"/>
                </w:tcPr>
                <w:p w14:paraId="1C6F10BA">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0.0378</w:t>
                  </w:r>
                </w:p>
              </w:tc>
              <w:tc>
                <w:tcPr>
                  <w:tcW w:w="371" w:type="pct"/>
                  <w:noWrap w:val="0"/>
                  <w:vAlign w:val="center"/>
                </w:tcPr>
                <w:p w14:paraId="08311AF9">
                  <w:pPr>
                    <w:pStyle w:val="30"/>
                    <w:spacing w:before="0" w:beforeAutospacing="0" w:after="0" w:afterAutospacing="0" w:line="240" w:lineRule="exact"/>
                    <w:jc w:val="center"/>
                    <w:rPr>
                      <w:rFonts w:hint="eastAsia"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0.0002625</w:t>
                  </w:r>
                </w:p>
              </w:tc>
              <w:tc>
                <w:tcPr>
                  <w:tcW w:w="221" w:type="pct"/>
                  <w:noWrap w:val="0"/>
                  <w:vAlign w:val="center"/>
                </w:tcPr>
                <w:p w14:paraId="06555F91">
                  <w:pPr>
                    <w:pStyle w:val="30"/>
                    <w:spacing w:before="0" w:beforeAutospacing="0" w:after="0" w:afterAutospacing="0" w:line="240" w:lineRule="exact"/>
                    <w:jc w:val="center"/>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间歇排放</w:t>
                  </w:r>
                </w:p>
              </w:tc>
            </w:tr>
          </w:tbl>
          <w:p w14:paraId="2896B2A3">
            <w:pPr>
              <w:pStyle w:val="29"/>
              <w:spacing w:line="240" w:lineRule="auto"/>
              <w:jc w:val="center"/>
              <w:rPr>
                <w:rFonts w:hint="eastAsia"/>
                <w:b/>
                <w:bCs/>
                <w:color w:val="auto"/>
                <w:sz w:val="24"/>
                <w:highlight w:val="none"/>
              </w:rPr>
            </w:pPr>
          </w:p>
          <w:p w14:paraId="6D60AD61">
            <w:pPr>
              <w:pStyle w:val="29"/>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eastAsia"/>
                <w:b/>
                <w:bCs/>
                <w:color w:val="auto"/>
                <w:sz w:val="24"/>
                <w:highlight w:val="none"/>
              </w:rPr>
            </w:pPr>
            <w:r>
              <w:rPr>
                <w:rFonts w:hint="eastAsia"/>
                <w:b/>
                <w:bCs/>
                <w:color w:val="auto"/>
                <w:sz w:val="24"/>
                <w:highlight w:val="none"/>
              </w:rPr>
              <w:t>表4-3  技改后有清洗废水排放时整体项目废水排放情况</w:t>
            </w:r>
          </w:p>
          <w:tbl>
            <w:tblPr>
              <w:tblStyle w:val="37"/>
              <w:tblpPr w:leftFromText="180" w:rightFromText="180" w:vertAnchor="text" w:horzAnchor="page" w:tblpXSpec="center" w:tblpY="143"/>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832"/>
              <w:gridCol w:w="986"/>
              <w:gridCol w:w="688"/>
              <w:gridCol w:w="1071"/>
              <w:gridCol w:w="948"/>
              <w:gridCol w:w="1136"/>
              <w:gridCol w:w="1149"/>
              <w:gridCol w:w="789"/>
            </w:tblGrid>
            <w:tr w14:paraId="4BB7C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15" w:type="pct"/>
                  <w:vMerge w:val="restart"/>
                  <w:noWrap w:val="0"/>
                  <w:vAlign w:val="center"/>
                </w:tcPr>
                <w:p w14:paraId="6798117B">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排放口</w:t>
                  </w:r>
                </w:p>
              </w:tc>
              <w:tc>
                <w:tcPr>
                  <w:tcW w:w="491" w:type="pct"/>
                  <w:vMerge w:val="restart"/>
                  <w:noWrap w:val="0"/>
                  <w:vAlign w:val="center"/>
                </w:tcPr>
                <w:p w14:paraId="6871F3E1">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产生环节</w:t>
                  </w:r>
                </w:p>
              </w:tc>
              <w:tc>
                <w:tcPr>
                  <w:tcW w:w="582" w:type="pct"/>
                  <w:vMerge w:val="restart"/>
                  <w:noWrap w:val="0"/>
                  <w:vAlign w:val="center"/>
                </w:tcPr>
                <w:p w14:paraId="38BDAD3A">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废水类别</w:t>
                  </w:r>
                </w:p>
              </w:tc>
              <w:tc>
                <w:tcPr>
                  <w:tcW w:w="2944" w:type="pct"/>
                  <w:gridSpan w:val="5"/>
                  <w:noWrap w:val="0"/>
                  <w:vAlign w:val="center"/>
                </w:tcPr>
                <w:p w14:paraId="79DAECA3">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排放情况</w:t>
                  </w:r>
                </w:p>
              </w:tc>
              <w:tc>
                <w:tcPr>
                  <w:tcW w:w="465" w:type="pct"/>
                  <w:vMerge w:val="restart"/>
                  <w:noWrap w:val="0"/>
                  <w:vAlign w:val="center"/>
                </w:tcPr>
                <w:p w14:paraId="0D6EF3EF">
                  <w:pPr>
                    <w:pStyle w:val="30"/>
                    <w:spacing w:before="0" w:beforeAutospacing="0" w:after="0" w:afterAutospacing="0" w:line="240" w:lineRule="exact"/>
                    <w:jc w:val="center"/>
                    <w:rPr>
                      <w:rFonts w:ascii="Times New Roman" w:hAnsi="Times New Roman"/>
                      <w:b/>
                      <w:bCs/>
                      <w:color w:val="auto"/>
                      <w:sz w:val="21"/>
                      <w:szCs w:val="21"/>
                      <w:highlight w:val="none"/>
                    </w:rPr>
                  </w:pPr>
                  <w:r>
                    <w:rPr>
                      <w:rFonts w:ascii="Times New Roman" w:hAnsi="Times New Roman"/>
                      <w:b/>
                      <w:bCs/>
                      <w:color w:val="auto"/>
                      <w:sz w:val="21"/>
                      <w:szCs w:val="21"/>
                      <w:highlight w:val="none"/>
                    </w:rPr>
                    <w:t>排放方式</w:t>
                  </w:r>
                </w:p>
              </w:tc>
            </w:tr>
            <w:tr w14:paraId="7A309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15" w:type="pct"/>
                  <w:vMerge w:val="continue"/>
                  <w:noWrap w:val="0"/>
                  <w:vAlign w:val="center"/>
                </w:tcPr>
                <w:p w14:paraId="26208EC2">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91" w:type="pct"/>
                  <w:vMerge w:val="continue"/>
                  <w:noWrap w:val="0"/>
                  <w:vAlign w:val="center"/>
                </w:tcPr>
                <w:p w14:paraId="0857C15F">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582" w:type="pct"/>
                  <w:vMerge w:val="continue"/>
                  <w:noWrap w:val="0"/>
                  <w:vAlign w:val="center"/>
                </w:tcPr>
                <w:p w14:paraId="44FF637A">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06" w:type="pct"/>
                  <w:vMerge w:val="restart"/>
                  <w:noWrap w:val="0"/>
                  <w:vAlign w:val="center"/>
                </w:tcPr>
                <w:p w14:paraId="65E32A81">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pH</w:t>
                  </w:r>
                </w:p>
              </w:tc>
              <w:tc>
                <w:tcPr>
                  <w:tcW w:w="1191" w:type="pct"/>
                  <w:gridSpan w:val="2"/>
                  <w:noWrap w:val="0"/>
                  <w:vAlign w:val="center"/>
                </w:tcPr>
                <w:p w14:paraId="67B2268A">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排放浓度</w:t>
                  </w:r>
                  <w:r>
                    <w:rPr>
                      <w:rFonts w:ascii="Times New Roman" w:hAnsi="Times New Roman"/>
                      <w:b/>
                      <w:bCs/>
                      <w:color w:val="auto"/>
                      <w:sz w:val="21"/>
                      <w:szCs w:val="21"/>
                      <w:highlight w:val="none"/>
                    </w:rPr>
                    <w:t>mg/L</w:t>
                  </w:r>
                </w:p>
              </w:tc>
              <w:tc>
                <w:tcPr>
                  <w:tcW w:w="1345" w:type="pct"/>
                  <w:gridSpan w:val="2"/>
                  <w:noWrap w:val="0"/>
                  <w:vAlign w:val="center"/>
                </w:tcPr>
                <w:p w14:paraId="5CC764FF">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排放量t/a</w:t>
                  </w:r>
                </w:p>
              </w:tc>
              <w:tc>
                <w:tcPr>
                  <w:tcW w:w="465" w:type="pct"/>
                  <w:vMerge w:val="continue"/>
                  <w:noWrap w:val="0"/>
                  <w:vAlign w:val="center"/>
                </w:tcPr>
                <w:p w14:paraId="1A4DD1B0">
                  <w:pPr>
                    <w:pStyle w:val="30"/>
                    <w:spacing w:before="0" w:beforeAutospacing="0" w:after="0" w:afterAutospacing="0" w:line="240" w:lineRule="exact"/>
                    <w:jc w:val="center"/>
                    <w:rPr>
                      <w:rFonts w:ascii="Times New Roman" w:hAnsi="Times New Roman"/>
                      <w:b/>
                      <w:bCs/>
                      <w:color w:val="auto"/>
                      <w:sz w:val="21"/>
                      <w:szCs w:val="21"/>
                      <w:highlight w:val="none"/>
                    </w:rPr>
                  </w:pPr>
                </w:p>
              </w:tc>
            </w:tr>
            <w:tr w14:paraId="4694A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515" w:type="pct"/>
                  <w:vMerge w:val="continue"/>
                  <w:noWrap w:val="0"/>
                  <w:vAlign w:val="center"/>
                </w:tcPr>
                <w:p w14:paraId="69FE8D47">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91" w:type="pct"/>
                  <w:vMerge w:val="continue"/>
                  <w:noWrap w:val="0"/>
                  <w:vAlign w:val="center"/>
                </w:tcPr>
                <w:p w14:paraId="09466D13">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582" w:type="pct"/>
                  <w:vMerge w:val="continue"/>
                  <w:noWrap w:val="0"/>
                  <w:vAlign w:val="center"/>
                </w:tcPr>
                <w:p w14:paraId="408FF359">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406" w:type="pct"/>
                  <w:vMerge w:val="continue"/>
                  <w:noWrap w:val="0"/>
                  <w:vAlign w:val="center"/>
                </w:tcPr>
                <w:p w14:paraId="1F315516">
                  <w:pPr>
                    <w:pStyle w:val="30"/>
                    <w:spacing w:before="0" w:beforeAutospacing="0" w:after="0" w:afterAutospacing="0" w:line="240" w:lineRule="exact"/>
                    <w:jc w:val="center"/>
                    <w:rPr>
                      <w:rFonts w:ascii="Times New Roman" w:hAnsi="Times New Roman"/>
                      <w:b/>
                      <w:bCs/>
                      <w:color w:val="auto"/>
                      <w:sz w:val="21"/>
                      <w:szCs w:val="21"/>
                      <w:highlight w:val="none"/>
                    </w:rPr>
                  </w:pPr>
                </w:p>
              </w:tc>
              <w:tc>
                <w:tcPr>
                  <w:tcW w:w="632" w:type="pct"/>
                  <w:noWrap w:val="0"/>
                  <w:vAlign w:val="center"/>
                </w:tcPr>
                <w:p w14:paraId="4A0B6F57">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558" w:type="pct"/>
                  <w:noWrap w:val="0"/>
                  <w:vAlign w:val="center"/>
                </w:tcPr>
                <w:p w14:paraId="0941B921">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670" w:type="pct"/>
                  <w:noWrap w:val="0"/>
                  <w:vAlign w:val="center"/>
                </w:tcPr>
                <w:p w14:paraId="6CAF6C8D">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COD</w:t>
                  </w:r>
                </w:p>
              </w:tc>
              <w:tc>
                <w:tcPr>
                  <w:tcW w:w="675" w:type="pct"/>
                  <w:noWrap w:val="0"/>
                  <w:vAlign w:val="center"/>
                </w:tcPr>
                <w:p w14:paraId="7544D17B">
                  <w:pPr>
                    <w:pStyle w:val="30"/>
                    <w:spacing w:before="0" w:beforeAutospacing="0" w:after="0" w:afterAutospacing="0" w:line="240" w:lineRule="exact"/>
                    <w:jc w:val="center"/>
                    <w:rPr>
                      <w:rFonts w:ascii="Times New Roman" w:hAnsi="Times New Roman"/>
                      <w:b/>
                      <w:bCs/>
                      <w:color w:val="auto"/>
                      <w:sz w:val="21"/>
                      <w:szCs w:val="21"/>
                      <w:highlight w:val="none"/>
                    </w:rPr>
                  </w:pPr>
                  <w:r>
                    <w:rPr>
                      <w:rFonts w:hint="eastAsia" w:ascii="Times New Roman" w:hAnsi="Times New Roman"/>
                      <w:b/>
                      <w:bCs/>
                      <w:color w:val="auto"/>
                      <w:sz w:val="21"/>
                      <w:szCs w:val="21"/>
                      <w:highlight w:val="none"/>
                    </w:rPr>
                    <w:t>石油类</w:t>
                  </w:r>
                </w:p>
              </w:tc>
              <w:tc>
                <w:tcPr>
                  <w:tcW w:w="465" w:type="pct"/>
                  <w:vMerge w:val="continue"/>
                  <w:noWrap w:val="0"/>
                  <w:vAlign w:val="center"/>
                </w:tcPr>
                <w:p w14:paraId="265CC4D6">
                  <w:pPr>
                    <w:pStyle w:val="30"/>
                    <w:spacing w:before="0" w:beforeAutospacing="0" w:after="0" w:afterAutospacing="0" w:line="240" w:lineRule="exact"/>
                    <w:jc w:val="center"/>
                    <w:rPr>
                      <w:rFonts w:ascii="Times New Roman" w:hAnsi="Times New Roman"/>
                      <w:b/>
                      <w:bCs/>
                      <w:color w:val="auto"/>
                      <w:sz w:val="21"/>
                      <w:szCs w:val="21"/>
                      <w:highlight w:val="none"/>
                    </w:rPr>
                  </w:pPr>
                </w:p>
              </w:tc>
            </w:tr>
            <w:tr w14:paraId="2B0B8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15" w:type="pct"/>
                  <w:noWrap w:val="0"/>
                  <w:vAlign w:val="center"/>
                </w:tcPr>
                <w:p w14:paraId="4CDFDB86">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综合污水总排口</w:t>
                  </w:r>
                </w:p>
              </w:tc>
              <w:tc>
                <w:tcPr>
                  <w:tcW w:w="491" w:type="pct"/>
                  <w:noWrap w:val="0"/>
                  <w:vAlign w:val="center"/>
                </w:tcPr>
                <w:p w14:paraId="2E153EA1">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生活、工件清洗</w:t>
                  </w:r>
                </w:p>
              </w:tc>
              <w:tc>
                <w:tcPr>
                  <w:tcW w:w="582" w:type="pct"/>
                  <w:noWrap w:val="0"/>
                  <w:vAlign w:val="center"/>
                </w:tcPr>
                <w:p w14:paraId="029BD438">
                  <w:pPr>
                    <w:pStyle w:val="30"/>
                    <w:spacing w:before="0" w:beforeAutospacing="0" w:after="0" w:afterAutospacing="0" w:line="240" w:lineRule="exact"/>
                    <w:jc w:val="center"/>
                    <w:rPr>
                      <w:rFonts w:ascii="Times New Roman" w:hAnsi="Times New Roman"/>
                      <w:color w:val="auto"/>
                      <w:sz w:val="21"/>
                      <w:szCs w:val="21"/>
                      <w:highlight w:val="none"/>
                    </w:rPr>
                  </w:pPr>
                  <w:r>
                    <w:rPr>
                      <w:rFonts w:hint="eastAsia" w:ascii="Times New Roman" w:hAnsi="Times New Roman"/>
                      <w:color w:val="auto"/>
                      <w:sz w:val="21"/>
                      <w:szCs w:val="21"/>
                      <w:highlight w:val="none"/>
                    </w:rPr>
                    <w:t>生活污水、含油废水</w:t>
                  </w:r>
                </w:p>
              </w:tc>
              <w:tc>
                <w:tcPr>
                  <w:tcW w:w="406" w:type="pct"/>
                  <w:noWrap w:val="0"/>
                  <w:vAlign w:val="center"/>
                </w:tcPr>
                <w:p w14:paraId="78E314A9">
                  <w:pPr>
                    <w:pStyle w:val="30"/>
                    <w:spacing w:before="0" w:beforeAutospacing="0" w:after="0" w:afterAutospacing="0" w:line="240" w:lineRule="exact"/>
                    <w:jc w:val="center"/>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7~9</w:t>
                  </w:r>
                </w:p>
              </w:tc>
              <w:tc>
                <w:tcPr>
                  <w:tcW w:w="632" w:type="pct"/>
                  <w:noWrap w:val="0"/>
                  <w:vAlign w:val="center"/>
                </w:tcPr>
                <w:p w14:paraId="760DD931">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147.31</w:t>
                  </w:r>
                </w:p>
              </w:tc>
              <w:tc>
                <w:tcPr>
                  <w:tcW w:w="558" w:type="pct"/>
                  <w:noWrap w:val="0"/>
                  <w:vAlign w:val="center"/>
                </w:tcPr>
                <w:p w14:paraId="00F76222">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lang w:val="en-US" w:eastAsia="zh-CN"/>
                      <w14:textFill>
                        <w14:solidFill>
                          <w14:schemeClr w14:val="tx1"/>
                        </w14:solidFill>
                      </w14:textFill>
                    </w:rPr>
                    <w:t>0.228</w:t>
                  </w:r>
                </w:p>
              </w:tc>
              <w:tc>
                <w:tcPr>
                  <w:tcW w:w="670" w:type="pct"/>
                  <w:noWrap w:val="0"/>
                  <w:vAlign w:val="center"/>
                </w:tcPr>
                <w:p w14:paraId="1F3B6BEE">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0.1</w:t>
                  </w:r>
                  <w:r>
                    <w:rPr>
                      <w:rFonts w:hint="eastAsia" w:ascii="Times New Roman" w:hAnsi="Times New Roman"/>
                      <w:color w:val="000000" w:themeColor="text1"/>
                      <w:sz w:val="21"/>
                      <w:szCs w:val="21"/>
                      <w:highlight w:val="none"/>
                      <w:lang w:val="en-US" w:eastAsia="zh-CN"/>
                      <w14:textFill>
                        <w14:solidFill>
                          <w14:schemeClr w14:val="tx1"/>
                        </w14:solidFill>
                      </w14:textFill>
                    </w:rPr>
                    <w:t>70</w:t>
                  </w:r>
                </w:p>
              </w:tc>
              <w:tc>
                <w:tcPr>
                  <w:tcW w:w="675" w:type="pct"/>
                  <w:noWrap w:val="0"/>
                  <w:vAlign w:val="center"/>
                </w:tcPr>
                <w:p w14:paraId="3E2514B9">
                  <w:pPr>
                    <w:pStyle w:val="30"/>
                    <w:spacing w:before="0" w:beforeAutospacing="0" w:after="0" w:afterAutospacing="0" w:line="240" w:lineRule="exact"/>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color w:val="000000" w:themeColor="text1"/>
                      <w:sz w:val="21"/>
                      <w:szCs w:val="21"/>
                      <w:highlight w:val="none"/>
                      <w14:textFill>
                        <w14:solidFill>
                          <w14:schemeClr w14:val="tx1"/>
                        </w14:solidFill>
                      </w14:textFill>
                    </w:rPr>
                    <w:t>0.0002</w:t>
                  </w:r>
                  <w:r>
                    <w:rPr>
                      <w:rFonts w:hint="eastAsia" w:ascii="Times New Roman" w:hAnsi="Times New Roman"/>
                      <w:color w:val="000000" w:themeColor="text1"/>
                      <w:sz w:val="21"/>
                      <w:szCs w:val="21"/>
                      <w:highlight w:val="none"/>
                      <w:lang w:val="en-US" w:eastAsia="zh-CN"/>
                      <w14:textFill>
                        <w14:solidFill>
                          <w14:schemeClr w14:val="tx1"/>
                        </w14:solidFill>
                      </w14:textFill>
                    </w:rPr>
                    <w:t>6</w:t>
                  </w:r>
                </w:p>
              </w:tc>
              <w:tc>
                <w:tcPr>
                  <w:tcW w:w="465" w:type="pct"/>
                  <w:noWrap w:val="0"/>
                  <w:vAlign w:val="center"/>
                </w:tcPr>
                <w:p w14:paraId="16CA1885">
                  <w:pPr>
                    <w:pStyle w:val="30"/>
                    <w:spacing w:before="0" w:beforeAutospacing="0" w:after="0" w:afterAutospacing="0" w:line="240" w:lineRule="exact"/>
                    <w:jc w:val="center"/>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间歇排放</w:t>
                  </w:r>
                </w:p>
              </w:tc>
            </w:tr>
          </w:tbl>
          <w:p w14:paraId="1655D984">
            <w:pPr>
              <w:pStyle w:val="112"/>
              <w:keepNext w:val="0"/>
              <w:keepLines w:val="0"/>
              <w:pageBreakBefore w:val="0"/>
              <w:kinsoku/>
              <w:wordWrap/>
              <w:overflowPunct/>
              <w:topLinePunct w:val="0"/>
              <w:autoSpaceDE/>
              <w:autoSpaceDN/>
              <w:bidi w:val="0"/>
              <w:adjustRightInd/>
              <w:spacing w:before="0" w:beforeLines="0" w:after="0" w:afterLines="0" w:line="460" w:lineRule="exact"/>
              <w:ind w:firstLine="480"/>
              <w:textAlignment w:val="auto"/>
              <w:rPr>
                <w:bCs/>
                <w:color w:val="auto"/>
                <w:spacing w:val="-10"/>
                <w:szCs w:val="21"/>
                <w:highlight w:val="none"/>
              </w:rPr>
            </w:pPr>
            <w:r>
              <w:rPr>
                <w:rFonts w:hint="eastAsia" w:ascii="Times New Roman" w:hAnsi="Times New Roman" w:eastAsia="宋体" w:cs="Times New Roman"/>
                <w:color w:val="auto"/>
                <w:sz w:val="24"/>
                <w:szCs w:val="24"/>
                <w:highlight w:val="none"/>
                <w:lang w:val="en-US" w:eastAsia="zh-CN"/>
              </w:rPr>
              <w:t>综合上述，技改完成后，水槽排放口和综合排放口均满足《污水综合排放标准》(GB8978-1996)表4中三级标准，并满足行唐县第二污水处理厂进水水质标准：pH6~9、COD450mg/L、石油类20mg/mL</w:t>
            </w:r>
            <w:r>
              <w:rPr>
                <w:rFonts w:hint="eastAsia" w:cs="Times New Roman"/>
                <w:color w:val="auto"/>
                <w:sz w:val="24"/>
                <w:szCs w:val="24"/>
                <w:highlight w:val="none"/>
                <w:lang w:val="en-US" w:eastAsia="zh-CN"/>
              </w:rPr>
              <w:t>；</w:t>
            </w:r>
            <w:r>
              <w:rPr>
                <w:rFonts w:hint="eastAsia" w:ascii="Times New Roman" w:hAnsi="Times New Roman" w:eastAsia="宋体" w:cs="Times New Roman"/>
                <w:color w:val="auto"/>
                <w:sz w:val="24"/>
                <w:szCs w:val="24"/>
                <w:highlight w:val="none"/>
                <w:lang w:val="en-US" w:eastAsia="zh-CN"/>
              </w:rPr>
              <w:t>故措施可行。</w:t>
            </w:r>
          </w:p>
          <w:p w14:paraId="6C07C15E">
            <w:pPr>
              <w:pStyle w:val="18"/>
              <w:keepNext w:val="0"/>
              <w:keepLines w:val="0"/>
              <w:pageBreakBefore w:val="0"/>
              <w:kinsoku/>
              <w:wordWrap/>
              <w:overflowPunct/>
              <w:topLinePunct w:val="0"/>
              <w:autoSpaceDE/>
              <w:autoSpaceDN/>
              <w:bidi w:val="0"/>
              <w:adjustRightInd/>
              <w:spacing w:line="460" w:lineRule="exact"/>
              <w:ind w:firstLine="440"/>
              <w:jc w:val="both"/>
              <w:textAlignment w:val="auto"/>
              <w:rPr>
                <w:rFonts w:hint="eastAsia"/>
                <w:color w:val="auto"/>
                <w:szCs w:val="24"/>
                <w:highlight w:val="none"/>
              </w:rPr>
            </w:pPr>
            <w:r>
              <w:rPr>
                <w:rFonts w:hint="eastAsia"/>
                <w:bCs/>
                <w:color w:val="auto"/>
                <w:spacing w:val="-10"/>
                <w:szCs w:val="21"/>
                <w:highlight w:val="none"/>
              </w:rPr>
              <w:t>（2）</w:t>
            </w:r>
            <w:r>
              <w:rPr>
                <w:rFonts w:hint="eastAsia"/>
                <w:color w:val="auto"/>
                <w:szCs w:val="24"/>
                <w:highlight w:val="none"/>
              </w:rPr>
              <w:t>废水排入行唐县第二污水处理厂可行性分析</w:t>
            </w:r>
          </w:p>
          <w:p w14:paraId="5DACE494">
            <w:pPr>
              <w:pStyle w:val="18"/>
              <w:keepNext w:val="0"/>
              <w:keepLines w:val="0"/>
              <w:pageBreakBefore w:val="0"/>
              <w:kinsoku/>
              <w:wordWrap/>
              <w:overflowPunct/>
              <w:topLinePunct w:val="0"/>
              <w:autoSpaceDE/>
              <w:autoSpaceDN/>
              <w:bidi w:val="0"/>
              <w:adjustRightInd/>
              <w:spacing w:line="460" w:lineRule="exact"/>
              <w:ind w:firstLine="480"/>
              <w:jc w:val="both"/>
              <w:textAlignment w:val="auto"/>
              <w:rPr>
                <w:color w:val="auto"/>
                <w:szCs w:val="24"/>
                <w:highlight w:val="none"/>
              </w:rPr>
            </w:pPr>
            <w:r>
              <w:rPr>
                <w:rFonts w:hint="eastAsia"/>
                <w:color w:val="auto"/>
                <w:szCs w:val="24"/>
                <w:highlight w:val="none"/>
              </w:rPr>
              <w:t>本项目位于行唐县经济开发区南区，</w:t>
            </w:r>
            <w:r>
              <w:rPr>
                <w:color w:val="auto"/>
                <w:szCs w:val="24"/>
                <w:highlight w:val="none"/>
              </w:rPr>
              <w:t>行唐县第二污水处理厂收水范围为行唐县工业聚集区内工业废水及生活污水，收水管道已</w:t>
            </w:r>
            <w:r>
              <w:rPr>
                <w:rFonts w:hint="eastAsia"/>
                <w:color w:val="auto"/>
                <w:szCs w:val="24"/>
                <w:highlight w:val="none"/>
              </w:rPr>
              <w:t>铺设</w:t>
            </w:r>
            <w:r>
              <w:rPr>
                <w:color w:val="auto"/>
                <w:szCs w:val="24"/>
                <w:highlight w:val="none"/>
              </w:rPr>
              <w:t>至厂区</w:t>
            </w:r>
            <w:r>
              <w:rPr>
                <w:rFonts w:hint="eastAsia"/>
                <w:color w:val="auto"/>
                <w:szCs w:val="24"/>
                <w:highlight w:val="none"/>
              </w:rPr>
              <w:t>。项目</w:t>
            </w:r>
            <w:r>
              <w:rPr>
                <w:rFonts w:hint="eastAsia"/>
                <w:bCs/>
                <w:color w:val="auto"/>
                <w:szCs w:val="24"/>
                <w:highlight w:val="none"/>
              </w:rPr>
              <w:t>废水</w:t>
            </w:r>
            <w:r>
              <w:rPr>
                <w:color w:val="auto"/>
                <w:szCs w:val="24"/>
                <w:highlight w:val="none"/>
              </w:rPr>
              <w:t>主要污染物为COD、</w:t>
            </w:r>
            <w:r>
              <w:rPr>
                <w:rFonts w:hint="eastAsia"/>
                <w:bCs/>
                <w:color w:val="auto"/>
                <w:szCs w:val="24"/>
                <w:highlight w:val="none"/>
              </w:rPr>
              <w:t>石油类</w:t>
            </w:r>
            <w:r>
              <w:rPr>
                <w:rFonts w:hint="eastAsia"/>
                <w:color w:val="auto"/>
                <w:szCs w:val="24"/>
                <w:highlight w:val="none"/>
              </w:rPr>
              <w:t>，</w:t>
            </w:r>
            <w:r>
              <w:rPr>
                <w:color w:val="auto"/>
                <w:szCs w:val="24"/>
                <w:highlight w:val="none"/>
              </w:rPr>
              <w:t>行唐县第二污水处理厂处理规模为</w:t>
            </w:r>
            <w:r>
              <w:rPr>
                <w:rFonts w:hint="eastAsia"/>
                <w:color w:val="auto"/>
                <w:szCs w:val="24"/>
                <w:highlight w:val="none"/>
              </w:rPr>
              <w:t>2</w:t>
            </w:r>
            <w:r>
              <w:rPr>
                <w:color w:val="auto"/>
                <w:szCs w:val="24"/>
                <w:highlight w:val="none"/>
              </w:rPr>
              <w:t>万m</w:t>
            </w:r>
            <w:r>
              <w:rPr>
                <w:color w:val="auto"/>
                <w:szCs w:val="24"/>
                <w:highlight w:val="none"/>
                <w:vertAlign w:val="superscript"/>
              </w:rPr>
              <w:t>3</w:t>
            </w:r>
            <w:r>
              <w:rPr>
                <w:color w:val="auto"/>
                <w:szCs w:val="24"/>
                <w:highlight w:val="none"/>
              </w:rPr>
              <w:t>/d</w:t>
            </w:r>
            <w:r>
              <w:rPr>
                <w:rFonts w:hint="eastAsia"/>
                <w:color w:val="auto"/>
                <w:szCs w:val="24"/>
                <w:highlight w:val="none"/>
              </w:rPr>
              <w:t>，采取“</w:t>
            </w:r>
            <w:r>
              <w:rPr>
                <w:color w:val="auto"/>
                <w:szCs w:val="24"/>
                <w:highlight w:val="none"/>
              </w:rPr>
              <w:t>预处理+A</w:t>
            </w:r>
            <w:r>
              <w:rPr>
                <w:color w:val="auto"/>
                <w:szCs w:val="24"/>
                <w:highlight w:val="none"/>
                <w:vertAlign w:val="superscript"/>
              </w:rPr>
              <w:t>2</w:t>
            </w:r>
            <w:r>
              <w:rPr>
                <w:color w:val="auto"/>
                <w:szCs w:val="24"/>
                <w:highlight w:val="none"/>
              </w:rPr>
              <w:t>O生化工艺+沉淀池+絮凝沉淀池+高效反硝化生物滤池+中间水池+臭氧催化氧化+高效曝气生物滤池+V型滤池+消毒</w:t>
            </w:r>
            <w:r>
              <w:rPr>
                <w:rFonts w:hint="eastAsia"/>
                <w:color w:val="auto"/>
                <w:szCs w:val="24"/>
                <w:highlight w:val="none"/>
              </w:rPr>
              <w:t>”</w:t>
            </w:r>
            <w:r>
              <w:rPr>
                <w:color w:val="auto"/>
                <w:szCs w:val="24"/>
                <w:highlight w:val="none"/>
              </w:rPr>
              <w:t>工艺</w:t>
            </w:r>
            <w:r>
              <w:rPr>
                <w:rFonts w:hint="eastAsia"/>
                <w:color w:val="auto"/>
                <w:szCs w:val="24"/>
                <w:highlight w:val="none"/>
              </w:rPr>
              <w:t>对废水进行处理，出水指标执行《大清河流域水污染物排放标准》（DB/2795-2018）重点控制区排放限值及《城镇污水处理厂污染物排放标准》（GB18918-2002）及其修改单中表1中一级A标准，进出水水质指标见表。</w:t>
            </w:r>
          </w:p>
          <w:p w14:paraId="71A3E1C5">
            <w:pPr>
              <w:keepNext w:val="0"/>
              <w:keepLines w:val="0"/>
              <w:pageBreakBefore w:val="0"/>
              <w:widowControl w:val="0"/>
              <w:tabs>
                <w:tab w:val="center" w:pos="4365"/>
                <w:tab w:val="left" w:pos="6435"/>
              </w:tabs>
              <w:kinsoku/>
              <w:wordWrap/>
              <w:overflowPunct/>
              <w:topLinePunct w:val="0"/>
              <w:autoSpaceDE/>
              <w:autoSpaceDN/>
              <w:bidi w:val="0"/>
              <w:adjustRightInd/>
              <w:snapToGrid/>
              <w:spacing w:before="63" w:beforeLines="20" w:after="32" w:afterLines="10"/>
              <w:jc w:val="center"/>
              <w:textAlignment w:val="auto"/>
              <w:rPr>
                <w:color w:val="auto"/>
                <w:sz w:val="24"/>
                <w:highlight w:val="none"/>
              </w:rPr>
            </w:pPr>
            <w:r>
              <w:rPr>
                <w:rFonts w:hint="eastAsia"/>
                <w:b/>
                <w:bCs/>
                <w:color w:val="auto"/>
                <w:sz w:val="24"/>
                <w:highlight w:val="none"/>
              </w:rPr>
              <w:t>表4-4  行唐县第二污水处理厂进出水水质指标 单位：</w:t>
            </w:r>
            <w:r>
              <w:rPr>
                <w:b/>
                <w:bCs/>
                <w:color w:val="auto"/>
                <w:sz w:val="24"/>
                <w:highlight w:val="none"/>
              </w:rPr>
              <w:t>mg/L</w:t>
            </w:r>
            <w:r>
              <w:rPr>
                <w:rFonts w:hint="eastAsia"/>
                <w:b/>
                <w:bCs/>
                <w:color w:val="auto"/>
                <w:sz w:val="24"/>
                <w:highlight w:val="none"/>
              </w:rPr>
              <w:t>（</w:t>
            </w:r>
            <w:r>
              <w:rPr>
                <w:b/>
                <w:bCs/>
                <w:color w:val="auto"/>
                <w:sz w:val="24"/>
                <w:highlight w:val="none"/>
              </w:rPr>
              <w:t>pH</w:t>
            </w:r>
            <w:r>
              <w:rPr>
                <w:rFonts w:hint="eastAsia"/>
                <w:b/>
                <w:bCs/>
                <w:color w:val="auto"/>
                <w:sz w:val="24"/>
                <w:highlight w:val="none"/>
              </w:rPr>
              <w:t>除外）</w:t>
            </w:r>
          </w:p>
          <w:tbl>
            <w:tblPr>
              <w:tblStyle w:val="36"/>
              <w:tblW w:w="4999" w:type="pct"/>
              <w:tblInd w:w="5"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57" w:type="dxa"/>
                <w:bottom w:w="0" w:type="dxa"/>
                <w:right w:w="57" w:type="dxa"/>
              </w:tblCellMar>
            </w:tblPr>
            <w:tblGrid>
              <w:gridCol w:w="1522"/>
              <w:gridCol w:w="994"/>
              <w:gridCol w:w="994"/>
              <w:gridCol w:w="994"/>
              <w:gridCol w:w="994"/>
              <w:gridCol w:w="995"/>
              <w:gridCol w:w="995"/>
              <w:gridCol w:w="995"/>
            </w:tblGrid>
            <w:tr w14:paraId="18389C3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400" w:hRule="atLeast"/>
              </w:trPr>
              <w:tc>
                <w:tcPr>
                  <w:tcW w:w="897" w:type="pct"/>
                  <w:noWrap w:val="0"/>
                  <w:vAlign w:val="center"/>
                </w:tcPr>
                <w:p w14:paraId="36570FD7">
                  <w:pPr>
                    <w:jc w:val="center"/>
                    <w:rPr>
                      <w:color w:val="auto"/>
                      <w:szCs w:val="21"/>
                      <w:highlight w:val="none"/>
                    </w:rPr>
                  </w:pPr>
                  <w:r>
                    <w:rPr>
                      <w:rFonts w:hint="eastAsia"/>
                      <w:color w:val="auto"/>
                      <w:szCs w:val="21"/>
                      <w:highlight w:val="none"/>
                    </w:rPr>
                    <w:t>项目</w:t>
                  </w:r>
                </w:p>
              </w:tc>
              <w:tc>
                <w:tcPr>
                  <w:tcW w:w="586" w:type="pct"/>
                  <w:noWrap w:val="0"/>
                  <w:vAlign w:val="center"/>
                </w:tcPr>
                <w:p w14:paraId="4025C9E5">
                  <w:pPr>
                    <w:jc w:val="center"/>
                    <w:rPr>
                      <w:color w:val="auto"/>
                      <w:szCs w:val="21"/>
                      <w:highlight w:val="none"/>
                    </w:rPr>
                  </w:pPr>
                  <w:r>
                    <w:rPr>
                      <w:color w:val="auto"/>
                      <w:szCs w:val="21"/>
                      <w:highlight w:val="none"/>
                    </w:rPr>
                    <w:t>pH</w:t>
                  </w:r>
                </w:p>
              </w:tc>
              <w:tc>
                <w:tcPr>
                  <w:tcW w:w="586" w:type="pct"/>
                  <w:noWrap w:val="0"/>
                  <w:vAlign w:val="center"/>
                </w:tcPr>
                <w:p w14:paraId="69A157FF">
                  <w:pPr>
                    <w:jc w:val="center"/>
                    <w:rPr>
                      <w:color w:val="auto"/>
                      <w:szCs w:val="21"/>
                      <w:highlight w:val="none"/>
                    </w:rPr>
                  </w:pPr>
                  <w:r>
                    <w:rPr>
                      <w:color w:val="auto"/>
                      <w:szCs w:val="21"/>
                      <w:highlight w:val="none"/>
                    </w:rPr>
                    <w:t>COD</w:t>
                  </w:r>
                  <w:r>
                    <w:rPr>
                      <w:color w:val="auto"/>
                      <w:szCs w:val="21"/>
                      <w:highlight w:val="none"/>
                      <w:vertAlign w:val="subscript"/>
                    </w:rPr>
                    <w:t>cr</w:t>
                  </w:r>
                </w:p>
              </w:tc>
              <w:tc>
                <w:tcPr>
                  <w:tcW w:w="586" w:type="pct"/>
                  <w:noWrap w:val="0"/>
                  <w:vAlign w:val="center"/>
                </w:tcPr>
                <w:p w14:paraId="2C04DDAC">
                  <w:pPr>
                    <w:jc w:val="center"/>
                    <w:rPr>
                      <w:color w:val="auto"/>
                      <w:szCs w:val="21"/>
                      <w:highlight w:val="none"/>
                    </w:rPr>
                  </w:pPr>
                  <w:r>
                    <w:rPr>
                      <w:color w:val="auto"/>
                      <w:szCs w:val="21"/>
                      <w:highlight w:val="none"/>
                    </w:rPr>
                    <w:t>BOD</w:t>
                  </w:r>
                  <w:r>
                    <w:rPr>
                      <w:color w:val="auto"/>
                      <w:szCs w:val="21"/>
                      <w:highlight w:val="none"/>
                      <w:vertAlign w:val="subscript"/>
                    </w:rPr>
                    <w:t>5</w:t>
                  </w:r>
                </w:p>
              </w:tc>
              <w:tc>
                <w:tcPr>
                  <w:tcW w:w="586" w:type="pct"/>
                  <w:noWrap w:val="0"/>
                  <w:vAlign w:val="center"/>
                </w:tcPr>
                <w:p w14:paraId="50902495">
                  <w:pPr>
                    <w:jc w:val="center"/>
                    <w:rPr>
                      <w:color w:val="auto"/>
                      <w:szCs w:val="21"/>
                      <w:highlight w:val="none"/>
                    </w:rPr>
                  </w:pPr>
                  <w:r>
                    <w:rPr>
                      <w:color w:val="auto"/>
                      <w:szCs w:val="21"/>
                      <w:highlight w:val="none"/>
                    </w:rPr>
                    <w:t>SS</w:t>
                  </w:r>
                </w:p>
              </w:tc>
              <w:tc>
                <w:tcPr>
                  <w:tcW w:w="586" w:type="pct"/>
                  <w:noWrap w:val="0"/>
                  <w:vAlign w:val="center"/>
                </w:tcPr>
                <w:p w14:paraId="3B393F6D">
                  <w:pPr>
                    <w:jc w:val="center"/>
                    <w:rPr>
                      <w:color w:val="auto"/>
                      <w:szCs w:val="21"/>
                      <w:highlight w:val="none"/>
                    </w:rPr>
                  </w:pPr>
                  <w:r>
                    <w:rPr>
                      <w:rFonts w:hint="eastAsia"/>
                      <w:color w:val="auto"/>
                      <w:szCs w:val="21"/>
                      <w:highlight w:val="none"/>
                    </w:rPr>
                    <w:t>氨氮</w:t>
                  </w:r>
                </w:p>
              </w:tc>
              <w:tc>
                <w:tcPr>
                  <w:tcW w:w="586" w:type="pct"/>
                  <w:noWrap w:val="0"/>
                  <w:vAlign w:val="center"/>
                </w:tcPr>
                <w:p w14:paraId="43D406C7">
                  <w:pPr>
                    <w:jc w:val="center"/>
                    <w:rPr>
                      <w:color w:val="auto"/>
                      <w:szCs w:val="21"/>
                      <w:highlight w:val="none"/>
                    </w:rPr>
                  </w:pPr>
                  <w:r>
                    <w:rPr>
                      <w:rFonts w:hint="eastAsia"/>
                      <w:color w:val="auto"/>
                      <w:szCs w:val="21"/>
                      <w:highlight w:val="none"/>
                    </w:rPr>
                    <w:t>总氮</w:t>
                  </w:r>
                </w:p>
              </w:tc>
              <w:tc>
                <w:tcPr>
                  <w:tcW w:w="586" w:type="pct"/>
                  <w:noWrap w:val="0"/>
                  <w:vAlign w:val="center"/>
                </w:tcPr>
                <w:p w14:paraId="7BF6B145">
                  <w:pPr>
                    <w:jc w:val="center"/>
                    <w:rPr>
                      <w:color w:val="auto"/>
                      <w:szCs w:val="21"/>
                      <w:highlight w:val="none"/>
                    </w:rPr>
                  </w:pPr>
                  <w:r>
                    <w:rPr>
                      <w:rFonts w:hint="eastAsia"/>
                      <w:color w:val="auto"/>
                      <w:szCs w:val="21"/>
                      <w:highlight w:val="none"/>
                    </w:rPr>
                    <w:t>总磷</w:t>
                  </w:r>
                </w:p>
              </w:tc>
            </w:tr>
            <w:tr w14:paraId="5278CB3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400" w:hRule="atLeast"/>
              </w:trPr>
              <w:tc>
                <w:tcPr>
                  <w:tcW w:w="897" w:type="pct"/>
                  <w:noWrap w:val="0"/>
                  <w:vAlign w:val="center"/>
                </w:tcPr>
                <w:p w14:paraId="5CFE021E">
                  <w:pPr>
                    <w:jc w:val="center"/>
                    <w:rPr>
                      <w:color w:val="auto"/>
                      <w:szCs w:val="21"/>
                      <w:highlight w:val="none"/>
                    </w:rPr>
                  </w:pPr>
                  <w:r>
                    <w:rPr>
                      <w:rFonts w:hint="eastAsia"/>
                      <w:color w:val="auto"/>
                      <w:szCs w:val="21"/>
                      <w:highlight w:val="none"/>
                    </w:rPr>
                    <w:t>进水指标</w:t>
                  </w:r>
                </w:p>
              </w:tc>
              <w:tc>
                <w:tcPr>
                  <w:tcW w:w="586" w:type="pct"/>
                  <w:noWrap w:val="0"/>
                  <w:vAlign w:val="center"/>
                </w:tcPr>
                <w:p w14:paraId="4242F18F">
                  <w:pPr>
                    <w:jc w:val="center"/>
                    <w:rPr>
                      <w:color w:val="auto"/>
                      <w:szCs w:val="21"/>
                      <w:highlight w:val="none"/>
                    </w:rPr>
                  </w:pPr>
                  <w:r>
                    <w:rPr>
                      <w:color w:val="auto"/>
                      <w:szCs w:val="21"/>
                      <w:highlight w:val="none"/>
                    </w:rPr>
                    <w:t>6</w:t>
                  </w:r>
                  <w:r>
                    <w:rPr>
                      <w:rFonts w:hint="eastAsia"/>
                      <w:color w:val="auto"/>
                      <w:szCs w:val="21"/>
                      <w:highlight w:val="none"/>
                    </w:rPr>
                    <w:t>～</w:t>
                  </w:r>
                  <w:r>
                    <w:rPr>
                      <w:color w:val="auto"/>
                      <w:szCs w:val="21"/>
                      <w:highlight w:val="none"/>
                    </w:rPr>
                    <w:t>9</w:t>
                  </w:r>
                </w:p>
              </w:tc>
              <w:tc>
                <w:tcPr>
                  <w:tcW w:w="586" w:type="pct"/>
                  <w:noWrap w:val="0"/>
                  <w:vAlign w:val="center"/>
                </w:tcPr>
                <w:p w14:paraId="75A5BE45">
                  <w:pPr>
                    <w:jc w:val="center"/>
                    <w:rPr>
                      <w:color w:val="auto"/>
                      <w:szCs w:val="21"/>
                      <w:highlight w:val="none"/>
                    </w:rPr>
                  </w:pPr>
                  <w:r>
                    <w:rPr>
                      <w:color w:val="auto"/>
                      <w:szCs w:val="21"/>
                      <w:highlight w:val="none"/>
                    </w:rPr>
                    <w:t>≤450</w:t>
                  </w:r>
                </w:p>
              </w:tc>
              <w:tc>
                <w:tcPr>
                  <w:tcW w:w="586" w:type="pct"/>
                  <w:noWrap w:val="0"/>
                  <w:vAlign w:val="center"/>
                </w:tcPr>
                <w:p w14:paraId="6F772739">
                  <w:pPr>
                    <w:jc w:val="center"/>
                    <w:rPr>
                      <w:color w:val="auto"/>
                      <w:szCs w:val="21"/>
                      <w:highlight w:val="none"/>
                    </w:rPr>
                  </w:pPr>
                  <w:r>
                    <w:rPr>
                      <w:color w:val="auto"/>
                      <w:szCs w:val="21"/>
                      <w:highlight w:val="none"/>
                    </w:rPr>
                    <w:t>≤200</w:t>
                  </w:r>
                </w:p>
              </w:tc>
              <w:tc>
                <w:tcPr>
                  <w:tcW w:w="586" w:type="pct"/>
                  <w:noWrap w:val="0"/>
                  <w:vAlign w:val="center"/>
                </w:tcPr>
                <w:p w14:paraId="42BE5FE0">
                  <w:pPr>
                    <w:jc w:val="center"/>
                    <w:rPr>
                      <w:color w:val="auto"/>
                      <w:szCs w:val="21"/>
                      <w:highlight w:val="none"/>
                    </w:rPr>
                  </w:pPr>
                  <w:r>
                    <w:rPr>
                      <w:color w:val="auto"/>
                      <w:szCs w:val="21"/>
                      <w:highlight w:val="none"/>
                    </w:rPr>
                    <w:t>≤200</w:t>
                  </w:r>
                </w:p>
              </w:tc>
              <w:tc>
                <w:tcPr>
                  <w:tcW w:w="586" w:type="pct"/>
                  <w:noWrap w:val="0"/>
                  <w:vAlign w:val="center"/>
                </w:tcPr>
                <w:p w14:paraId="0F1EF136">
                  <w:pPr>
                    <w:jc w:val="center"/>
                    <w:rPr>
                      <w:color w:val="auto"/>
                      <w:szCs w:val="21"/>
                      <w:highlight w:val="none"/>
                    </w:rPr>
                  </w:pPr>
                  <w:r>
                    <w:rPr>
                      <w:color w:val="auto"/>
                      <w:szCs w:val="21"/>
                      <w:highlight w:val="none"/>
                    </w:rPr>
                    <w:t>≤40</w:t>
                  </w:r>
                </w:p>
              </w:tc>
              <w:tc>
                <w:tcPr>
                  <w:tcW w:w="586" w:type="pct"/>
                  <w:noWrap w:val="0"/>
                  <w:vAlign w:val="center"/>
                </w:tcPr>
                <w:p w14:paraId="776B23D8">
                  <w:pPr>
                    <w:jc w:val="center"/>
                    <w:rPr>
                      <w:color w:val="auto"/>
                      <w:szCs w:val="21"/>
                      <w:highlight w:val="none"/>
                    </w:rPr>
                  </w:pPr>
                  <w:r>
                    <w:rPr>
                      <w:color w:val="auto"/>
                      <w:szCs w:val="21"/>
                      <w:highlight w:val="none"/>
                    </w:rPr>
                    <w:t>/</w:t>
                  </w:r>
                </w:p>
              </w:tc>
              <w:tc>
                <w:tcPr>
                  <w:tcW w:w="586" w:type="pct"/>
                  <w:noWrap w:val="0"/>
                  <w:vAlign w:val="center"/>
                </w:tcPr>
                <w:p w14:paraId="547DFEA5">
                  <w:pPr>
                    <w:jc w:val="center"/>
                    <w:rPr>
                      <w:color w:val="auto"/>
                      <w:szCs w:val="21"/>
                      <w:highlight w:val="none"/>
                    </w:rPr>
                  </w:pPr>
                  <w:r>
                    <w:rPr>
                      <w:color w:val="auto"/>
                      <w:szCs w:val="21"/>
                      <w:highlight w:val="none"/>
                    </w:rPr>
                    <w:t>≤5.0</w:t>
                  </w:r>
                </w:p>
              </w:tc>
            </w:tr>
            <w:tr w14:paraId="7845E24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433" w:hRule="atLeast"/>
              </w:trPr>
              <w:tc>
                <w:tcPr>
                  <w:tcW w:w="897" w:type="pct"/>
                  <w:noWrap w:val="0"/>
                  <w:vAlign w:val="center"/>
                </w:tcPr>
                <w:p w14:paraId="5B26B6D0">
                  <w:pPr>
                    <w:jc w:val="center"/>
                    <w:rPr>
                      <w:color w:val="auto"/>
                      <w:szCs w:val="21"/>
                      <w:highlight w:val="none"/>
                    </w:rPr>
                  </w:pPr>
                  <w:r>
                    <w:rPr>
                      <w:rFonts w:hint="eastAsia"/>
                      <w:color w:val="auto"/>
                      <w:szCs w:val="21"/>
                      <w:highlight w:val="none"/>
                    </w:rPr>
                    <w:t>出水指标</w:t>
                  </w:r>
                </w:p>
              </w:tc>
              <w:tc>
                <w:tcPr>
                  <w:tcW w:w="586" w:type="pct"/>
                  <w:noWrap w:val="0"/>
                  <w:vAlign w:val="center"/>
                </w:tcPr>
                <w:p w14:paraId="13F46958">
                  <w:pPr>
                    <w:jc w:val="center"/>
                    <w:rPr>
                      <w:color w:val="auto"/>
                      <w:szCs w:val="21"/>
                      <w:highlight w:val="none"/>
                    </w:rPr>
                  </w:pPr>
                  <w:r>
                    <w:rPr>
                      <w:color w:val="auto"/>
                      <w:szCs w:val="21"/>
                      <w:highlight w:val="none"/>
                    </w:rPr>
                    <w:t>6</w:t>
                  </w:r>
                  <w:r>
                    <w:rPr>
                      <w:rFonts w:hint="eastAsia"/>
                      <w:color w:val="auto"/>
                      <w:szCs w:val="21"/>
                      <w:highlight w:val="none"/>
                    </w:rPr>
                    <w:t>～</w:t>
                  </w:r>
                  <w:r>
                    <w:rPr>
                      <w:color w:val="auto"/>
                      <w:szCs w:val="21"/>
                      <w:highlight w:val="none"/>
                    </w:rPr>
                    <w:t>9</w:t>
                  </w:r>
                </w:p>
              </w:tc>
              <w:tc>
                <w:tcPr>
                  <w:tcW w:w="586" w:type="pct"/>
                  <w:noWrap w:val="0"/>
                  <w:vAlign w:val="center"/>
                </w:tcPr>
                <w:p w14:paraId="0076FF99">
                  <w:pPr>
                    <w:jc w:val="center"/>
                    <w:rPr>
                      <w:color w:val="auto"/>
                      <w:szCs w:val="21"/>
                      <w:highlight w:val="none"/>
                    </w:rPr>
                  </w:pPr>
                  <w:r>
                    <w:rPr>
                      <w:color w:val="auto"/>
                      <w:szCs w:val="21"/>
                      <w:highlight w:val="none"/>
                    </w:rPr>
                    <w:t>≤50</w:t>
                  </w:r>
                </w:p>
              </w:tc>
              <w:tc>
                <w:tcPr>
                  <w:tcW w:w="586" w:type="pct"/>
                  <w:noWrap w:val="0"/>
                  <w:vAlign w:val="center"/>
                </w:tcPr>
                <w:p w14:paraId="1673516D">
                  <w:pPr>
                    <w:jc w:val="center"/>
                    <w:rPr>
                      <w:color w:val="auto"/>
                      <w:szCs w:val="21"/>
                      <w:highlight w:val="none"/>
                    </w:rPr>
                  </w:pPr>
                  <w:r>
                    <w:rPr>
                      <w:color w:val="auto"/>
                      <w:szCs w:val="21"/>
                      <w:highlight w:val="none"/>
                    </w:rPr>
                    <w:t>≤10</w:t>
                  </w:r>
                </w:p>
              </w:tc>
              <w:tc>
                <w:tcPr>
                  <w:tcW w:w="586" w:type="pct"/>
                  <w:noWrap w:val="0"/>
                  <w:vAlign w:val="center"/>
                </w:tcPr>
                <w:p w14:paraId="3EB69EDE">
                  <w:pPr>
                    <w:jc w:val="center"/>
                    <w:rPr>
                      <w:color w:val="auto"/>
                      <w:szCs w:val="21"/>
                      <w:highlight w:val="none"/>
                    </w:rPr>
                  </w:pPr>
                  <w:r>
                    <w:rPr>
                      <w:color w:val="auto"/>
                      <w:szCs w:val="21"/>
                      <w:highlight w:val="none"/>
                    </w:rPr>
                    <w:t>≤10</w:t>
                  </w:r>
                </w:p>
              </w:tc>
              <w:tc>
                <w:tcPr>
                  <w:tcW w:w="586" w:type="pct"/>
                  <w:noWrap w:val="0"/>
                  <w:vAlign w:val="center"/>
                </w:tcPr>
                <w:p w14:paraId="1B202112">
                  <w:pPr>
                    <w:jc w:val="center"/>
                    <w:rPr>
                      <w:color w:val="auto"/>
                      <w:szCs w:val="21"/>
                      <w:highlight w:val="none"/>
                    </w:rPr>
                  </w:pPr>
                  <w:r>
                    <w:rPr>
                      <w:color w:val="auto"/>
                      <w:szCs w:val="21"/>
                      <w:highlight w:val="none"/>
                    </w:rPr>
                    <w:t>≤5</w:t>
                  </w:r>
                  <w:r>
                    <w:rPr>
                      <w:rFonts w:hint="eastAsia"/>
                      <w:color w:val="auto"/>
                      <w:szCs w:val="21"/>
                      <w:highlight w:val="none"/>
                    </w:rPr>
                    <w:t>（</w:t>
                  </w:r>
                  <w:r>
                    <w:rPr>
                      <w:color w:val="auto"/>
                      <w:szCs w:val="21"/>
                      <w:highlight w:val="none"/>
                    </w:rPr>
                    <w:t>8</w:t>
                  </w:r>
                  <w:r>
                    <w:rPr>
                      <w:rFonts w:hint="eastAsia"/>
                      <w:color w:val="auto"/>
                      <w:szCs w:val="21"/>
                      <w:highlight w:val="none"/>
                    </w:rPr>
                    <w:t>）</w:t>
                  </w:r>
                </w:p>
              </w:tc>
              <w:tc>
                <w:tcPr>
                  <w:tcW w:w="586" w:type="pct"/>
                  <w:noWrap w:val="0"/>
                  <w:vAlign w:val="center"/>
                </w:tcPr>
                <w:p w14:paraId="523F283B">
                  <w:pPr>
                    <w:jc w:val="center"/>
                    <w:rPr>
                      <w:color w:val="auto"/>
                      <w:szCs w:val="21"/>
                      <w:highlight w:val="none"/>
                    </w:rPr>
                  </w:pPr>
                  <w:r>
                    <w:rPr>
                      <w:color w:val="auto"/>
                      <w:szCs w:val="21"/>
                      <w:highlight w:val="none"/>
                    </w:rPr>
                    <w:t>≤15</w:t>
                  </w:r>
                </w:p>
              </w:tc>
              <w:tc>
                <w:tcPr>
                  <w:tcW w:w="586" w:type="pct"/>
                  <w:noWrap w:val="0"/>
                  <w:vAlign w:val="center"/>
                </w:tcPr>
                <w:p w14:paraId="6E5A0B0B">
                  <w:pPr>
                    <w:jc w:val="center"/>
                    <w:rPr>
                      <w:color w:val="auto"/>
                      <w:szCs w:val="21"/>
                      <w:highlight w:val="none"/>
                    </w:rPr>
                  </w:pPr>
                  <w:r>
                    <w:rPr>
                      <w:color w:val="auto"/>
                      <w:szCs w:val="21"/>
                      <w:highlight w:val="none"/>
                    </w:rPr>
                    <w:t>≤0.5</w:t>
                  </w:r>
                </w:p>
              </w:tc>
            </w:tr>
          </w:tbl>
          <w:p w14:paraId="17F8F53A">
            <w:pPr>
              <w:rPr>
                <w:b w:val="0"/>
                <w:bCs w:val="0"/>
                <w:color w:val="auto"/>
                <w:sz w:val="21"/>
                <w:szCs w:val="21"/>
                <w:highlight w:val="none"/>
              </w:rPr>
            </w:pPr>
            <w:r>
              <w:rPr>
                <w:rFonts w:hint="eastAsia"/>
                <w:b w:val="0"/>
                <w:bCs w:val="0"/>
                <w:color w:val="auto"/>
                <w:sz w:val="21"/>
                <w:szCs w:val="21"/>
                <w:highlight w:val="none"/>
              </w:rPr>
              <w:t>注：括号外数值为水温＞</w:t>
            </w:r>
            <w:r>
              <w:rPr>
                <w:b w:val="0"/>
                <w:bCs w:val="0"/>
                <w:color w:val="auto"/>
                <w:sz w:val="21"/>
                <w:szCs w:val="21"/>
                <w:highlight w:val="none"/>
              </w:rPr>
              <w:t>12</w:t>
            </w:r>
            <w:r>
              <w:rPr>
                <w:rFonts w:hint="eastAsia" w:ascii="宋体" w:hAnsi="宋体" w:cs="宋体"/>
                <w:b w:val="0"/>
                <w:bCs w:val="0"/>
                <w:color w:val="auto"/>
                <w:sz w:val="21"/>
                <w:szCs w:val="21"/>
                <w:highlight w:val="none"/>
              </w:rPr>
              <w:t>℃</w:t>
            </w:r>
            <w:r>
              <w:rPr>
                <w:rFonts w:hint="eastAsia"/>
                <w:b w:val="0"/>
                <w:bCs w:val="0"/>
                <w:color w:val="auto"/>
                <w:sz w:val="21"/>
                <w:szCs w:val="21"/>
                <w:highlight w:val="none"/>
              </w:rPr>
              <w:t>时的控制指标，括号内数值为水温</w:t>
            </w:r>
            <w:r>
              <w:rPr>
                <w:b w:val="0"/>
                <w:bCs w:val="0"/>
                <w:color w:val="auto"/>
                <w:sz w:val="21"/>
                <w:szCs w:val="21"/>
                <w:highlight w:val="none"/>
              </w:rPr>
              <w:t>≤12</w:t>
            </w:r>
            <w:r>
              <w:rPr>
                <w:rFonts w:hint="eastAsia" w:ascii="宋体" w:hAnsi="宋体" w:cs="宋体"/>
                <w:b w:val="0"/>
                <w:bCs w:val="0"/>
                <w:color w:val="auto"/>
                <w:sz w:val="21"/>
                <w:szCs w:val="21"/>
                <w:highlight w:val="none"/>
              </w:rPr>
              <w:t>℃</w:t>
            </w:r>
            <w:r>
              <w:rPr>
                <w:rFonts w:hint="eastAsia"/>
                <w:b w:val="0"/>
                <w:bCs w:val="0"/>
                <w:color w:val="auto"/>
                <w:sz w:val="21"/>
                <w:szCs w:val="21"/>
                <w:highlight w:val="none"/>
              </w:rPr>
              <w:t>时的控制指标。</w:t>
            </w:r>
          </w:p>
          <w:p w14:paraId="51055946">
            <w:pPr>
              <w:pStyle w:val="18"/>
              <w:adjustRightInd/>
              <w:spacing w:line="440" w:lineRule="exact"/>
              <w:ind w:firstLine="480"/>
              <w:jc w:val="both"/>
              <w:rPr>
                <w:color w:val="auto"/>
                <w:szCs w:val="24"/>
                <w:highlight w:val="none"/>
              </w:rPr>
            </w:pPr>
            <w:r>
              <w:rPr>
                <w:rFonts w:hint="eastAsia"/>
                <w:color w:val="auto"/>
                <w:szCs w:val="24"/>
                <w:highlight w:val="none"/>
              </w:rPr>
              <w:t>因此，</w:t>
            </w:r>
            <w:r>
              <w:rPr>
                <w:color w:val="auto"/>
                <w:szCs w:val="24"/>
                <w:highlight w:val="none"/>
              </w:rPr>
              <w:t>行唐县第二污水处理厂</w:t>
            </w:r>
            <w:r>
              <w:rPr>
                <w:rFonts w:hint="eastAsia"/>
                <w:color w:val="auto"/>
                <w:szCs w:val="24"/>
                <w:highlight w:val="none"/>
              </w:rPr>
              <w:t>满足本项目要求。</w:t>
            </w:r>
          </w:p>
          <w:p w14:paraId="3DD80339">
            <w:pPr>
              <w:spacing w:line="440" w:lineRule="exact"/>
              <w:ind w:firstLine="480" w:firstLineChars="200"/>
              <w:rPr>
                <w:color w:val="auto"/>
                <w:sz w:val="24"/>
                <w:highlight w:val="none"/>
              </w:rPr>
            </w:pPr>
            <w:r>
              <w:rPr>
                <w:rFonts w:hint="eastAsia"/>
                <w:color w:val="auto"/>
                <w:sz w:val="24"/>
                <w:highlight w:val="none"/>
              </w:rPr>
              <w:t>3、自行监测的管理要求</w:t>
            </w:r>
          </w:p>
          <w:p w14:paraId="57809589">
            <w:pPr>
              <w:widowControl/>
              <w:spacing w:line="440" w:lineRule="exact"/>
              <w:ind w:firstLine="480" w:firstLineChars="200"/>
              <w:jc w:val="left"/>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依据《固定污染源排污许可分类管理名录》（2019 年版），项目属于简化管理。依据《排污许可证申请与核发技术规范 金属铸造工业》</w:t>
            </w:r>
            <w:r>
              <w:rPr>
                <w:rFonts w:hint="eastAsia"/>
                <w:color w:val="000000" w:themeColor="text1"/>
                <w:sz w:val="24"/>
                <w:highlight w:val="none"/>
                <w:lang w:val="en-US" w:eastAsia="zh-CN"/>
                <w14:textFill>
                  <w14:solidFill>
                    <w14:schemeClr w14:val="tx1"/>
                  </w14:solidFill>
                </w14:textFill>
              </w:rPr>
              <w:t>(</w:t>
            </w:r>
            <w:r>
              <w:rPr>
                <w:color w:val="000000" w:themeColor="text1"/>
                <w:kern w:val="0"/>
                <w:sz w:val="24"/>
                <w:highlight w:val="none"/>
                <w:lang w:bidi="ar"/>
                <w14:textFill>
                  <w14:solidFill>
                    <w14:schemeClr w14:val="tx1"/>
                  </w14:solidFill>
                </w14:textFill>
              </w:rPr>
              <w:t>HJ1115</w:t>
            </w:r>
            <w:r>
              <w:rPr>
                <w:rFonts w:ascii="黑体" w:hAnsi="宋体" w:eastAsia="黑体" w:cs="黑体"/>
                <w:color w:val="000000" w:themeColor="text1"/>
                <w:kern w:val="0"/>
                <w:sz w:val="24"/>
                <w:highlight w:val="none"/>
                <w:lang w:bidi="ar"/>
                <w14:textFill>
                  <w14:solidFill>
                    <w14:schemeClr w14:val="tx1"/>
                  </w14:solidFill>
                </w14:textFill>
              </w:rPr>
              <w:t>—</w:t>
            </w:r>
            <w:r>
              <w:rPr>
                <w:color w:val="000000" w:themeColor="text1"/>
                <w:kern w:val="0"/>
                <w:sz w:val="24"/>
                <w:highlight w:val="none"/>
                <w:lang w:bidi="ar"/>
                <w14:textFill>
                  <w14:solidFill>
                    <w14:schemeClr w14:val="tx1"/>
                  </w14:solidFill>
                </w14:textFill>
              </w:rPr>
              <w:t>2020</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和</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排污单位自行监测技术指南 金属铸造工业</w:t>
            </w:r>
            <w:r>
              <w:rPr>
                <w:rFonts w:hint="eastAsia"/>
                <w:color w:val="000000" w:themeColor="text1"/>
                <w:sz w:val="24"/>
                <w:highlight w:val="none"/>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(HJ 1251-2022)</w:t>
            </w:r>
            <w:r>
              <w:rPr>
                <w:rFonts w:hint="eastAsia"/>
                <w:color w:val="000000" w:themeColor="text1"/>
                <w:sz w:val="24"/>
                <w:highlight w:val="none"/>
                <w14:textFill>
                  <w14:solidFill>
                    <w14:schemeClr w14:val="tx1"/>
                  </w14:solidFill>
                </w14:textFill>
              </w:rPr>
              <w:t>，废水排放自行监测管理见下表。</w:t>
            </w:r>
          </w:p>
          <w:p w14:paraId="4E05E634">
            <w:pPr>
              <w:spacing w:line="480" w:lineRule="exact"/>
              <w:jc w:val="center"/>
              <w:rPr>
                <w:rFonts w:hint="eastAsia" w:asciiTheme="majorEastAsia" w:hAnsiTheme="majorEastAsia" w:eastAsiaTheme="majorEastAsia" w:cstheme="majorEastAsia"/>
                <w:b/>
                <w:color w:val="auto"/>
                <w:spacing w:val="8"/>
                <w:sz w:val="24"/>
                <w:highlight w:val="none"/>
              </w:rPr>
            </w:pPr>
            <w:r>
              <w:rPr>
                <w:rFonts w:hint="eastAsia" w:asciiTheme="majorEastAsia" w:hAnsiTheme="majorEastAsia" w:eastAsiaTheme="majorEastAsia" w:cstheme="majorEastAsia"/>
                <w:b/>
                <w:color w:val="auto"/>
                <w:sz w:val="24"/>
                <w:highlight w:val="none"/>
              </w:rPr>
              <w:t>表4-</w:t>
            </w:r>
            <w:r>
              <w:rPr>
                <w:rFonts w:hint="eastAsia" w:asciiTheme="majorEastAsia" w:hAnsiTheme="majorEastAsia" w:eastAsiaTheme="majorEastAsia" w:cstheme="majorEastAsia"/>
                <w:b/>
                <w:color w:val="auto"/>
                <w:sz w:val="24"/>
                <w:highlight w:val="none"/>
                <w:lang w:val="en-US" w:eastAsia="zh-CN"/>
              </w:rPr>
              <w:t>5</w:t>
            </w:r>
            <w:r>
              <w:rPr>
                <w:rFonts w:hint="eastAsia" w:asciiTheme="majorEastAsia" w:hAnsiTheme="majorEastAsia" w:eastAsiaTheme="majorEastAsia" w:cstheme="majorEastAsia"/>
                <w:b/>
                <w:color w:val="auto"/>
                <w:sz w:val="24"/>
                <w:highlight w:val="none"/>
              </w:rPr>
              <w:t xml:space="preserve">  </w:t>
            </w:r>
            <w:r>
              <w:rPr>
                <w:rFonts w:hint="eastAsia" w:asciiTheme="majorEastAsia" w:hAnsiTheme="majorEastAsia" w:eastAsiaTheme="majorEastAsia" w:cstheme="majorEastAsia"/>
                <w:b/>
                <w:color w:val="auto"/>
                <w:spacing w:val="8"/>
                <w:sz w:val="24"/>
                <w:highlight w:val="none"/>
              </w:rPr>
              <w:t>废水排放自行监测表</w:t>
            </w:r>
          </w:p>
          <w:tbl>
            <w:tblPr>
              <w:tblStyle w:val="37"/>
              <w:tblW w:w="4998" w:type="pct"/>
              <w:jc w:val="center"/>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Layout w:type="autofit"/>
              <w:tblCellMar>
                <w:top w:w="0" w:type="dxa"/>
                <w:left w:w="108" w:type="dxa"/>
                <w:bottom w:w="0" w:type="dxa"/>
                <w:right w:w="108" w:type="dxa"/>
              </w:tblCellMar>
            </w:tblPr>
            <w:tblGrid>
              <w:gridCol w:w="741"/>
              <w:gridCol w:w="427"/>
              <w:gridCol w:w="656"/>
              <w:gridCol w:w="1791"/>
              <w:gridCol w:w="1011"/>
              <w:gridCol w:w="1314"/>
              <w:gridCol w:w="1581"/>
              <w:gridCol w:w="951"/>
            </w:tblGrid>
            <w:tr w14:paraId="7BA18F84">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829" w:hRule="atLeast"/>
                <w:jc w:val="center"/>
              </w:trPr>
              <w:tc>
                <w:tcPr>
                  <w:tcW w:w="437" w:type="pct"/>
                  <w:tcBorders>
                    <w:bottom w:val="single" w:color="auto" w:sz="4" w:space="0"/>
                  </w:tcBorders>
                  <w:noWrap w:val="0"/>
                  <w:vAlign w:val="center"/>
                </w:tcPr>
                <w:p w14:paraId="3F985554">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编号及名称</w:t>
                  </w:r>
                </w:p>
              </w:tc>
              <w:tc>
                <w:tcPr>
                  <w:tcW w:w="196" w:type="pct"/>
                  <w:tcBorders>
                    <w:bottom w:val="single" w:color="auto" w:sz="4" w:space="0"/>
                  </w:tcBorders>
                  <w:noWrap w:val="0"/>
                  <w:vAlign w:val="center"/>
                </w:tcPr>
                <w:p w14:paraId="083C73CE">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类型</w:t>
                  </w:r>
                </w:p>
              </w:tc>
              <w:tc>
                <w:tcPr>
                  <w:tcW w:w="421" w:type="pct"/>
                  <w:tcBorders>
                    <w:bottom w:val="single" w:color="auto" w:sz="4" w:space="0"/>
                  </w:tcBorders>
                  <w:noWrap w:val="0"/>
                  <w:vAlign w:val="center"/>
                </w:tcPr>
                <w:p w14:paraId="1AD8A0CB">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检测点位</w:t>
                  </w:r>
                </w:p>
              </w:tc>
              <w:tc>
                <w:tcPr>
                  <w:tcW w:w="1068" w:type="pct"/>
                  <w:tcBorders>
                    <w:bottom w:val="single" w:color="auto" w:sz="4" w:space="0"/>
                  </w:tcBorders>
                  <w:noWrap w:val="0"/>
                  <w:vAlign w:val="center"/>
                </w:tcPr>
                <w:p w14:paraId="2809DC4B">
                  <w:pPr>
                    <w:pStyle w:val="21"/>
                    <w:spacing w:line="240" w:lineRule="exact"/>
                    <w:ind w:left="0" w:right="0" w:firstLine="0"/>
                    <w:jc w:val="center"/>
                    <w:rPr>
                      <w:rStyle w:val="57"/>
                      <w:rFonts w:hint="eastAsia" w:ascii="宋体" w:hAnsi="宋体" w:eastAsia="宋体" w:cs="宋体"/>
                      <w:b/>
                      <w:bCs/>
                      <w:color w:val="auto"/>
                      <w:sz w:val="21"/>
                      <w:szCs w:val="21"/>
                      <w:highlight w:val="none"/>
                    </w:rPr>
                  </w:pPr>
                </w:p>
                <w:p w14:paraId="49F3F06F">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地理坐标</w:t>
                  </w:r>
                </w:p>
                <w:p w14:paraId="3B53AB37">
                  <w:pPr>
                    <w:pStyle w:val="102"/>
                    <w:keepNext w:val="0"/>
                    <w:spacing w:before="24" w:after="24" w:line="240" w:lineRule="exact"/>
                    <w:rPr>
                      <w:rStyle w:val="57"/>
                      <w:rFonts w:hint="eastAsia" w:ascii="宋体" w:hAnsi="宋体" w:eastAsia="宋体" w:cs="宋体"/>
                      <w:bCs/>
                      <w:color w:val="auto"/>
                      <w:sz w:val="21"/>
                      <w:szCs w:val="21"/>
                      <w:highlight w:val="none"/>
                    </w:rPr>
                  </w:pPr>
                </w:p>
              </w:tc>
              <w:tc>
                <w:tcPr>
                  <w:tcW w:w="653" w:type="pct"/>
                  <w:tcBorders>
                    <w:bottom w:val="single" w:color="auto" w:sz="4" w:space="0"/>
                  </w:tcBorders>
                  <w:noWrap w:val="0"/>
                  <w:vAlign w:val="center"/>
                </w:tcPr>
                <w:p w14:paraId="617E2B52">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污染物</w:t>
                  </w:r>
                </w:p>
              </w:tc>
              <w:tc>
                <w:tcPr>
                  <w:tcW w:w="809" w:type="pct"/>
                  <w:tcBorders>
                    <w:bottom w:val="single" w:color="auto" w:sz="4" w:space="0"/>
                  </w:tcBorders>
                  <w:noWrap w:val="0"/>
                  <w:vAlign w:val="center"/>
                </w:tcPr>
                <w:p w14:paraId="5ED591E6">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监测频率</w:t>
                  </w:r>
                </w:p>
              </w:tc>
              <w:tc>
                <w:tcPr>
                  <w:tcW w:w="851" w:type="pct"/>
                  <w:tcBorders>
                    <w:bottom w:val="single" w:color="auto" w:sz="4" w:space="0"/>
                  </w:tcBorders>
                  <w:noWrap w:val="0"/>
                  <w:vAlign w:val="center"/>
                </w:tcPr>
                <w:p w14:paraId="0EFBC9C9">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标准来源</w:t>
                  </w:r>
                </w:p>
              </w:tc>
              <w:tc>
                <w:tcPr>
                  <w:tcW w:w="561" w:type="pct"/>
                  <w:tcBorders>
                    <w:bottom w:val="single" w:color="auto" w:sz="4" w:space="0"/>
                  </w:tcBorders>
                  <w:noWrap w:val="0"/>
                  <w:vAlign w:val="center"/>
                </w:tcPr>
                <w:p w14:paraId="3C486727">
                  <w:pPr>
                    <w:pStyle w:val="21"/>
                    <w:spacing w:line="240" w:lineRule="exact"/>
                    <w:ind w:left="0" w:right="0" w:firstLine="0"/>
                    <w:jc w:val="center"/>
                    <w:rPr>
                      <w:rStyle w:val="57"/>
                      <w:rFonts w:hint="eastAsia" w:ascii="宋体" w:hAnsi="宋体" w:eastAsia="宋体" w:cs="宋体"/>
                      <w:b/>
                      <w:bCs/>
                      <w:color w:val="auto"/>
                      <w:sz w:val="21"/>
                      <w:szCs w:val="21"/>
                      <w:highlight w:val="none"/>
                    </w:rPr>
                  </w:pPr>
                  <w:r>
                    <w:rPr>
                      <w:rStyle w:val="57"/>
                      <w:rFonts w:hint="eastAsia" w:ascii="宋体" w:hAnsi="宋体" w:eastAsia="宋体" w:cs="宋体"/>
                      <w:b/>
                      <w:bCs/>
                      <w:color w:val="auto"/>
                      <w:sz w:val="21"/>
                      <w:szCs w:val="21"/>
                      <w:highlight w:val="none"/>
                    </w:rPr>
                    <w:t>标准限值</w:t>
                  </w:r>
                </w:p>
              </w:tc>
            </w:tr>
            <w:tr w14:paraId="1533CF4C">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restart"/>
                  <w:tcBorders>
                    <w:top w:val="single" w:color="auto" w:sz="4" w:space="0"/>
                    <w:bottom w:val="single" w:color="auto" w:sz="4" w:space="0"/>
                  </w:tcBorders>
                  <w:noWrap w:val="0"/>
                  <w:vAlign w:val="center"/>
                </w:tcPr>
                <w:p w14:paraId="5E2F8953">
                  <w:pPr>
                    <w:pStyle w:val="21"/>
                    <w:spacing w:line="240" w:lineRule="exact"/>
                    <w:ind w:left="0" w:right="0" w:firstLine="0"/>
                    <w:jc w:val="center"/>
                    <w:rPr>
                      <w:rStyle w:val="57"/>
                      <w:rFonts w:hint="eastAsia" w:ascii="宋体" w:hAnsi="宋体" w:eastAsia="宋体" w:cs="宋体"/>
                      <w:color w:val="auto"/>
                      <w:sz w:val="21"/>
                      <w:szCs w:val="21"/>
                      <w:highlight w:val="none"/>
                    </w:rPr>
                  </w:pPr>
                </w:p>
                <w:p w14:paraId="50D2F471">
                  <w:pPr>
                    <w:pStyle w:val="21"/>
                    <w:spacing w:line="240" w:lineRule="exact"/>
                    <w:ind w:left="0" w:right="0" w:firstLine="0"/>
                    <w:jc w:val="center"/>
                    <w:rPr>
                      <w:rStyle w:val="57"/>
                      <w:rFonts w:hint="eastAsia" w:ascii="宋体" w:hAnsi="宋体" w:eastAsia="宋体" w:cs="宋体"/>
                      <w:color w:val="auto"/>
                      <w:sz w:val="21"/>
                      <w:szCs w:val="21"/>
                      <w:highlight w:val="none"/>
                    </w:rPr>
                  </w:pPr>
                </w:p>
                <w:p w14:paraId="3DA898AF">
                  <w:pPr>
                    <w:pStyle w:val="21"/>
                    <w:spacing w:line="240" w:lineRule="exact"/>
                    <w:ind w:left="0" w:right="0" w:firstLine="0"/>
                    <w:jc w:val="center"/>
                    <w:rPr>
                      <w:rStyle w:val="57"/>
                      <w:rFonts w:hint="eastAsia" w:ascii="宋体" w:hAnsi="宋体" w:eastAsia="宋体" w:cs="宋体"/>
                      <w:color w:val="auto"/>
                      <w:sz w:val="21"/>
                      <w:szCs w:val="21"/>
                      <w:highlight w:val="none"/>
                    </w:rPr>
                  </w:pPr>
                </w:p>
                <w:p w14:paraId="18BBC858">
                  <w:pPr>
                    <w:pStyle w:val="21"/>
                    <w:spacing w:line="240" w:lineRule="exact"/>
                    <w:ind w:left="0" w:right="0" w:firstLine="0"/>
                    <w:jc w:val="center"/>
                    <w:rPr>
                      <w:rStyle w:val="57"/>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DW001</w:t>
                  </w:r>
                </w:p>
              </w:tc>
              <w:tc>
                <w:tcPr>
                  <w:tcW w:w="196" w:type="pct"/>
                  <w:vMerge w:val="restart"/>
                  <w:tcBorders>
                    <w:top w:val="single" w:color="auto" w:sz="4" w:space="0"/>
                    <w:bottom w:val="single" w:color="auto" w:sz="4" w:space="0"/>
                  </w:tcBorders>
                  <w:noWrap w:val="0"/>
                  <w:vAlign w:val="center"/>
                </w:tcPr>
                <w:p w14:paraId="3115C4CD">
                  <w:pPr>
                    <w:pStyle w:val="21"/>
                    <w:spacing w:line="240" w:lineRule="exact"/>
                    <w:ind w:left="0" w:right="0" w:firstLine="0"/>
                    <w:jc w:val="center"/>
                    <w:rPr>
                      <w:rStyle w:val="57"/>
                      <w:rFonts w:hint="eastAsia" w:ascii="宋体" w:hAnsi="宋体" w:eastAsia="宋体" w:cs="宋体"/>
                      <w:color w:val="auto"/>
                      <w:sz w:val="21"/>
                      <w:szCs w:val="21"/>
                      <w:highlight w:val="none"/>
                    </w:rPr>
                  </w:pPr>
                </w:p>
                <w:p w14:paraId="3C5B5458">
                  <w:pPr>
                    <w:rPr>
                      <w:rFonts w:hint="eastAsia"/>
                    </w:rPr>
                  </w:pPr>
                </w:p>
                <w:p w14:paraId="76298682">
                  <w:pPr>
                    <w:pStyle w:val="21"/>
                    <w:spacing w:line="240" w:lineRule="exact"/>
                    <w:ind w:left="0" w:right="0" w:firstLine="0"/>
                    <w:jc w:val="center"/>
                    <w:rPr>
                      <w:rStyle w:val="57"/>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一般排放口</w:t>
                  </w:r>
                </w:p>
              </w:tc>
              <w:tc>
                <w:tcPr>
                  <w:tcW w:w="421" w:type="pct"/>
                  <w:vMerge w:val="restart"/>
                  <w:tcBorders>
                    <w:top w:val="single" w:color="auto" w:sz="4" w:space="0"/>
                    <w:bottom w:val="single" w:color="auto" w:sz="4" w:space="0"/>
                  </w:tcBorders>
                  <w:noWrap w:val="0"/>
                  <w:vAlign w:val="center"/>
                </w:tcPr>
                <w:p w14:paraId="34C44E62">
                  <w:pPr>
                    <w:pStyle w:val="21"/>
                    <w:spacing w:line="240" w:lineRule="exact"/>
                    <w:ind w:left="0" w:right="0" w:firstLine="0"/>
                    <w:jc w:val="center"/>
                    <w:rPr>
                      <w:rStyle w:val="57"/>
                      <w:rFonts w:hint="eastAsia" w:ascii="宋体" w:hAnsi="宋体" w:eastAsia="宋体" w:cs="宋体"/>
                      <w:color w:val="auto"/>
                      <w:sz w:val="21"/>
                      <w:szCs w:val="21"/>
                      <w:highlight w:val="none"/>
                    </w:rPr>
                  </w:pPr>
                </w:p>
                <w:p w14:paraId="43B2AF7F">
                  <w:pPr>
                    <w:rPr>
                      <w:rFonts w:hint="eastAsia"/>
                    </w:rPr>
                  </w:pPr>
                </w:p>
                <w:p w14:paraId="484026A5">
                  <w:pPr>
                    <w:pStyle w:val="21"/>
                    <w:spacing w:line="240" w:lineRule="exact"/>
                    <w:ind w:left="0" w:right="0" w:firstLine="0"/>
                    <w:jc w:val="center"/>
                    <w:rPr>
                      <w:rStyle w:val="57"/>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废水综合排放口</w:t>
                  </w:r>
                </w:p>
              </w:tc>
              <w:tc>
                <w:tcPr>
                  <w:tcW w:w="1068" w:type="pct"/>
                  <w:vMerge w:val="restart"/>
                  <w:tcBorders>
                    <w:top w:val="single" w:color="auto" w:sz="4" w:space="0"/>
                  </w:tcBorders>
                  <w:noWrap w:val="0"/>
                  <w:vAlign w:val="center"/>
                </w:tcPr>
                <w:p w14:paraId="44DA6735">
                  <w:pPr>
                    <w:pStyle w:val="103"/>
                    <w:keepNext w:val="0"/>
                    <w:spacing w:line="240" w:lineRule="exact"/>
                    <w:rPr>
                      <w:rFonts w:hint="eastAsia" w:ascii="宋体" w:hAnsi="宋体" w:cs="宋体"/>
                      <w:color w:val="auto"/>
                      <w:sz w:val="21"/>
                      <w:szCs w:val="21"/>
                      <w:highlight w:val="none"/>
                      <w:lang w:val="en-US" w:eastAsia="zh-CN"/>
                    </w:rPr>
                  </w:pPr>
                </w:p>
                <w:p w14:paraId="34A24231">
                  <w:pPr>
                    <w:pStyle w:val="103"/>
                    <w:keepNext w:val="0"/>
                    <w:spacing w:line="240" w:lineRule="exact"/>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cs="宋体"/>
                      <w:color w:val="000000" w:themeColor="text1"/>
                      <w:sz w:val="21"/>
                      <w:szCs w:val="21"/>
                      <w:highlight w:val="none"/>
                      <w:lang w:val="en-US" w:eastAsia="zh-CN"/>
                      <w14:textFill>
                        <w14:solidFill>
                          <w14:schemeClr w14:val="tx1"/>
                        </w14:solidFill>
                      </w14:textFill>
                    </w:rPr>
                    <w:t>经度</w:t>
                  </w:r>
                </w:p>
                <w:p w14:paraId="76BDC432">
                  <w:pPr>
                    <w:pStyle w:val="103"/>
                    <w:keepNext w:val="0"/>
                    <w:spacing w:line="240" w:lineRule="exact"/>
                    <w:jc w:val="left"/>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114°30'58.</w:t>
                  </w:r>
                  <w:r>
                    <w:rPr>
                      <w:rFonts w:hint="eastAsia" w:ascii="宋体" w:hAnsi="宋体" w:cs="宋体"/>
                      <w:color w:val="000000" w:themeColor="text1"/>
                      <w:sz w:val="21"/>
                      <w:szCs w:val="21"/>
                      <w:highlight w:val="none"/>
                      <w:lang w:val="en-US" w:eastAsia="zh-CN"/>
                      <w14:textFill>
                        <w14:solidFill>
                          <w14:schemeClr w14:val="tx1"/>
                        </w14:solidFill>
                      </w14:textFill>
                    </w:rPr>
                    <w:t>623</w:t>
                  </w:r>
                  <w:r>
                    <w:rPr>
                      <w:rFonts w:hint="eastAsia" w:ascii="宋体" w:hAnsi="宋体" w:eastAsia="宋体" w:cs="宋体"/>
                      <w:color w:val="000000" w:themeColor="text1"/>
                      <w:sz w:val="21"/>
                      <w:szCs w:val="21"/>
                      <w:highlight w:val="none"/>
                      <w14:textFill>
                        <w14:solidFill>
                          <w14:schemeClr w14:val="tx1"/>
                        </w14:solidFill>
                      </w14:textFill>
                    </w:rPr>
                    <w:t>"</w:t>
                  </w:r>
                </w:p>
                <w:p w14:paraId="711BC97B">
                  <w:pPr>
                    <w:pStyle w:val="103"/>
                    <w:keepNext w:val="0"/>
                    <w:spacing w:line="240" w:lineRule="exact"/>
                    <w:rPr>
                      <w:rFonts w:hint="eastAsia" w:ascii="宋体" w:hAnsi="宋体" w:eastAsia="宋体" w:cs="宋体"/>
                      <w:color w:val="000000" w:themeColor="text1"/>
                      <w:sz w:val="21"/>
                      <w:szCs w:val="21"/>
                      <w:highlight w:val="none"/>
                      <w14:textFill>
                        <w14:solidFill>
                          <w14:schemeClr w14:val="tx1"/>
                        </w14:solidFill>
                      </w14:textFill>
                    </w:rPr>
                  </w:pPr>
                </w:p>
                <w:p w14:paraId="626460B1">
                  <w:pPr>
                    <w:pStyle w:val="103"/>
                    <w:keepNext w:val="0"/>
                    <w:spacing w:line="240" w:lineRule="exact"/>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cs="宋体"/>
                      <w:color w:val="000000" w:themeColor="text1"/>
                      <w:sz w:val="21"/>
                      <w:szCs w:val="21"/>
                      <w:highlight w:val="none"/>
                      <w:lang w:val="en-US" w:eastAsia="zh-CN"/>
                      <w14:textFill>
                        <w14:solidFill>
                          <w14:schemeClr w14:val="tx1"/>
                        </w14:solidFill>
                      </w14:textFill>
                    </w:rPr>
                    <w:t>纬度</w:t>
                  </w:r>
                </w:p>
                <w:p w14:paraId="5E7FB7B5">
                  <w:pPr>
                    <w:pStyle w:val="103"/>
                    <w:keepNext w:val="0"/>
                    <w:spacing w:line="240" w:lineRule="exact"/>
                    <w:rPr>
                      <w:rStyle w:val="57"/>
                      <w:rFonts w:hint="eastAsia" w:ascii="宋体" w:hAnsi="宋体" w:eastAsia="宋体" w:cs="宋体"/>
                      <w:color w:val="auto"/>
                      <w:sz w:val="21"/>
                      <w:szCs w:val="21"/>
                      <w:highlight w:val="none"/>
                    </w:rPr>
                  </w:pPr>
                  <w:r>
                    <w:rPr>
                      <w:rFonts w:hint="eastAsia" w:ascii="宋体" w:hAnsi="宋体" w:eastAsia="宋体" w:cs="宋体"/>
                      <w:color w:val="000000" w:themeColor="text1"/>
                      <w:sz w:val="21"/>
                      <w:szCs w:val="21"/>
                      <w:highlight w:val="none"/>
                      <w14:textFill>
                        <w14:solidFill>
                          <w14:schemeClr w14:val="tx1"/>
                        </w14:solidFill>
                      </w14:textFill>
                    </w:rPr>
                    <w:t>38°23'36.1</w:t>
                  </w:r>
                  <w:r>
                    <w:rPr>
                      <w:rFonts w:hint="eastAsia" w:ascii="宋体" w:hAnsi="宋体" w:cs="宋体"/>
                      <w:color w:val="000000" w:themeColor="text1"/>
                      <w:sz w:val="21"/>
                      <w:szCs w:val="21"/>
                      <w:highlight w:val="none"/>
                      <w:lang w:val="en-US" w:eastAsia="zh-CN"/>
                      <w14:textFill>
                        <w14:solidFill>
                          <w14:schemeClr w14:val="tx1"/>
                        </w14:solidFill>
                      </w14:textFill>
                    </w:rPr>
                    <w:t>59</w:t>
                  </w:r>
                  <w:r>
                    <w:rPr>
                      <w:rFonts w:hint="eastAsia" w:ascii="宋体" w:hAnsi="宋体" w:eastAsia="宋体" w:cs="宋体"/>
                      <w:color w:val="000000" w:themeColor="text1"/>
                      <w:sz w:val="21"/>
                      <w:szCs w:val="21"/>
                      <w:highlight w:val="none"/>
                      <w14:textFill>
                        <w14:solidFill>
                          <w14:schemeClr w14:val="tx1"/>
                        </w14:solidFill>
                      </w14:textFill>
                    </w:rPr>
                    <w:t>"</w:t>
                  </w:r>
                </w:p>
              </w:tc>
              <w:tc>
                <w:tcPr>
                  <w:tcW w:w="653" w:type="pct"/>
                  <w:tcBorders>
                    <w:top w:val="single" w:color="auto" w:sz="4" w:space="0"/>
                    <w:bottom w:val="single" w:color="auto" w:sz="4" w:space="0"/>
                  </w:tcBorders>
                  <w:noWrap w:val="0"/>
                  <w:vAlign w:val="center"/>
                </w:tcPr>
                <w:p w14:paraId="0CE0B8A8">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pH</w:t>
                  </w:r>
                </w:p>
              </w:tc>
              <w:tc>
                <w:tcPr>
                  <w:tcW w:w="809" w:type="pct"/>
                  <w:tcBorders>
                    <w:top w:val="single" w:color="auto" w:sz="4" w:space="0"/>
                    <w:bottom w:val="single" w:color="auto" w:sz="4" w:space="0"/>
                  </w:tcBorders>
                  <w:noWrap w:val="0"/>
                  <w:vAlign w:val="center"/>
                </w:tcPr>
                <w:p w14:paraId="5F93E17B">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restart"/>
                  <w:tcBorders>
                    <w:top w:val="single" w:color="auto" w:sz="4" w:space="0"/>
                    <w:bottom w:val="single" w:color="auto" w:sz="4" w:space="0"/>
                  </w:tcBorders>
                  <w:noWrap w:val="0"/>
                  <w:vAlign w:val="center"/>
                </w:tcPr>
                <w:p w14:paraId="09649D44">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《污水综合排放标准》(GB8978-1996)表4中的三级标准，同时第二污水处理厂现行进水水质要求</w:t>
                  </w:r>
                </w:p>
              </w:tc>
              <w:tc>
                <w:tcPr>
                  <w:tcW w:w="561" w:type="pct"/>
                  <w:tcBorders>
                    <w:top w:val="single" w:color="auto" w:sz="4" w:space="0"/>
                    <w:bottom w:val="single" w:color="auto" w:sz="4" w:space="0"/>
                  </w:tcBorders>
                  <w:noWrap w:val="0"/>
                  <w:vAlign w:val="center"/>
                </w:tcPr>
                <w:p w14:paraId="5C177BFD">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6-9</w:t>
                  </w:r>
                </w:p>
              </w:tc>
            </w:tr>
            <w:tr w14:paraId="7BFD3C47">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continue"/>
                  <w:tcBorders>
                    <w:top w:val="single" w:color="auto" w:sz="4" w:space="0"/>
                    <w:bottom w:val="single" w:color="auto" w:sz="4" w:space="0"/>
                  </w:tcBorders>
                  <w:noWrap w:val="0"/>
                  <w:vAlign w:val="center"/>
                </w:tcPr>
                <w:p w14:paraId="2C64FFE4">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3659785C">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66EA39C0">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254C6F1B">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58C6C934">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pt-BR"/>
                    </w:rPr>
                    <w:t>COD</w:t>
                  </w:r>
                </w:p>
              </w:tc>
              <w:tc>
                <w:tcPr>
                  <w:tcW w:w="809" w:type="pct"/>
                  <w:tcBorders>
                    <w:top w:val="single" w:color="auto" w:sz="4" w:space="0"/>
                    <w:bottom w:val="single" w:color="auto" w:sz="4" w:space="0"/>
                  </w:tcBorders>
                  <w:noWrap w:val="0"/>
                  <w:vAlign w:val="center"/>
                </w:tcPr>
                <w:p w14:paraId="16570894">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3A5C3FC8">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023C8388">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450mg/L</w:t>
                  </w:r>
                </w:p>
              </w:tc>
            </w:tr>
            <w:tr w14:paraId="02AFD6AC">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411" w:hRule="atLeast"/>
                <w:jc w:val="center"/>
              </w:trPr>
              <w:tc>
                <w:tcPr>
                  <w:tcW w:w="437" w:type="pct"/>
                  <w:vMerge w:val="continue"/>
                  <w:tcBorders>
                    <w:top w:val="single" w:color="auto" w:sz="4" w:space="0"/>
                    <w:bottom w:val="single" w:color="auto" w:sz="4" w:space="0"/>
                  </w:tcBorders>
                  <w:noWrap w:val="0"/>
                  <w:vAlign w:val="center"/>
                </w:tcPr>
                <w:p w14:paraId="77B64357">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7C438748">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48EA6120">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147D6743">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04A26D38">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pt-BR"/>
                    </w:rPr>
                    <w:t>BOD</w:t>
                  </w:r>
                  <w:r>
                    <w:rPr>
                      <w:rFonts w:hint="eastAsia" w:ascii="宋体" w:hAnsi="宋体" w:eastAsia="宋体" w:cs="宋体"/>
                      <w:color w:val="auto"/>
                      <w:sz w:val="21"/>
                      <w:szCs w:val="21"/>
                      <w:highlight w:val="none"/>
                      <w:vertAlign w:val="subscript"/>
                      <w:lang w:val="pt-BR"/>
                    </w:rPr>
                    <w:t>5</w:t>
                  </w:r>
                </w:p>
              </w:tc>
              <w:tc>
                <w:tcPr>
                  <w:tcW w:w="809" w:type="pct"/>
                  <w:tcBorders>
                    <w:top w:val="single" w:color="auto" w:sz="4" w:space="0"/>
                    <w:bottom w:val="single" w:color="auto" w:sz="4" w:space="0"/>
                  </w:tcBorders>
                  <w:noWrap w:val="0"/>
                  <w:vAlign w:val="center"/>
                </w:tcPr>
                <w:p w14:paraId="71D2B770">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649737A7">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48DB1B7E">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200mg/L</w:t>
                  </w:r>
                </w:p>
              </w:tc>
            </w:tr>
            <w:tr w14:paraId="4F715E81">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continue"/>
                  <w:tcBorders>
                    <w:top w:val="single" w:color="auto" w:sz="4" w:space="0"/>
                    <w:bottom w:val="single" w:color="auto" w:sz="4" w:space="0"/>
                  </w:tcBorders>
                  <w:noWrap w:val="0"/>
                  <w:vAlign w:val="center"/>
                </w:tcPr>
                <w:p w14:paraId="00D0BE39">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43DC5F1D">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0A47A4B9">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4DDC8DDA">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4AE752C8">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pt-BR"/>
                    </w:rPr>
                    <w:t>SS</w:t>
                  </w:r>
                </w:p>
              </w:tc>
              <w:tc>
                <w:tcPr>
                  <w:tcW w:w="809" w:type="pct"/>
                  <w:tcBorders>
                    <w:top w:val="single" w:color="auto" w:sz="4" w:space="0"/>
                    <w:bottom w:val="single" w:color="auto" w:sz="4" w:space="0"/>
                  </w:tcBorders>
                  <w:noWrap w:val="0"/>
                  <w:vAlign w:val="center"/>
                </w:tcPr>
                <w:p w14:paraId="2AA63FE1">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5F1BA7B1">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7655ECBB">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200mg/L</w:t>
                  </w:r>
                </w:p>
              </w:tc>
            </w:tr>
            <w:tr w14:paraId="5F1CF23C">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continue"/>
                  <w:tcBorders>
                    <w:top w:val="single" w:color="auto" w:sz="4" w:space="0"/>
                    <w:bottom w:val="single" w:color="auto" w:sz="4" w:space="0"/>
                  </w:tcBorders>
                  <w:noWrap w:val="0"/>
                  <w:vAlign w:val="center"/>
                </w:tcPr>
                <w:p w14:paraId="055A4292">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6C5D64C2">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704294C8">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3A2BD1AC">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65A3A8FE">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pt-BR"/>
                    </w:rPr>
                    <w:t>氨氮</w:t>
                  </w:r>
                </w:p>
              </w:tc>
              <w:tc>
                <w:tcPr>
                  <w:tcW w:w="809" w:type="pct"/>
                  <w:tcBorders>
                    <w:top w:val="single" w:color="auto" w:sz="4" w:space="0"/>
                    <w:bottom w:val="single" w:color="auto" w:sz="4" w:space="0"/>
                  </w:tcBorders>
                  <w:noWrap w:val="0"/>
                  <w:vAlign w:val="center"/>
                </w:tcPr>
                <w:p w14:paraId="2515A0DA">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26310DAB">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015A4728">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40mg/L</w:t>
                  </w:r>
                </w:p>
              </w:tc>
            </w:tr>
            <w:tr w14:paraId="68B43F3A">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continue"/>
                  <w:tcBorders>
                    <w:top w:val="single" w:color="auto" w:sz="4" w:space="0"/>
                    <w:bottom w:val="single" w:color="auto" w:sz="4" w:space="0"/>
                  </w:tcBorders>
                  <w:noWrap w:val="0"/>
                  <w:vAlign w:val="center"/>
                </w:tcPr>
                <w:p w14:paraId="1014A40F">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2E12FA58">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248E9E02">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13B17697">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75BD9B8E">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总氮</w:t>
                  </w:r>
                </w:p>
              </w:tc>
              <w:tc>
                <w:tcPr>
                  <w:tcW w:w="809" w:type="pct"/>
                  <w:tcBorders>
                    <w:top w:val="single" w:color="auto" w:sz="4" w:space="0"/>
                    <w:bottom w:val="single" w:color="auto" w:sz="4" w:space="0"/>
                  </w:tcBorders>
                  <w:noWrap w:val="0"/>
                  <w:vAlign w:val="center"/>
                </w:tcPr>
                <w:p w14:paraId="6783A3D4">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4BE57321">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4C4B8E30">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r>
            <w:tr w14:paraId="51EF26BF">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291" w:hRule="atLeast"/>
                <w:jc w:val="center"/>
              </w:trPr>
              <w:tc>
                <w:tcPr>
                  <w:tcW w:w="437" w:type="pct"/>
                  <w:vMerge w:val="continue"/>
                  <w:tcBorders>
                    <w:top w:val="single" w:color="auto" w:sz="4" w:space="0"/>
                    <w:bottom w:val="single" w:color="auto" w:sz="4" w:space="0"/>
                  </w:tcBorders>
                  <w:noWrap w:val="0"/>
                  <w:vAlign w:val="center"/>
                </w:tcPr>
                <w:p w14:paraId="2F0797E7">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693B3B41">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5285EFA4">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06103C64">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471C3904">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总磷</w:t>
                  </w:r>
                </w:p>
              </w:tc>
              <w:tc>
                <w:tcPr>
                  <w:tcW w:w="809" w:type="pct"/>
                  <w:tcBorders>
                    <w:top w:val="single" w:color="auto" w:sz="4" w:space="0"/>
                    <w:bottom w:val="single" w:color="auto" w:sz="4" w:space="0"/>
                  </w:tcBorders>
                  <w:noWrap w:val="0"/>
                  <w:vAlign w:val="center"/>
                </w:tcPr>
                <w:p w14:paraId="64C196D8">
                  <w:pPr>
                    <w:spacing w:line="240" w:lineRule="exact"/>
                    <w:jc w:val="center"/>
                    <w:rPr>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44B10987">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5BC09B07">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5.0mg/L</w:t>
                  </w:r>
                </w:p>
              </w:tc>
            </w:tr>
            <w:tr w14:paraId="7F06D98C">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553" w:hRule="atLeast"/>
                <w:jc w:val="center"/>
              </w:trPr>
              <w:tc>
                <w:tcPr>
                  <w:tcW w:w="437" w:type="pct"/>
                  <w:vMerge w:val="continue"/>
                  <w:tcBorders>
                    <w:top w:val="single" w:color="auto" w:sz="4" w:space="0"/>
                    <w:bottom w:val="single" w:color="auto" w:sz="4" w:space="0"/>
                  </w:tcBorders>
                  <w:noWrap w:val="0"/>
                  <w:vAlign w:val="center"/>
                </w:tcPr>
                <w:p w14:paraId="1FB9A318">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bottom w:val="single" w:color="auto" w:sz="4" w:space="0"/>
                  </w:tcBorders>
                  <w:noWrap w:val="0"/>
                  <w:vAlign w:val="center"/>
                </w:tcPr>
                <w:p w14:paraId="66827CF6">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bottom w:val="single" w:color="auto" w:sz="4" w:space="0"/>
                  </w:tcBorders>
                  <w:noWrap w:val="0"/>
                  <w:vAlign w:val="center"/>
                </w:tcPr>
                <w:p w14:paraId="3C4DFF06">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64897FB5">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bottom w:val="single" w:color="auto" w:sz="4" w:space="0"/>
                  </w:tcBorders>
                  <w:noWrap w:val="0"/>
                  <w:vAlign w:val="center"/>
                </w:tcPr>
                <w:p w14:paraId="70F8E504">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动植物油</w:t>
                  </w:r>
                </w:p>
              </w:tc>
              <w:tc>
                <w:tcPr>
                  <w:tcW w:w="809" w:type="pct"/>
                  <w:tcBorders>
                    <w:top w:val="single" w:color="auto" w:sz="4" w:space="0"/>
                    <w:bottom w:val="single" w:color="auto" w:sz="4" w:space="0"/>
                  </w:tcBorders>
                  <w:noWrap w:val="0"/>
                  <w:vAlign w:val="center"/>
                </w:tcPr>
                <w:p w14:paraId="6BCDB14E">
                  <w:pPr>
                    <w:spacing w:line="240" w:lineRule="exact"/>
                    <w:jc w:val="center"/>
                    <w:rPr>
                      <w:rStyle w:val="57"/>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bottom w:val="single" w:color="auto" w:sz="4" w:space="0"/>
                  </w:tcBorders>
                  <w:noWrap w:val="0"/>
                  <w:vAlign w:val="center"/>
                </w:tcPr>
                <w:p w14:paraId="02D7D331">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bottom w:val="single" w:color="auto" w:sz="4" w:space="0"/>
                  </w:tcBorders>
                  <w:noWrap w:val="0"/>
                  <w:vAlign w:val="center"/>
                </w:tcPr>
                <w:p w14:paraId="32FC3C71">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100mg/L</w:t>
                  </w:r>
                </w:p>
              </w:tc>
            </w:tr>
            <w:tr w14:paraId="6248EA03">
              <w:tblPrEx>
                <w:tblBorders>
                  <w:top w:val="single" w:color="auto" w:sz="4" w:space="0"/>
                  <w:left w:val="single" w:color="auto" w:sz="4" w:space="0"/>
                  <w:bottom w:val="single" w:color="auto" w:sz="4" w:space="0"/>
                  <w:right w:val="single" w:color="auto" w:sz="4" w:space="0"/>
                  <w:insideH w:val="none" w:color="auto" w:sz="0" w:space="0"/>
                  <w:insideV w:val="single" w:color="auto" w:sz="4" w:space="0"/>
                </w:tblBorders>
                <w:tblCellMar>
                  <w:top w:w="0" w:type="dxa"/>
                  <w:left w:w="108" w:type="dxa"/>
                  <w:bottom w:w="0" w:type="dxa"/>
                  <w:right w:w="108" w:type="dxa"/>
                </w:tblCellMar>
              </w:tblPrEx>
              <w:trPr>
                <w:trHeight w:val="334" w:hRule="atLeast"/>
                <w:jc w:val="center"/>
              </w:trPr>
              <w:tc>
                <w:tcPr>
                  <w:tcW w:w="437" w:type="pct"/>
                  <w:vMerge w:val="continue"/>
                  <w:tcBorders>
                    <w:top w:val="single" w:color="auto" w:sz="4" w:space="0"/>
                  </w:tcBorders>
                  <w:noWrap w:val="0"/>
                  <w:vAlign w:val="center"/>
                </w:tcPr>
                <w:p w14:paraId="717326B2">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96" w:type="pct"/>
                  <w:vMerge w:val="continue"/>
                  <w:tcBorders>
                    <w:top w:val="single" w:color="auto" w:sz="4" w:space="0"/>
                  </w:tcBorders>
                  <w:noWrap w:val="0"/>
                  <w:vAlign w:val="center"/>
                </w:tcPr>
                <w:p w14:paraId="09A4B85B">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421" w:type="pct"/>
                  <w:vMerge w:val="continue"/>
                  <w:tcBorders>
                    <w:top w:val="single" w:color="auto" w:sz="4" w:space="0"/>
                  </w:tcBorders>
                  <w:noWrap w:val="0"/>
                  <w:vAlign w:val="center"/>
                </w:tcPr>
                <w:p w14:paraId="755157CF">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1068" w:type="pct"/>
                  <w:vMerge w:val="continue"/>
                  <w:noWrap w:val="0"/>
                  <w:vAlign w:val="center"/>
                </w:tcPr>
                <w:p w14:paraId="055F65D0">
                  <w:pPr>
                    <w:pStyle w:val="21"/>
                    <w:spacing w:line="240" w:lineRule="exact"/>
                    <w:ind w:left="0" w:right="0" w:firstLine="0"/>
                    <w:jc w:val="center"/>
                    <w:rPr>
                      <w:rStyle w:val="57"/>
                      <w:rFonts w:hint="eastAsia" w:ascii="宋体" w:hAnsi="宋体" w:eastAsia="宋体" w:cs="宋体"/>
                      <w:color w:val="auto"/>
                      <w:sz w:val="21"/>
                      <w:szCs w:val="21"/>
                      <w:highlight w:val="none"/>
                    </w:rPr>
                  </w:pPr>
                </w:p>
              </w:tc>
              <w:tc>
                <w:tcPr>
                  <w:tcW w:w="653" w:type="pct"/>
                  <w:tcBorders>
                    <w:top w:val="single" w:color="auto" w:sz="4" w:space="0"/>
                  </w:tcBorders>
                  <w:noWrap w:val="0"/>
                  <w:vAlign w:val="center"/>
                </w:tcPr>
                <w:p w14:paraId="41B3ABC5">
                  <w:pPr>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石油类</w:t>
                  </w:r>
                </w:p>
              </w:tc>
              <w:tc>
                <w:tcPr>
                  <w:tcW w:w="809" w:type="pct"/>
                  <w:tcBorders>
                    <w:top w:val="single" w:color="auto" w:sz="4" w:space="0"/>
                  </w:tcBorders>
                  <w:noWrap w:val="0"/>
                  <w:vAlign w:val="center"/>
                </w:tcPr>
                <w:p w14:paraId="2DD03A04">
                  <w:pPr>
                    <w:spacing w:line="240" w:lineRule="exact"/>
                    <w:jc w:val="center"/>
                    <w:rPr>
                      <w:rStyle w:val="57"/>
                      <w:rFonts w:hint="eastAsia" w:ascii="宋体" w:hAnsi="宋体" w:eastAsia="宋体" w:cs="宋体"/>
                      <w:color w:val="auto"/>
                      <w:sz w:val="21"/>
                      <w:szCs w:val="21"/>
                      <w:highlight w:val="none"/>
                    </w:rPr>
                  </w:pPr>
                  <w:r>
                    <w:rPr>
                      <w:rStyle w:val="57"/>
                      <w:rFonts w:hint="eastAsia" w:ascii="宋体" w:hAnsi="宋体" w:eastAsia="宋体" w:cs="宋体"/>
                      <w:color w:val="auto"/>
                      <w:sz w:val="21"/>
                      <w:szCs w:val="21"/>
                      <w:highlight w:val="none"/>
                    </w:rPr>
                    <w:t>1次/年</w:t>
                  </w:r>
                </w:p>
              </w:tc>
              <w:tc>
                <w:tcPr>
                  <w:tcW w:w="851" w:type="pct"/>
                  <w:vMerge w:val="continue"/>
                  <w:tcBorders>
                    <w:top w:val="single" w:color="auto" w:sz="4" w:space="0"/>
                  </w:tcBorders>
                  <w:noWrap w:val="0"/>
                  <w:vAlign w:val="center"/>
                </w:tcPr>
                <w:p w14:paraId="1BC7DA21">
                  <w:pPr>
                    <w:widowControl/>
                    <w:spacing w:line="240" w:lineRule="exact"/>
                    <w:jc w:val="center"/>
                    <w:rPr>
                      <w:rFonts w:hint="eastAsia" w:ascii="宋体" w:hAnsi="宋体" w:eastAsia="宋体" w:cs="宋体"/>
                      <w:color w:val="auto"/>
                      <w:sz w:val="21"/>
                      <w:szCs w:val="21"/>
                      <w:highlight w:val="none"/>
                    </w:rPr>
                  </w:pPr>
                </w:p>
              </w:tc>
              <w:tc>
                <w:tcPr>
                  <w:tcW w:w="561" w:type="pct"/>
                  <w:tcBorders>
                    <w:top w:val="single" w:color="auto" w:sz="4" w:space="0"/>
                  </w:tcBorders>
                  <w:noWrap w:val="0"/>
                  <w:vAlign w:val="center"/>
                </w:tcPr>
                <w:p w14:paraId="43F06154">
                  <w:pPr>
                    <w:widowControl/>
                    <w:spacing w:line="24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20mg/L</w:t>
                  </w:r>
                </w:p>
              </w:tc>
            </w:tr>
          </w:tbl>
          <w:p w14:paraId="7734741E">
            <w:pPr>
              <w:pStyle w:val="14"/>
              <w:numPr>
                <w:ilvl w:val="0"/>
                <w:numId w:val="0"/>
              </w:numPr>
              <w:rPr>
                <w:color w:val="auto"/>
                <w:highlight w:val="none"/>
              </w:rPr>
            </w:pPr>
          </w:p>
          <w:p w14:paraId="20BE63FC">
            <w:pPr>
              <w:pStyle w:val="13"/>
              <w:keepNext w:val="0"/>
              <w:keepLines w:val="0"/>
              <w:pageBreakBefore w:val="0"/>
              <w:widowControl/>
              <w:numPr>
                <w:ilvl w:val="0"/>
                <w:numId w:val="0"/>
              </w:numPr>
              <w:kinsoku/>
              <w:wordWrap/>
              <w:overflowPunct/>
              <w:topLinePunct w:val="0"/>
              <w:autoSpaceDE/>
              <w:autoSpaceDN/>
              <w:bidi w:val="0"/>
              <w:adjustRightInd/>
              <w:snapToGrid w:val="0"/>
              <w:spacing w:before="0" w:after="0" w:line="360" w:lineRule="auto"/>
              <w:ind w:right="0" w:rightChars="0"/>
              <w:textAlignment w:val="auto"/>
              <w:rPr>
                <w:rFonts w:hint="eastAsia" w:ascii="Times New Roman" w:hAnsi="Times New Roman" w:eastAsia="宋体" w:cs="Times New Roman"/>
                <w:b/>
                <w:bCs/>
                <w:color w:val="auto"/>
                <w:kern w:val="2"/>
                <w:sz w:val="24"/>
                <w:szCs w:val="24"/>
                <w:highlight w:val="none"/>
                <w:lang w:val="en-US" w:eastAsia="zh-CN" w:bidi="ar-SA"/>
              </w:rPr>
            </w:pPr>
            <w:r>
              <w:rPr>
                <w:rFonts w:hint="eastAsia" w:ascii="Times New Roman" w:hAnsi="Times New Roman" w:eastAsia="宋体" w:cs="Times New Roman"/>
                <w:b/>
                <w:bCs/>
                <w:color w:val="auto"/>
                <w:kern w:val="2"/>
                <w:sz w:val="24"/>
                <w:szCs w:val="24"/>
                <w:highlight w:val="none"/>
                <w:lang w:val="en-US" w:eastAsia="zh-CN" w:bidi="ar-SA"/>
              </w:rPr>
              <w:t>三、噪声治理及排放情况</w:t>
            </w:r>
          </w:p>
          <w:p w14:paraId="523F5546">
            <w:pPr>
              <w:pStyle w:val="112"/>
              <w:widowControl w:val="0"/>
              <w:spacing w:before="0" w:beforeLines="0" w:after="0" w:afterLines="0" w:line="360" w:lineRule="auto"/>
              <w:ind w:firstLine="482"/>
              <w:rPr>
                <w:rFonts w:hint="default"/>
                <w:b/>
                <w:bCs/>
                <w:color w:val="auto"/>
                <w:sz w:val="24"/>
                <w:szCs w:val="24"/>
                <w:highlight w:val="none"/>
              </w:rPr>
            </w:pPr>
            <w:r>
              <w:rPr>
                <w:b/>
                <w:bCs/>
                <w:color w:val="auto"/>
                <w:sz w:val="24"/>
                <w:szCs w:val="24"/>
                <w:highlight w:val="none"/>
              </w:rPr>
              <w:t>1、噪声源强分析</w:t>
            </w:r>
          </w:p>
          <w:p w14:paraId="479CC2B2">
            <w:pPr>
              <w:pStyle w:val="112"/>
              <w:spacing w:before="0" w:beforeLines="0" w:after="0" w:afterLines="0" w:line="360" w:lineRule="auto"/>
              <w:ind w:firstLine="480"/>
              <w:rPr>
                <w:color w:val="auto"/>
                <w:sz w:val="24"/>
                <w:szCs w:val="24"/>
                <w:highlight w:val="none"/>
              </w:rPr>
            </w:pPr>
            <w:r>
              <w:rPr>
                <w:rFonts w:hint="eastAsia"/>
                <w:color w:val="auto"/>
                <w:sz w:val="24"/>
                <w:szCs w:val="24"/>
                <w:highlight w:val="none"/>
                <w:lang w:val="en-US" w:eastAsia="zh-CN"/>
              </w:rPr>
              <w:t>技改项目产生噪声主要为输送装置等电机运转噪声、喷淋等各个泵的噪声、喷淋水声等，噪声值在65～90dB（A）之间。噪声设备均置于生产车间内，并在设备下方设置减震垫，通过建筑隔声距离衰减等方式控制车间内的噪声</w:t>
            </w:r>
            <w:r>
              <w:rPr>
                <w:color w:val="auto"/>
                <w:sz w:val="24"/>
                <w:szCs w:val="24"/>
                <w:highlight w:val="none"/>
              </w:rPr>
              <w:t>。</w:t>
            </w:r>
          </w:p>
          <w:p w14:paraId="0A425D08">
            <w:pPr>
              <w:pStyle w:val="112"/>
              <w:widowControl w:val="0"/>
              <w:spacing w:before="0" w:beforeLines="0" w:after="0" w:afterLines="0" w:line="360" w:lineRule="auto"/>
              <w:ind w:firstLine="480"/>
              <w:rPr>
                <w:rFonts w:hint="eastAsia" w:eastAsia="微软雅黑"/>
                <w:color w:val="auto"/>
                <w:sz w:val="24"/>
                <w:szCs w:val="24"/>
                <w:highlight w:val="none"/>
                <w:lang w:eastAsia="zh-CN"/>
              </w:rPr>
            </w:pPr>
            <w:r>
              <w:rPr>
                <w:color w:val="auto"/>
                <w:sz w:val="24"/>
                <w:szCs w:val="24"/>
                <w:highlight w:val="none"/>
              </w:rPr>
              <w:t>具体噪声源强及布局见下表。</w:t>
            </w:r>
          </w:p>
          <w:p w14:paraId="4CAF889C">
            <w:pPr>
              <w:spacing w:line="480" w:lineRule="exact"/>
              <w:jc w:val="center"/>
              <w:rPr>
                <w:rFonts w:hint="eastAsia" w:asciiTheme="majorEastAsia" w:hAnsiTheme="majorEastAsia" w:eastAsiaTheme="majorEastAsia" w:cstheme="majorEastAsia"/>
                <w:b/>
                <w:color w:val="auto"/>
                <w:sz w:val="24"/>
                <w:highlight w:val="none"/>
                <w:lang w:val="en-US" w:eastAsia="zh-CN"/>
              </w:rPr>
            </w:pPr>
            <w:r>
              <w:rPr>
                <w:rFonts w:hint="eastAsia" w:asciiTheme="majorEastAsia" w:hAnsiTheme="majorEastAsia" w:eastAsiaTheme="majorEastAsia" w:cstheme="majorEastAsia"/>
                <w:b/>
                <w:color w:val="auto"/>
                <w:sz w:val="24"/>
                <w:highlight w:val="none"/>
              </w:rPr>
              <w:t>表</w:t>
            </w:r>
            <w:r>
              <w:rPr>
                <w:rFonts w:hint="eastAsia" w:asciiTheme="majorEastAsia" w:hAnsiTheme="majorEastAsia" w:eastAsiaTheme="majorEastAsia" w:cstheme="majorEastAsia"/>
                <w:b/>
                <w:color w:val="auto"/>
                <w:sz w:val="24"/>
                <w:highlight w:val="none"/>
                <w:lang w:val="en-US" w:eastAsia="zh-CN"/>
              </w:rPr>
              <w:t>4-6</w:t>
            </w:r>
            <w:r>
              <w:rPr>
                <w:rFonts w:hint="eastAsia" w:asciiTheme="majorEastAsia" w:hAnsiTheme="majorEastAsia" w:eastAsiaTheme="majorEastAsia" w:cstheme="majorEastAsia"/>
                <w:b/>
                <w:color w:val="auto"/>
                <w:sz w:val="24"/>
                <w:highlight w:val="none"/>
              </w:rPr>
              <w:t xml:space="preserve">  </w:t>
            </w:r>
            <w:r>
              <w:rPr>
                <w:rFonts w:hint="eastAsia" w:asciiTheme="majorEastAsia" w:hAnsiTheme="majorEastAsia" w:eastAsiaTheme="majorEastAsia" w:cstheme="majorEastAsia"/>
                <w:b/>
                <w:color w:val="auto"/>
                <w:sz w:val="24"/>
                <w:highlight w:val="none"/>
                <w:lang w:val="en-US" w:eastAsia="zh-CN"/>
              </w:rPr>
              <w:t>室内声源参数表</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9"/>
              <w:gridCol w:w="389"/>
              <w:gridCol w:w="559"/>
              <w:gridCol w:w="640"/>
              <w:gridCol w:w="665"/>
              <w:gridCol w:w="559"/>
              <w:gridCol w:w="643"/>
              <w:gridCol w:w="671"/>
              <w:gridCol w:w="431"/>
              <w:gridCol w:w="565"/>
              <w:gridCol w:w="713"/>
              <w:gridCol w:w="389"/>
              <w:gridCol w:w="713"/>
              <w:gridCol w:w="713"/>
              <w:gridCol w:w="436"/>
            </w:tblGrid>
            <w:tr w14:paraId="0E8F1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94" w:type="dxa"/>
                  <w:vMerge w:val="restart"/>
                  <w:noWrap w:val="0"/>
                  <w:vAlign w:val="center"/>
                </w:tcPr>
                <w:p w14:paraId="684D3332">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序号</w:t>
                  </w:r>
                </w:p>
              </w:tc>
              <w:tc>
                <w:tcPr>
                  <w:tcW w:w="394" w:type="dxa"/>
                  <w:vMerge w:val="restart"/>
                  <w:noWrap w:val="0"/>
                  <w:vAlign w:val="center"/>
                </w:tcPr>
                <w:p w14:paraId="20A9C312">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建筑物名称</w:t>
                  </w:r>
                </w:p>
              </w:tc>
              <w:tc>
                <w:tcPr>
                  <w:tcW w:w="542" w:type="dxa"/>
                  <w:vMerge w:val="restart"/>
                  <w:noWrap w:val="0"/>
                  <w:vAlign w:val="center"/>
                </w:tcPr>
                <w:p w14:paraId="6A20E26A">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声源名称</w:t>
                  </w:r>
                </w:p>
              </w:tc>
              <w:tc>
                <w:tcPr>
                  <w:tcW w:w="506" w:type="dxa"/>
                  <w:vMerge w:val="restart"/>
                  <w:noWrap w:val="0"/>
                  <w:vAlign w:val="center"/>
                </w:tcPr>
                <w:p w14:paraId="6D7E9BF5">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型号</w:t>
                  </w:r>
                </w:p>
              </w:tc>
              <w:tc>
                <w:tcPr>
                  <w:tcW w:w="679" w:type="dxa"/>
                  <w:vMerge w:val="restart"/>
                  <w:noWrap w:val="0"/>
                  <w:vAlign w:val="center"/>
                </w:tcPr>
                <w:p w14:paraId="44F3E1FE">
                  <w:pPr>
                    <w:widowControl/>
                    <w:spacing w:line="240" w:lineRule="exact"/>
                    <w:jc w:val="center"/>
                    <w:textAlignment w:val="center"/>
                    <w:rPr>
                      <w:b/>
                      <w:bCs/>
                      <w:color w:val="auto"/>
                      <w:kern w:val="0"/>
                      <w:sz w:val="18"/>
                      <w:szCs w:val="18"/>
                      <w:highlight w:val="none"/>
                      <w:lang w:bidi="ar"/>
                    </w:rPr>
                  </w:pPr>
                  <w:r>
                    <w:rPr>
                      <w:b/>
                      <w:bCs/>
                      <w:color w:val="auto"/>
                      <w:kern w:val="0"/>
                      <w:sz w:val="18"/>
                      <w:szCs w:val="18"/>
                      <w:highlight w:val="none"/>
                      <w:lang w:bidi="ar"/>
                    </w:rPr>
                    <w:t>声功率级/</w:t>
                  </w:r>
                </w:p>
                <w:p w14:paraId="491AE4DB">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dB(A)</w:t>
                  </w:r>
                </w:p>
              </w:tc>
              <w:tc>
                <w:tcPr>
                  <w:tcW w:w="570" w:type="dxa"/>
                  <w:vMerge w:val="restart"/>
                  <w:noWrap w:val="0"/>
                  <w:vAlign w:val="center"/>
                </w:tcPr>
                <w:p w14:paraId="1DD6D4F6">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声源控制措施</w:t>
                  </w:r>
                </w:p>
              </w:tc>
              <w:tc>
                <w:tcPr>
                  <w:tcW w:w="1794" w:type="dxa"/>
                  <w:gridSpan w:val="3"/>
                  <w:noWrap w:val="0"/>
                  <w:vAlign w:val="center"/>
                </w:tcPr>
                <w:p w14:paraId="3DC98220">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空间相对位置/m</w:t>
                  </w:r>
                </w:p>
              </w:tc>
              <w:tc>
                <w:tcPr>
                  <w:tcW w:w="576" w:type="dxa"/>
                  <w:vMerge w:val="restart"/>
                  <w:noWrap w:val="0"/>
                  <w:vAlign w:val="center"/>
                </w:tcPr>
                <w:p w14:paraId="0AD1CD07">
                  <w:pPr>
                    <w:widowControl/>
                    <w:spacing w:line="240" w:lineRule="exact"/>
                    <w:jc w:val="left"/>
                    <w:rPr>
                      <w:b/>
                      <w:bCs/>
                      <w:color w:val="auto"/>
                      <w:sz w:val="18"/>
                      <w:szCs w:val="18"/>
                      <w:highlight w:val="none"/>
                    </w:rPr>
                  </w:pPr>
                  <w:r>
                    <w:rPr>
                      <w:rFonts w:hint="eastAsia" w:ascii="宋体" w:hAnsi="宋体" w:cs="宋体"/>
                      <w:b/>
                      <w:bCs/>
                      <w:color w:val="auto"/>
                      <w:kern w:val="0"/>
                      <w:sz w:val="18"/>
                      <w:szCs w:val="18"/>
                      <w:highlight w:val="none"/>
                      <w:lang w:bidi="ar"/>
                    </w:rPr>
                    <w:t xml:space="preserve">距室内边 </w:t>
                  </w:r>
                </w:p>
                <w:p w14:paraId="2D3FB61A">
                  <w:pPr>
                    <w:widowControl/>
                    <w:spacing w:line="240" w:lineRule="exact"/>
                    <w:jc w:val="left"/>
                    <w:rPr>
                      <w:b/>
                      <w:bCs/>
                      <w:color w:val="auto"/>
                      <w:sz w:val="18"/>
                      <w:szCs w:val="18"/>
                      <w:highlight w:val="none"/>
                    </w:rPr>
                  </w:pPr>
                  <w:r>
                    <w:rPr>
                      <w:rFonts w:hint="eastAsia" w:ascii="宋体" w:hAnsi="宋体" w:cs="宋体"/>
                      <w:b/>
                      <w:bCs/>
                      <w:color w:val="auto"/>
                      <w:kern w:val="0"/>
                      <w:sz w:val="18"/>
                      <w:szCs w:val="18"/>
                      <w:highlight w:val="none"/>
                      <w:lang w:bidi="ar"/>
                    </w:rPr>
                    <w:t>界距离</w:t>
                  </w:r>
                  <w:r>
                    <w:rPr>
                      <w:b/>
                      <w:bCs/>
                      <w:color w:val="auto"/>
                      <w:kern w:val="0"/>
                      <w:sz w:val="18"/>
                      <w:szCs w:val="18"/>
                      <w:highlight w:val="none"/>
                      <w:lang w:bidi="ar"/>
                    </w:rPr>
                    <w:t xml:space="preserve">/m </w:t>
                  </w:r>
                </w:p>
                <w:p w14:paraId="0DA9CAE6">
                  <w:pPr>
                    <w:widowControl/>
                    <w:spacing w:line="240" w:lineRule="exact"/>
                    <w:jc w:val="center"/>
                    <w:textAlignment w:val="center"/>
                    <w:rPr>
                      <w:b/>
                      <w:bCs/>
                      <w:color w:val="auto"/>
                      <w:kern w:val="0"/>
                      <w:sz w:val="18"/>
                      <w:szCs w:val="18"/>
                      <w:highlight w:val="none"/>
                      <w:lang w:bidi="ar"/>
                    </w:rPr>
                  </w:pPr>
                </w:p>
              </w:tc>
              <w:tc>
                <w:tcPr>
                  <w:tcW w:w="728" w:type="dxa"/>
                  <w:vMerge w:val="restart"/>
                  <w:noWrap w:val="0"/>
                  <w:vAlign w:val="center"/>
                </w:tcPr>
                <w:p w14:paraId="02F1948D">
                  <w:pPr>
                    <w:widowControl/>
                    <w:spacing w:line="240" w:lineRule="exact"/>
                    <w:jc w:val="left"/>
                    <w:rPr>
                      <w:b/>
                      <w:bCs/>
                      <w:color w:val="auto"/>
                      <w:sz w:val="18"/>
                      <w:szCs w:val="18"/>
                      <w:highlight w:val="none"/>
                    </w:rPr>
                  </w:pPr>
                  <w:r>
                    <w:rPr>
                      <w:rFonts w:hint="eastAsia" w:ascii="宋体" w:hAnsi="宋体" w:cs="宋体"/>
                      <w:b/>
                      <w:bCs/>
                      <w:color w:val="auto"/>
                      <w:kern w:val="0"/>
                      <w:sz w:val="18"/>
                      <w:szCs w:val="18"/>
                      <w:highlight w:val="none"/>
                      <w:lang w:bidi="ar"/>
                    </w:rPr>
                    <w:t xml:space="preserve">室内边界 </w:t>
                  </w:r>
                </w:p>
                <w:p w14:paraId="2DD80E5A">
                  <w:pPr>
                    <w:widowControl/>
                    <w:spacing w:line="240" w:lineRule="exact"/>
                    <w:jc w:val="left"/>
                    <w:rPr>
                      <w:b/>
                      <w:bCs/>
                      <w:color w:val="auto"/>
                      <w:sz w:val="18"/>
                      <w:szCs w:val="18"/>
                      <w:highlight w:val="none"/>
                    </w:rPr>
                  </w:pPr>
                  <w:r>
                    <w:rPr>
                      <w:rFonts w:hint="eastAsia" w:ascii="宋体" w:hAnsi="宋体" w:cs="宋体"/>
                      <w:b/>
                      <w:bCs/>
                      <w:color w:val="auto"/>
                      <w:kern w:val="0"/>
                      <w:sz w:val="18"/>
                      <w:szCs w:val="18"/>
                      <w:highlight w:val="none"/>
                      <w:lang w:bidi="ar"/>
                    </w:rPr>
                    <w:t xml:space="preserve">声级 </w:t>
                  </w:r>
                </w:p>
                <w:p w14:paraId="0BA9B77A">
                  <w:pPr>
                    <w:widowControl/>
                    <w:spacing w:line="240" w:lineRule="exact"/>
                    <w:jc w:val="left"/>
                    <w:rPr>
                      <w:b/>
                      <w:bCs/>
                      <w:color w:val="auto"/>
                      <w:sz w:val="18"/>
                      <w:szCs w:val="18"/>
                      <w:highlight w:val="none"/>
                    </w:rPr>
                  </w:pPr>
                  <w:r>
                    <w:rPr>
                      <w:b/>
                      <w:bCs/>
                      <w:color w:val="auto"/>
                      <w:kern w:val="0"/>
                      <w:sz w:val="18"/>
                      <w:szCs w:val="18"/>
                      <w:highlight w:val="none"/>
                      <w:lang w:bidi="ar"/>
                    </w:rPr>
                    <w:t xml:space="preserve">/dB(A) </w:t>
                  </w:r>
                </w:p>
                <w:p w14:paraId="7209FB88">
                  <w:pPr>
                    <w:widowControl/>
                    <w:spacing w:line="240" w:lineRule="exact"/>
                    <w:jc w:val="center"/>
                    <w:textAlignment w:val="center"/>
                    <w:rPr>
                      <w:b/>
                      <w:bCs/>
                      <w:color w:val="auto"/>
                      <w:kern w:val="0"/>
                      <w:sz w:val="18"/>
                      <w:szCs w:val="18"/>
                      <w:highlight w:val="none"/>
                      <w:lang w:bidi="ar"/>
                    </w:rPr>
                  </w:pPr>
                </w:p>
              </w:tc>
              <w:tc>
                <w:tcPr>
                  <w:tcW w:w="394" w:type="dxa"/>
                  <w:vMerge w:val="restart"/>
                  <w:noWrap w:val="0"/>
                  <w:vAlign w:val="center"/>
                </w:tcPr>
                <w:p w14:paraId="65306691">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运行时段</w:t>
                  </w:r>
                </w:p>
              </w:tc>
              <w:tc>
                <w:tcPr>
                  <w:tcW w:w="728" w:type="dxa"/>
                  <w:vMerge w:val="restart"/>
                  <w:noWrap w:val="0"/>
                  <w:vAlign w:val="center"/>
                </w:tcPr>
                <w:p w14:paraId="7D49CB70">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建筑物插入损失/dB(A)</w:t>
                  </w:r>
                </w:p>
              </w:tc>
              <w:tc>
                <w:tcPr>
                  <w:tcW w:w="1172" w:type="dxa"/>
                  <w:gridSpan w:val="2"/>
                  <w:noWrap w:val="0"/>
                  <w:vAlign w:val="center"/>
                </w:tcPr>
                <w:p w14:paraId="400E70D7">
                  <w:pPr>
                    <w:widowControl/>
                    <w:spacing w:line="240" w:lineRule="exact"/>
                    <w:jc w:val="center"/>
                    <w:textAlignment w:val="center"/>
                    <w:rPr>
                      <w:b/>
                      <w:bCs/>
                      <w:color w:val="auto"/>
                      <w:kern w:val="0"/>
                      <w:sz w:val="18"/>
                      <w:szCs w:val="18"/>
                      <w:highlight w:val="none"/>
                      <w:lang w:bidi="ar"/>
                    </w:rPr>
                  </w:pPr>
                  <w:r>
                    <w:rPr>
                      <w:rFonts w:hint="eastAsia"/>
                      <w:b/>
                      <w:bCs/>
                      <w:color w:val="auto"/>
                      <w:kern w:val="0"/>
                      <w:sz w:val="18"/>
                      <w:szCs w:val="18"/>
                      <w:highlight w:val="none"/>
                      <w:lang w:bidi="ar"/>
                    </w:rPr>
                    <w:t>建筑物外噪声</w:t>
                  </w:r>
                </w:p>
              </w:tc>
            </w:tr>
            <w:tr w14:paraId="38B65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exact"/>
                <w:jc w:val="center"/>
              </w:trPr>
              <w:tc>
                <w:tcPr>
                  <w:tcW w:w="394" w:type="dxa"/>
                  <w:vMerge w:val="continue"/>
                  <w:noWrap w:val="0"/>
                  <w:vAlign w:val="center"/>
                </w:tcPr>
                <w:p w14:paraId="485B5C77">
                  <w:pPr>
                    <w:spacing w:line="240" w:lineRule="exact"/>
                    <w:jc w:val="center"/>
                    <w:rPr>
                      <w:b/>
                      <w:bCs/>
                      <w:color w:val="auto"/>
                      <w:sz w:val="18"/>
                      <w:szCs w:val="18"/>
                      <w:highlight w:val="none"/>
                    </w:rPr>
                  </w:pPr>
                </w:p>
              </w:tc>
              <w:tc>
                <w:tcPr>
                  <w:tcW w:w="394" w:type="dxa"/>
                  <w:vMerge w:val="continue"/>
                  <w:noWrap w:val="0"/>
                  <w:vAlign w:val="center"/>
                </w:tcPr>
                <w:p w14:paraId="043FB579">
                  <w:pPr>
                    <w:spacing w:line="240" w:lineRule="exact"/>
                    <w:jc w:val="center"/>
                    <w:rPr>
                      <w:b/>
                      <w:bCs/>
                      <w:color w:val="auto"/>
                      <w:sz w:val="18"/>
                      <w:szCs w:val="18"/>
                      <w:highlight w:val="none"/>
                    </w:rPr>
                  </w:pPr>
                </w:p>
              </w:tc>
              <w:tc>
                <w:tcPr>
                  <w:tcW w:w="542" w:type="dxa"/>
                  <w:vMerge w:val="continue"/>
                  <w:noWrap w:val="0"/>
                  <w:vAlign w:val="center"/>
                </w:tcPr>
                <w:p w14:paraId="2EE171E3">
                  <w:pPr>
                    <w:spacing w:line="240" w:lineRule="exact"/>
                    <w:jc w:val="center"/>
                    <w:rPr>
                      <w:b/>
                      <w:bCs/>
                      <w:color w:val="auto"/>
                      <w:sz w:val="18"/>
                      <w:szCs w:val="18"/>
                      <w:highlight w:val="none"/>
                    </w:rPr>
                  </w:pPr>
                </w:p>
              </w:tc>
              <w:tc>
                <w:tcPr>
                  <w:tcW w:w="506" w:type="dxa"/>
                  <w:vMerge w:val="continue"/>
                  <w:noWrap w:val="0"/>
                  <w:vAlign w:val="center"/>
                </w:tcPr>
                <w:p w14:paraId="6E40810B">
                  <w:pPr>
                    <w:spacing w:line="240" w:lineRule="exact"/>
                    <w:jc w:val="center"/>
                    <w:rPr>
                      <w:b/>
                      <w:bCs/>
                      <w:color w:val="auto"/>
                      <w:sz w:val="18"/>
                      <w:szCs w:val="18"/>
                      <w:highlight w:val="none"/>
                    </w:rPr>
                  </w:pPr>
                </w:p>
              </w:tc>
              <w:tc>
                <w:tcPr>
                  <w:tcW w:w="679" w:type="dxa"/>
                  <w:vMerge w:val="continue"/>
                  <w:noWrap w:val="0"/>
                  <w:vAlign w:val="center"/>
                </w:tcPr>
                <w:p w14:paraId="7CD04C61">
                  <w:pPr>
                    <w:widowControl/>
                    <w:spacing w:line="240" w:lineRule="exact"/>
                    <w:jc w:val="center"/>
                    <w:textAlignment w:val="center"/>
                    <w:rPr>
                      <w:b/>
                      <w:bCs/>
                      <w:color w:val="auto"/>
                      <w:sz w:val="18"/>
                      <w:szCs w:val="18"/>
                      <w:highlight w:val="none"/>
                    </w:rPr>
                  </w:pPr>
                </w:p>
              </w:tc>
              <w:tc>
                <w:tcPr>
                  <w:tcW w:w="570" w:type="dxa"/>
                  <w:vMerge w:val="continue"/>
                  <w:noWrap w:val="0"/>
                  <w:vAlign w:val="center"/>
                </w:tcPr>
                <w:p w14:paraId="72B84BA5">
                  <w:pPr>
                    <w:spacing w:line="240" w:lineRule="exact"/>
                    <w:jc w:val="center"/>
                    <w:rPr>
                      <w:b/>
                      <w:bCs/>
                      <w:color w:val="auto"/>
                      <w:sz w:val="18"/>
                      <w:szCs w:val="18"/>
                      <w:highlight w:val="none"/>
                    </w:rPr>
                  </w:pPr>
                </w:p>
              </w:tc>
              <w:tc>
                <w:tcPr>
                  <w:tcW w:w="664" w:type="dxa"/>
                  <w:noWrap w:val="0"/>
                  <w:vAlign w:val="center"/>
                </w:tcPr>
                <w:p w14:paraId="17366A5D">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X</w:t>
                  </w:r>
                </w:p>
              </w:tc>
              <w:tc>
                <w:tcPr>
                  <w:tcW w:w="693" w:type="dxa"/>
                  <w:noWrap w:val="0"/>
                  <w:vAlign w:val="center"/>
                </w:tcPr>
                <w:p w14:paraId="7D29BF30">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Y</w:t>
                  </w:r>
                </w:p>
              </w:tc>
              <w:tc>
                <w:tcPr>
                  <w:tcW w:w="437" w:type="dxa"/>
                  <w:noWrap w:val="0"/>
                  <w:vAlign w:val="center"/>
                </w:tcPr>
                <w:p w14:paraId="3B6973A0">
                  <w:pPr>
                    <w:widowControl/>
                    <w:spacing w:line="240" w:lineRule="exact"/>
                    <w:jc w:val="center"/>
                    <w:textAlignment w:val="center"/>
                    <w:rPr>
                      <w:b/>
                      <w:bCs/>
                      <w:color w:val="auto"/>
                      <w:sz w:val="18"/>
                      <w:szCs w:val="18"/>
                      <w:highlight w:val="none"/>
                    </w:rPr>
                  </w:pPr>
                  <w:r>
                    <w:rPr>
                      <w:b/>
                      <w:bCs/>
                      <w:color w:val="auto"/>
                      <w:kern w:val="0"/>
                      <w:sz w:val="18"/>
                      <w:szCs w:val="18"/>
                      <w:highlight w:val="none"/>
                      <w:lang w:bidi="ar"/>
                    </w:rPr>
                    <w:t>Z</w:t>
                  </w:r>
                </w:p>
              </w:tc>
              <w:tc>
                <w:tcPr>
                  <w:tcW w:w="576" w:type="dxa"/>
                  <w:vMerge w:val="continue"/>
                  <w:noWrap w:val="0"/>
                  <w:vAlign w:val="center"/>
                </w:tcPr>
                <w:p w14:paraId="23F3C18F">
                  <w:pPr>
                    <w:widowControl/>
                    <w:spacing w:line="240" w:lineRule="exact"/>
                    <w:jc w:val="center"/>
                    <w:textAlignment w:val="center"/>
                    <w:rPr>
                      <w:b/>
                      <w:bCs/>
                      <w:color w:val="auto"/>
                      <w:kern w:val="0"/>
                      <w:sz w:val="18"/>
                      <w:szCs w:val="18"/>
                      <w:highlight w:val="none"/>
                      <w:lang w:bidi="ar"/>
                    </w:rPr>
                  </w:pPr>
                </w:p>
              </w:tc>
              <w:tc>
                <w:tcPr>
                  <w:tcW w:w="728" w:type="dxa"/>
                  <w:vMerge w:val="continue"/>
                  <w:noWrap w:val="0"/>
                  <w:vAlign w:val="center"/>
                </w:tcPr>
                <w:p w14:paraId="7473602A">
                  <w:pPr>
                    <w:widowControl/>
                    <w:spacing w:line="240" w:lineRule="exact"/>
                    <w:jc w:val="center"/>
                    <w:textAlignment w:val="center"/>
                    <w:rPr>
                      <w:b/>
                      <w:bCs/>
                      <w:color w:val="auto"/>
                      <w:kern w:val="0"/>
                      <w:sz w:val="18"/>
                      <w:szCs w:val="18"/>
                      <w:highlight w:val="none"/>
                      <w:lang w:bidi="ar"/>
                    </w:rPr>
                  </w:pPr>
                </w:p>
              </w:tc>
              <w:tc>
                <w:tcPr>
                  <w:tcW w:w="394" w:type="dxa"/>
                  <w:vMerge w:val="continue"/>
                  <w:noWrap w:val="0"/>
                  <w:vAlign w:val="center"/>
                </w:tcPr>
                <w:p w14:paraId="53A6ECE7">
                  <w:pPr>
                    <w:spacing w:line="240" w:lineRule="exact"/>
                    <w:jc w:val="center"/>
                    <w:rPr>
                      <w:b/>
                      <w:bCs/>
                      <w:color w:val="auto"/>
                      <w:sz w:val="18"/>
                      <w:szCs w:val="18"/>
                      <w:highlight w:val="none"/>
                    </w:rPr>
                  </w:pPr>
                </w:p>
              </w:tc>
              <w:tc>
                <w:tcPr>
                  <w:tcW w:w="728" w:type="dxa"/>
                  <w:vMerge w:val="continue"/>
                  <w:noWrap w:val="0"/>
                  <w:vAlign w:val="center"/>
                </w:tcPr>
                <w:p w14:paraId="34678B07">
                  <w:pPr>
                    <w:spacing w:line="240" w:lineRule="exact"/>
                    <w:jc w:val="center"/>
                    <w:rPr>
                      <w:b/>
                      <w:bCs/>
                      <w:color w:val="auto"/>
                      <w:sz w:val="18"/>
                      <w:szCs w:val="18"/>
                      <w:highlight w:val="none"/>
                    </w:rPr>
                  </w:pPr>
                </w:p>
              </w:tc>
              <w:tc>
                <w:tcPr>
                  <w:tcW w:w="728" w:type="dxa"/>
                  <w:noWrap w:val="0"/>
                  <w:vAlign w:val="center"/>
                </w:tcPr>
                <w:p w14:paraId="75E471F1">
                  <w:pPr>
                    <w:widowControl/>
                    <w:spacing w:line="240" w:lineRule="exact"/>
                    <w:jc w:val="center"/>
                    <w:textAlignment w:val="center"/>
                    <w:rPr>
                      <w:b/>
                      <w:bCs/>
                      <w:color w:val="auto"/>
                      <w:kern w:val="0"/>
                      <w:sz w:val="18"/>
                      <w:szCs w:val="18"/>
                      <w:highlight w:val="none"/>
                      <w:lang w:bidi="ar"/>
                    </w:rPr>
                  </w:pPr>
                  <w:r>
                    <w:rPr>
                      <w:rFonts w:hint="eastAsia"/>
                      <w:b/>
                      <w:bCs/>
                      <w:color w:val="auto"/>
                      <w:kern w:val="0"/>
                      <w:sz w:val="18"/>
                      <w:szCs w:val="18"/>
                      <w:highlight w:val="none"/>
                      <w:lang w:bidi="ar"/>
                    </w:rPr>
                    <w:t xml:space="preserve">声压级 </w:t>
                  </w:r>
                </w:p>
                <w:p w14:paraId="393142DE">
                  <w:pPr>
                    <w:widowControl/>
                    <w:spacing w:line="240" w:lineRule="exact"/>
                    <w:jc w:val="center"/>
                    <w:textAlignment w:val="center"/>
                    <w:rPr>
                      <w:b/>
                      <w:bCs/>
                      <w:color w:val="auto"/>
                      <w:kern w:val="0"/>
                      <w:sz w:val="18"/>
                      <w:szCs w:val="18"/>
                      <w:highlight w:val="none"/>
                      <w:lang w:bidi="ar"/>
                    </w:rPr>
                  </w:pPr>
                  <w:r>
                    <w:rPr>
                      <w:b/>
                      <w:bCs/>
                      <w:color w:val="auto"/>
                      <w:kern w:val="0"/>
                      <w:sz w:val="18"/>
                      <w:szCs w:val="18"/>
                      <w:highlight w:val="none"/>
                      <w:lang w:bidi="ar"/>
                    </w:rPr>
                    <w:t xml:space="preserve">/dB(A) </w:t>
                  </w:r>
                </w:p>
              </w:tc>
              <w:tc>
                <w:tcPr>
                  <w:tcW w:w="444" w:type="dxa"/>
                  <w:noWrap w:val="0"/>
                  <w:vAlign w:val="center"/>
                </w:tcPr>
                <w:p w14:paraId="4CF00DE5">
                  <w:pPr>
                    <w:widowControl/>
                    <w:spacing w:line="240" w:lineRule="exact"/>
                    <w:jc w:val="center"/>
                    <w:textAlignment w:val="center"/>
                    <w:rPr>
                      <w:b/>
                      <w:bCs/>
                      <w:color w:val="auto"/>
                      <w:kern w:val="0"/>
                      <w:sz w:val="18"/>
                      <w:szCs w:val="18"/>
                      <w:highlight w:val="none"/>
                      <w:lang w:bidi="ar"/>
                    </w:rPr>
                  </w:pPr>
                  <w:r>
                    <w:rPr>
                      <w:rFonts w:hint="eastAsia"/>
                      <w:b/>
                      <w:bCs/>
                      <w:color w:val="auto"/>
                      <w:kern w:val="0"/>
                      <w:sz w:val="18"/>
                      <w:szCs w:val="18"/>
                      <w:highlight w:val="none"/>
                      <w:lang w:bidi="ar"/>
                    </w:rPr>
                    <w:t xml:space="preserve">建筑物 </w:t>
                  </w:r>
                </w:p>
                <w:p w14:paraId="47C54E71">
                  <w:pPr>
                    <w:widowControl/>
                    <w:spacing w:line="240" w:lineRule="exact"/>
                    <w:jc w:val="center"/>
                    <w:textAlignment w:val="center"/>
                    <w:rPr>
                      <w:b/>
                      <w:bCs/>
                      <w:color w:val="auto"/>
                      <w:kern w:val="0"/>
                      <w:sz w:val="18"/>
                      <w:szCs w:val="18"/>
                      <w:highlight w:val="none"/>
                      <w:lang w:bidi="ar"/>
                    </w:rPr>
                  </w:pPr>
                  <w:r>
                    <w:rPr>
                      <w:rFonts w:hint="eastAsia"/>
                      <w:b/>
                      <w:bCs/>
                      <w:color w:val="auto"/>
                      <w:kern w:val="0"/>
                      <w:sz w:val="18"/>
                      <w:szCs w:val="18"/>
                      <w:highlight w:val="none"/>
                      <w:lang w:bidi="ar"/>
                    </w:rPr>
                    <w:t xml:space="preserve">外距离 </w:t>
                  </w:r>
                </w:p>
              </w:tc>
            </w:tr>
            <w:tr w14:paraId="5EBEA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0" w:hRule="atLeast"/>
                <w:jc w:val="center"/>
              </w:trPr>
              <w:tc>
                <w:tcPr>
                  <w:tcW w:w="394" w:type="dxa"/>
                  <w:noWrap w:val="0"/>
                  <w:vAlign w:val="center"/>
                </w:tcPr>
                <w:p w14:paraId="421C778A">
                  <w:pPr>
                    <w:widowControl/>
                    <w:spacing w:line="240" w:lineRule="exact"/>
                    <w:jc w:val="center"/>
                    <w:textAlignment w:val="center"/>
                    <w:rPr>
                      <w:color w:val="auto"/>
                      <w:kern w:val="0"/>
                      <w:sz w:val="18"/>
                      <w:szCs w:val="18"/>
                      <w:highlight w:val="none"/>
                      <w:lang w:bidi="ar"/>
                    </w:rPr>
                  </w:pPr>
                  <w:r>
                    <w:rPr>
                      <w:color w:val="auto"/>
                      <w:kern w:val="0"/>
                      <w:sz w:val="18"/>
                      <w:szCs w:val="18"/>
                      <w:highlight w:val="none"/>
                      <w:lang w:bidi="ar"/>
                    </w:rPr>
                    <w:t>1</w:t>
                  </w:r>
                </w:p>
                <w:p w14:paraId="0C2B5491">
                  <w:pPr>
                    <w:widowControl/>
                    <w:spacing w:line="240" w:lineRule="exact"/>
                    <w:jc w:val="center"/>
                    <w:textAlignment w:val="center"/>
                    <w:rPr>
                      <w:color w:val="auto"/>
                      <w:kern w:val="0"/>
                      <w:sz w:val="18"/>
                      <w:szCs w:val="18"/>
                      <w:highlight w:val="none"/>
                      <w:lang w:val="en-US" w:eastAsia="zh-CN" w:bidi="ar"/>
                    </w:rPr>
                  </w:pPr>
                </w:p>
              </w:tc>
              <w:tc>
                <w:tcPr>
                  <w:tcW w:w="394" w:type="dxa"/>
                  <w:vMerge w:val="restart"/>
                  <w:noWrap w:val="0"/>
                  <w:vAlign w:val="center"/>
                </w:tcPr>
                <w:p w14:paraId="215E4980">
                  <w:pPr>
                    <w:widowControl/>
                    <w:spacing w:line="240" w:lineRule="exact"/>
                    <w:jc w:val="center"/>
                    <w:textAlignment w:val="center"/>
                    <w:rPr>
                      <w:rFonts w:hint="eastAsia" w:eastAsia="宋体"/>
                      <w:color w:val="auto"/>
                      <w:sz w:val="18"/>
                      <w:szCs w:val="18"/>
                      <w:highlight w:val="none"/>
                      <w:lang w:eastAsia="zh-CN"/>
                    </w:rPr>
                  </w:pPr>
                  <w:r>
                    <w:rPr>
                      <w:rFonts w:hint="eastAsia"/>
                      <w:color w:val="auto"/>
                      <w:sz w:val="18"/>
                      <w:szCs w:val="18"/>
                      <w:highlight w:val="none"/>
                      <w:lang w:val="en-US" w:eastAsia="zh-CN"/>
                    </w:rPr>
                    <w:t>清洗烘干区</w:t>
                  </w:r>
                </w:p>
              </w:tc>
              <w:tc>
                <w:tcPr>
                  <w:tcW w:w="542" w:type="dxa"/>
                  <w:noWrap w:val="0"/>
                  <w:vAlign w:val="center"/>
                </w:tcPr>
                <w:p w14:paraId="105B456E">
                  <w:pPr>
                    <w:widowControl/>
                    <w:spacing w:line="240" w:lineRule="exact"/>
                    <w:jc w:val="center"/>
                    <w:textAlignment w:val="center"/>
                    <w:rPr>
                      <w:rFonts w:hint="eastAsia" w:ascii="Times New Roman" w:hAnsi="Times New Roman" w:eastAsia="宋体" w:cs="Times New Roman"/>
                      <w:color w:val="auto"/>
                      <w:kern w:val="0"/>
                      <w:sz w:val="18"/>
                      <w:szCs w:val="18"/>
                      <w:highlight w:val="none"/>
                      <w:lang w:bidi="ar"/>
                    </w:rPr>
                  </w:pPr>
                  <w:r>
                    <w:rPr>
                      <w:rFonts w:hint="eastAsia" w:ascii="Times New Roman" w:hAnsi="Times New Roman" w:eastAsia="宋体" w:cs="Times New Roman"/>
                      <w:color w:val="auto"/>
                      <w:kern w:val="0"/>
                      <w:sz w:val="18"/>
                      <w:szCs w:val="18"/>
                      <w:highlight w:val="none"/>
                      <w:lang w:bidi="ar"/>
                    </w:rPr>
                    <w:t>输送电机</w:t>
                  </w:r>
                </w:p>
                <w:p w14:paraId="1E00B205">
                  <w:pPr>
                    <w:widowControl/>
                    <w:spacing w:line="240" w:lineRule="exact"/>
                    <w:jc w:val="center"/>
                    <w:textAlignment w:val="center"/>
                    <w:rPr>
                      <w:rFonts w:hint="eastAsia" w:ascii="Times New Roman" w:hAnsi="Times New Roman" w:eastAsia="宋体" w:cs="Times New Roman"/>
                      <w:color w:val="auto"/>
                      <w:kern w:val="0"/>
                      <w:sz w:val="18"/>
                      <w:szCs w:val="18"/>
                      <w:highlight w:val="none"/>
                      <w:lang w:bidi="ar"/>
                    </w:rPr>
                  </w:pPr>
                  <w:r>
                    <w:rPr>
                      <w:rFonts w:hint="eastAsia" w:cs="Times New Roman"/>
                      <w:color w:val="auto"/>
                      <w:kern w:val="0"/>
                      <w:sz w:val="18"/>
                      <w:szCs w:val="18"/>
                      <w:highlight w:val="none"/>
                      <w:lang w:eastAsia="zh-CN" w:bidi="ar"/>
                    </w:rPr>
                    <w:t>（</w:t>
                  </w:r>
                  <w:r>
                    <w:rPr>
                      <w:rFonts w:hint="eastAsia" w:cs="Times New Roman"/>
                      <w:color w:val="auto"/>
                      <w:kern w:val="0"/>
                      <w:sz w:val="18"/>
                      <w:szCs w:val="18"/>
                      <w:highlight w:val="none"/>
                      <w:lang w:val="en-US" w:eastAsia="zh-CN" w:bidi="ar"/>
                    </w:rPr>
                    <w:t>等效后</w:t>
                  </w:r>
                  <w:r>
                    <w:rPr>
                      <w:rFonts w:hint="eastAsia" w:cs="Times New Roman"/>
                      <w:color w:val="auto"/>
                      <w:kern w:val="0"/>
                      <w:sz w:val="18"/>
                      <w:szCs w:val="18"/>
                      <w:highlight w:val="none"/>
                      <w:lang w:eastAsia="zh-CN" w:bidi="ar"/>
                    </w:rPr>
                    <w:t>）</w:t>
                  </w:r>
                  <w:r>
                    <w:rPr>
                      <w:rFonts w:hint="eastAsia" w:ascii="Times New Roman" w:hAnsi="Times New Roman" w:eastAsia="宋体" w:cs="Times New Roman"/>
                      <w:color w:val="auto"/>
                      <w:kern w:val="0"/>
                      <w:sz w:val="18"/>
                      <w:szCs w:val="18"/>
                      <w:highlight w:val="none"/>
                      <w:lang w:bidi="ar"/>
                    </w:rPr>
                    <w:t>噪声</w:t>
                  </w:r>
                </w:p>
              </w:tc>
              <w:tc>
                <w:tcPr>
                  <w:tcW w:w="506" w:type="dxa"/>
                  <w:noWrap w:val="0"/>
                  <w:vAlign w:val="center"/>
                </w:tcPr>
                <w:p w14:paraId="78D34111">
                  <w:pPr>
                    <w:widowControl/>
                    <w:spacing w:line="240" w:lineRule="exact"/>
                    <w:jc w:val="center"/>
                    <w:textAlignment w:val="center"/>
                    <w:rPr>
                      <w:rFonts w:hint="eastAsia"/>
                      <w:color w:val="auto"/>
                      <w:kern w:val="0"/>
                      <w:sz w:val="18"/>
                      <w:szCs w:val="18"/>
                      <w:highlight w:val="none"/>
                      <w:lang w:val="en-US" w:eastAsia="zh-CN" w:bidi="ar"/>
                    </w:rPr>
                  </w:pPr>
                  <w:r>
                    <w:rPr>
                      <w:rFonts w:hint="eastAsia"/>
                      <w:color w:val="auto"/>
                      <w:kern w:val="0"/>
                      <w:sz w:val="18"/>
                      <w:szCs w:val="18"/>
                      <w:highlight w:val="none"/>
                      <w:lang w:val="en-US" w:eastAsia="zh-CN" w:bidi="ar"/>
                    </w:rPr>
                    <w:t>0.4</w:t>
                  </w:r>
                  <w:r>
                    <w:rPr>
                      <w:rFonts w:hint="eastAsia"/>
                      <w:color w:val="auto"/>
                      <w:kern w:val="0"/>
                      <w:sz w:val="18"/>
                      <w:szCs w:val="18"/>
                      <w:highlight w:val="none"/>
                      <w:lang w:bidi="ar"/>
                    </w:rPr>
                    <w:t>kw</w:t>
                  </w:r>
                </w:p>
              </w:tc>
              <w:tc>
                <w:tcPr>
                  <w:tcW w:w="679" w:type="dxa"/>
                  <w:noWrap/>
                  <w:vAlign w:val="center"/>
                </w:tcPr>
                <w:p w14:paraId="13490D6B">
                  <w:pPr>
                    <w:widowControl/>
                    <w:spacing w:line="240" w:lineRule="exact"/>
                    <w:jc w:val="center"/>
                    <w:textAlignment w:val="center"/>
                    <w:rPr>
                      <w:rFonts w:hint="default"/>
                      <w:color w:val="auto"/>
                      <w:kern w:val="0"/>
                      <w:sz w:val="18"/>
                      <w:szCs w:val="18"/>
                      <w:highlight w:val="none"/>
                      <w:lang w:val="en-US" w:eastAsia="zh-CN" w:bidi="ar"/>
                    </w:rPr>
                  </w:pPr>
                  <w:r>
                    <w:rPr>
                      <w:rFonts w:hint="eastAsia"/>
                      <w:color w:val="auto"/>
                      <w:kern w:val="0"/>
                      <w:sz w:val="18"/>
                      <w:szCs w:val="18"/>
                      <w:highlight w:val="none"/>
                      <w:lang w:val="en-US" w:eastAsia="zh-CN" w:bidi="ar"/>
                    </w:rPr>
                    <w:t>70</w:t>
                  </w:r>
                </w:p>
              </w:tc>
              <w:tc>
                <w:tcPr>
                  <w:tcW w:w="570" w:type="dxa"/>
                  <w:vMerge w:val="restart"/>
                  <w:noWrap w:val="0"/>
                  <w:vAlign w:val="center"/>
                </w:tcPr>
                <w:p w14:paraId="1353AD72">
                  <w:pPr>
                    <w:widowControl/>
                    <w:spacing w:line="240" w:lineRule="exact"/>
                    <w:jc w:val="center"/>
                    <w:textAlignment w:val="center"/>
                    <w:rPr>
                      <w:color w:val="auto"/>
                      <w:kern w:val="0"/>
                      <w:sz w:val="18"/>
                      <w:szCs w:val="18"/>
                      <w:highlight w:val="none"/>
                      <w:lang w:bidi="ar"/>
                    </w:rPr>
                  </w:pPr>
                  <w:r>
                    <w:rPr>
                      <w:color w:val="auto"/>
                      <w:kern w:val="0"/>
                      <w:sz w:val="18"/>
                      <w:szCs w:val="18"/>
                      <w:highlight w:val="none"/>
                      <w:lang w:bidi="ar"/>
                    </w:rPr>
                    <w:t>基础减振、厂房隔声</w:t>
                  </w:r>
                  <w:r>
                    <w:rPr>
                      <w:rFonts w:hint="eastAsia"/>
                      <w:color w:val="auto"/>
                      <w:kern w:val="0"/>
                      <w:sz w:val="18"/>
                      <w:szCs w:val="18"/>
                      <w:highlight w:val="none"/>
                      <w:lang w:bidi="ar"/>
                    </w:rPr>
                    <w:t>、距离衰减</w:t>
                  </w:r>
                </w:p>
                <w:p w14:paraId="2DBBE9EF">
                  <w:pPr>
                    <w:widowControl/>
                    <w:spacing w:line="240" w:lineRule="exact"/>
                    <w:jc w:val="center"/>
                    <w:textAlignment w:val="center"/>
                    <w:rPr>
                      <w:color w:val="auto"/>
                      <w:sz w:val="18"/>
                      <w:szCs w:val="18"/>
                      <w:highlight w:val="none"/>
                    </w:rPr>
                  </w:pPr>
                </w:p>
              </w:tc>
              <w:tc>
                <w:tcPr>
                  <w:tcW w:w="664" w:type="dxa"/>
                  <w:noWrap w:val="0"/>
                  <w:vAlign w:val="center"/>
                </w:tcPr>
                <w:p w14:paraId="7A817F7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61.03</w:t>
                  </w:r>
                </w:p>
              </w:tc>
              <w:tc>
                <w:tcPr>
                  <w:tcW w:w="693" w:type="dxa"/>
                  <w:noWrap w:val="0"/>
                  <w:vAlign w:val="center"/>
                </w:tcPr>
                <w:p w14:paraId="6A77B57A">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29.56</w:t>
                  </w:r>
                </w:p>
              </w:tc>
              <w:tc>
                <w:tcPr>
                  <w:tcW w:w="437" w:type="dxa"/>
                  <w:noWrap w:val="0"/>
                  <w:vAlign w:val="center"/>
                </w:tcPr>
                <w:p w14:paraId="03B3446B">
                  <w:pPr>
                    <w:widowControl/>
                    <w:spacing w:line="240" w:lineRule="exact"/>
                    <w:jc w:val="center"/>
                    <w:textAlignment w:val="center"/>
                    <w:rPr>
                      <w:rFonts w:hint="eastAsia"/>
                      <w:color w:val="auto"/>
                      <w:kern w:val="0"/>
                      <w:sz w:val="18"/>
                      <w:szCs w:val="18"/>
                      <w:highlight w:val="none"/>
                      <w:lang w:val="en-US" w:eastAsia="zh-CN" w:bidi="ar"/>
                    </w:rPr>
                  </w:pPr>
                  <w:r>
                    <w:rPr>
                      <w:rFonts w:hint="eastAsia"/>
                      <w:color w:val="auto"/>
                      <w:kern w:val="0"/>
                      <w:sz w:val="18"/>
                      <w:szCs w:val="18"/>
                      <w:highlight w:val="none"/>
                      <w:lang w:bidi="ar"/>
                    </w:rPr>
                    <w:t>1</w:t>
                  </w:r>
                </w:p>
              </w:tc>
              <w:tc>
                <w:tcPr>
                  <w:tcW w:w="576" w:type="dxa"/>
                  <w:noWrap w:val="0"/>
                  <w:vAlign w:val="center"/>
                </w:tcPr>
                <w:p w14:paraId="31F5EAC2">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val="en-US" w:eastAsia="zh-CN" w:bidi="ar"/>
                    </w:rPr>
                    <w:t>3</w:t>
                  </w:r>
                  <w:r>
                    <w:rPr>
                      <w:rFonts w:hint="eastAsia"/>
                      <w:color w:val="auto"/>
                      <w:kern w:val="0"/>
                      <w:sz w:val="18"/>
                      <w:szCs w:val="18"/>
                      <w:highlight w:val="none"/>
                      <w:lang w:bidi="ar"/>
                    </w:rPr>
                    <w:t>.</w:t>
                  </w:r>
                  <w:r>
                    <w:rPr>
                      <w:rFonts w:hint="eastAsia"/>
                      <w:color w:val="auto"/>
                      <w:kern w:val="0"/>
                      <w:sz w:val="18"/>
                      <w:szCs w:val="18"/>
                      <w:highlight w:val="none"/>
                      <w:lang w:val="en-US" w:eastAsia="zh-CN" w:bidi="ar"/>
                    </w:rPr>
                    <w:t>0</w:t>
                  </w:r>
                  <w:r>
                    <w:rPr>
                      <w:rFonts w:hint="eastAsia"/>
                      <w:color w:val="auto"/>
                      <w:kern w:val="0"/>
                      <w:sz w:val="18"/>
                      <w:szCs w:val="18"/>
                      <w:highlight w:val="none"/>
                      <w:lang w:bidi="ar"/>
                    </w:rPr>
                    <w:t>m</w:t>
                  </w:r>
                </w:p>
              </w:tc>
              <w:tc>
                <w:tcPr>
                  <w:tcW w:w="728" w:type="dxa"/>
                  <w:noWrap w:val="0"/>
                  <w:vAlign w:val="center"/>
                </w:tcPr>
                <w:p w14:paraId="51AF9E3B">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60.5</w:t>
                  </w:r>
                </w:p>
              </w:tc>
              <w:tc>
                <w:tcPr>
                  <w:tcW w:w="394" w:type="dxa"/>
                  <w:vMerge w:val="restart"/>
                  <w:noWrap w:val="0"/>
                  <w:vAlign w:val="center"/>
                </w:tcPr>
                <w:p w14:paraId="3CAD3BE6">
                  <w:pPr>
                    <w:widowControl/>
                    <w:spacing w:line="240" w:lineRule="exact"/>
                    <w:jc w:val="center"/>
                    <w:textAlignment w:val="center"/>
                    <w:rPr>
                      <w:color w:val="auto"/>
                      <w:sz w:val="18"/>
                      <w:szCs w:val="18"/>
                      <w:highlight w:val="none"/>
                    </w:rPr>
                  </w:pPr>
                  <w:r>
                    <w:rPr>
                      <w:rFonts w:hint="eastAsia"/>
                      <w:color w:val="auto"/>
                      <w:sz w:val="18"/>
                      <w:szCs w:val="18"/>
                      <w:highlight w:val="none"/>
                    </w:rPr>
                    <w:t>昼间</w:t>
                  </w:r>
                </w:p>
              </w:tc>
              <w:tc>
                <w:tcPr>
                  <w:tcW w:w="728" w:type="dxa"/>
                  <w:vMerge w:val="restart"/>
                  <w:noWrap/>
                  <w:vAlign w:val="center"/>
                </w:tcPr>
                <w:p w14:paraId="13E592E4">
                  <w:pPr>
                    <w:widowControl/>
                    <w:spacing w:line="240" w:lineRule="exact"/>
                    <w:jc w:val="center"/>
                    <w:textAlignment w:val="center"/>
                    <w:rPr>
                      <w:color w:val="auto"/>
                      <w:sz w:val="18"/>
                      <w:szCs w:val="18"/>
                      <w:highlight w:val="none"/>
                    </w:rPr>
                  </w:pPr>
                  <w:r>
                    <w:rPr>
                      <w:rFonts w:hint="eastAsia"/>
                      <w:color w:val="auto"/>
                      <w:kern w:val="0"/>
                      <w:sz w:val="18"/>
                      <w:szCs w:val="18"/>
                      <w:highlight w:val="none"/>
                      <w:lang w:bidi="ar"/>
                    </w:rPr>
                    <w:t>20</w:t>
                  </w:r>
                </w:p>
              </w:tc>
              <w:tc>
                <w:tcPr>
                  <w:tcW w:w="728" w:type="dxa"/>
                  <w:noWrap/>
                  <w:vAlign w:val="center"/>
                </w:tcPr>
                <w:p w14:paraId="4C955BAD">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40.5</w:t>
                  </w:r>
                </w:p>
              </w:tc>
              <w:tc>
                <w:tcPr>
                  <w:tcW w:w="444" w:type="dxa"/>
                  <w:vMerge w:val="restart"/>
                  <w:noWrap/>
                  <w:vAlign w:val="center"/>
                </w:tcPr>
                <w:p w14:paraId="3E47449C">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0m</w:t>
                  </w:r>
                </w:p>
              </w:tc>
            </w:tr>
            <w:tr w14:paraId="51B05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394" w:type="dxa"/>
                  <w:noWrap w:val="0"/>
                  <w:vAlign w:val="center"/>
                </w:tcPr>
                <w:p w14:paraId="509D17BC">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kern w:val="0"/>
                      <w:sz w:val="18"/>
                      <w:szCs w:val="18"/>
                      <w:highlight w:val="none"/>
                      <w:lang w:val="en-US" w:eastAsia="zh-CN" w:bidi="ar"/>
                    </w:rPr>
                    <w:t>2</w:t>
                  </w:r>
                </w:p>
              </w:tc>
              <w:tc>
                <w:tcPr>
                  <w:tcW w:w="394" w:type="dxa"/>
                  <w:vMerge w:val="continue"/>
                  <w:noWrap w:val="0"/>
                  <w:vAlign w:val="center"/>
                </w:tcPr>
                <w:p w14:paraId="196E9D97">
                  <w:pPr>
                    <w:widowControl/>
                    <w:spacing w:line="240" w:lineRule="exact"/>
                    <w:jc w:val="center"/>
                    <w:textAlignment w:val="center"/>
                    <w:rPr>
                      <w:color w:val="auto"/>
                      <w:sz w:val="18"/>
                      <w:szCs w:val="18"/>
                      <w:highlight w:val="none"/>
                    </w:rPr>
                  </w:pPr>
                </w:p>
              </w:tc>
              <w:tc>
                <w:tcPr>
                  <w:tcW w:w="542" w:type="dxa"/>
                  <w:noWrap w:val="0"/>
                  <w:vAlign w:val="center"/>
                </w:tcPr>
                <w:p w14:paraId="7B97A701">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清洗驱动</w:t>
                  </w:r>
                </w:p>
              </w:tc>
              <w:tc>
                <w:tcPr>
                  <w:tcW w:w="506" w:type="dxa"/>
                  <w:noWrap w:val="0"/>
                  <w:vAlign w:val="center"/>
                </w:tcPr>
                <w:p w14:paraId="6A05A796">
                  <w:pPr>
                    <w:widowControl/>
                    <w:spacing w:line="240" w:lineRule="exact"/>
                    <w:jc w:val="center"/>
                    <w:textAlignment w:val="center"/>
                    <w:rPr>
                      <w:color w:val="auto"/>
                      <w:sz w:val="18"/>
                      <w:szCs w:val="18"/>
                      <w:highlight w:val="none"/>
                    </w:rPr>
                  </w:pPr>
                  <w:r>
                    <w:rPr>
                      <w:rFonts w:hint="eastAsia"/>
                      <w:color w:val="auto"/>
                      <w:kern w:val="0"/>
                      <w:sz w:val="18"/>
                      <w:szCs w:val="18"/>
                      <w:highlight w:val="none"/>
                      <w:lang w:bidi="ar"/>
                    </w:rPr>
                    <w:t>2.2kw</w:t>
                  </w:r>
                </w:p>
              </w:tc>
              <w:tc>
                <w:tcPr>
                  <w:tcW w:w="679" w:type="dxa"/>
                  <w:noWrap/>
                  <w:vAlign w:val="center"/>
                </w:tcPr>
                <w:p w14:paraId="54B09D7A">
                  <w:pPr>
                    <w:widowControl/>
                    <w:spacing w:line="240" w:lineRule="exact"/>
                    <w:jc w:val="center"/>
                    <w:textAlignment w:val="center"/>
                    <w:rPr>
                      <w:rFonts w:hint="default" w:eastAsia="宋体"/>
                      <w:color w:val="auto"/>
                      <w:sz w:val="18"/>
                      <w:szCs w:val="18"/>
                      <w:highlight w:val="none"/>
                      <w:lang w:val="en-US" w:eastAsia="zh-CN"/>
                    </w:rPr>
                  </w:pPr>
                  <w:r>
                    <w:rPr>
                      <w:rFonts w:hint="eastAsia"/>
                      <w:color w:val="auto"/>
                      <w:kern w:val="0"/>
                      <w:sz w:val="18"/>
                      <w:szCs w:val="18"/>
                      <w:highlight w:val="none"/>
                      <w:lang w:val="en-US" w:eastAsia="zh-CN" w:bidi="ar"/>
                    </w:rPr>
                    <w:t>85</w:t>
                  </w:r>
                </w:p>
              </w:tc>
              <w:tc>
                <w:tcPr>
                  <w:tcW w:w="570" w:type="dxa"/>
                  <w:vMerge w:val="continue"/>
                  <w:noWrap w:val="0"/>
                  <w:vAlign w:val="center"/>
                </w:tcPr>
                <w:p w14:paraId="67155A73">
                  <w:pPr>
                    <w:widowControl/>
                    <w:spacing w:line="240" w:lineRule="exact"/>
                    <w:jc w:val="center"/>
                    <w:textAlignment w:val="center"/>
                    <w:rPr>
                      <w:color w:val="auto"/>
                      <w:sz w:val="18"/>
                      <w:szCs w:val="18"/>
                      <w:highlight w:val="none"/>
                    </w:rPr>
                  </w:pPr>
                </w:p>
              </w:tc>
              <w:tc>
                <w:tcPr>
                  <w:tcW w:w="664" w:type="dxa"/>
                  <w:noWrap w:val="0"/>
                  <w:vAlign w:val="center"/>
                </w:tcPr>
                <w:p w14:paraId="4C241E7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58.61</w:t>
                  </w:r>
                </w:p>
              </w:tc>
              <w:tc>
                <w:tcPr>
                  <w:tcW w:w="693" w:type="dxa"/>
                  <w:noWrap w:val="0"/>
                  <w:vAlign w:val="center"/>
                </w:tcPr>
                <w:p w14:paraId="416DACEB">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48.94</w:t>
                  </w:r>
                </w:p>
              </w:tc>
              <w:tc>
                <w:tcPr>
                  <w:tcW w:w="437" w:type="dxa"/>
                  <w:noWrap w:val="0"/>
                  <w:vAlign w:val="center"/>
                </w:tcPr>
                <w:p w14:paraId="0109F86E">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1</w:t>
                  </w:r>
                </w:p>
              </w:tc>
              <w:tc>
                <w:tcPr>
                  <w:tcW w:w="576" w:type="dxa"/>
                  <w:noWrap w:val="0"/>
                  <w:vAlign w:val="center"/>
                </w:tcPr>
                <w:p w14:paraId="3AE1D7E7">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2.5</w:t>
                  </w:r>
                </w:p>
              </w:tc>
              <w:tc>
                <w:tcPr>
                  <w:tcW w:w="728" w:type="dxa"/>
                  <w:noWrap w:val="0"/>
                  <w:vAlign w:val="center"/>
                </w:tcPr>
                <w:p w14:paraId="68D3236F">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77</w:t>
                  </w:r>
                </w:p>
              </w:tc>
              <w:tc>
                <w:tcPr>
                  <w:tcW w:w="394" w:type="dxa"/>
                  <w:vMerge w:val="continue"/>
                  <w:noWrap w:val="0"/>
                  <w:vAlign w:val="center"/>
                </w:tcPr>
                <w:p w14:paraId="62FF57FB">
                  <w:pPr>
                    <w:widowControl/>
                    <w:spacing w:line="240" w:lineRule="exact"/>
                    <w:jc w:val="center"/>
                    <w:textAlignment w:val="center"/>
                    <w:rPr>
                      <w:rFonts w:hint="eastAsia"/>
                      <w:color w:val="auto"/>
                      <w:sz w:val="18"/>
                      <w:szCs w:val="18"/>
                      <w:highlight w:val="none"/>
                    </w:rPr>
                  </w:pPr>
                </w:p>
              </w:tc>
              <w:tc>
                <w:tcPr>
                  <w:tcW w:w="728" w:type="dxa"/>
                  <w:vMerge w:val="continue"/>
                  <w:noWrap/>
                  <w:vAlign w:val="center"/>
                </w:tcPr>
                <w:p w14:paraId="3E043ABA">
                  <w:pPr>
                    <w:widowControl/>
                    <w:spacing w:line="240" w:lineRule="exact"/>
                    <w:jc w:val="center"/>
                    <w:textAlignment w:val="center"/>
                    <w:rPr>
                      <w:color w:val="auto"/>
                      <w:sz w:val="18"/>
                      <w:szCs w:val="18"/>
                      <w:highlight w:val="none"/>
                    </w:rPr>
                  </w:pPr>
                </w:p>
              </w:tc>
              <w:tc>
                <w:tcPr>
                  <w:tcW w:w="728" w:type="dxa"/>
                  <w:noWrap/>
                  <w:vAlign w:val="center"/>
                </w:tcPr>
                <w:p w14:paraId="39F598AE">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57</w:t>
                  </w:r>
                </w:p>
              </w:tc>
              <w:tc>
                <w:tcPr>
                  <w:tcW w:w="444" w:type="dxa"/>
                  <w:vMerge w:val="continue"/>
                  <w:noWrap/>
                  <w:vAlign w:val="center"/>
                </w:tcPr>
                <w:p w14:paraId="2FA7D6F6">
                  <w:pPr>
                    <w:widowControl/>
                    <w:spacing w:line="240" w:lineRule="exact"/>
                    <w:jc w:val="center"/>
                    <w:textAlignment w:val="center"/>
                    <w:rPr>
                      <w:rFonts w:hint="eastAsia"/>
                      <w:color w:val="auto"/>
                      <w:kern w:val="0"/>
                      <w:sz w:val="18"/>
                      <w:szCs w:val="18"/>
                      <w:highlight w:val="none"/>
                      <w:lang w:bidi="ar"/>
                    </w:rPr>
                  </w:pPr>
                </w:p>
              </w:tc>
            </w:tr>
            <w:tr w14:paraId="572EF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394" w:type="dxa"/>
                  <w:noWrap w:val="0"/>
                  <w:vAlign w:val="center"/>
                </w:tcPr>
                <w:p w14:paraId="00B05C87">
                  <w:pPr>
                    <w:widowControl/>
                    <w:spacing w:line="240" w:lineRule="exact"/>
                    <w:jc w:val="center"/>
                    <w:textAlignment w:val="center"/>
                    <w:rPr>
                      <w:rFonts w:hint="eastAsia"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3</w:t>
                  </w:r>
                </w:p>
              </w:tc>
              <w:tc>
                <w:tcPr>
                  <w:tcW w:w="394" w:type="dxa"/>
                  <w:vMerge w:val="continue"/>
                  <w:noWrap w:val="0"/>
                  <w:vAlign w:val="center"/>
                </w:tcPr>
                <w:p w14:paraId="35C82F1D">
                  <w:pPr>
                    <w:widowControl/>
                    <w:spacing w:line="240" w:lineRule="exact"/>
                    <w:jc w:val="center"/>
                    <w:textAlignment w:val="center"/>
                    <w:rPr>
                      <w:color w:val="auto"/>
                      <w:kern w:val="0"/>
                      <w:sz w:val="18"/>
                      <w:szCs w:val="18"/>
                      <w:highlight w:val="none"/>
                      <w:lang w:bidi="ar"/>
                    </w:rPr>
                  </w:pPr>
                </w:p>
              </w:tc>
              <w:tc>
                <w:tcPr>
                  <w:tcW w:w="542" w:type="dxa"/>
                  <w:noWrap w:val="0"/>
                  <w:vAlign w:val="center"/>
                </w:tcPr>
                <w:p w14:paraId="5921FCFE">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喷淋清洗泵1</w:t>
                  </w:r>
                </w:p>
              </w:tc>
              <w:tc>
                <w:tcPr>
                  <w:tcW w:w="506" w:type="dxa"/>
                  <w:vMerge w:val="restart"/>
                  <w:noWrap w:val="0"/>
                  <w:vAlign w:val="center"/>
                </w:tcPr>
                <w:p w14:paraId="382BEBF7">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4.0kw</w:t>
                  </w:r>
                </w:p>
              </w:tc>
              <w:tc>
                <w:tcPr>
                  <w:tcW w:w="679" w:type="dxa"/>
                  <w:noWrap/>
                  <w:vAlign w:val="center"/>
                </w:tcPr>
                <w:p w14:paraId="330A6F09">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85</w:t>
                  </w:r>
                </w:p>
              </w:tc>
              <w:tc>
                <w:tcPr>
                  <w:tcW w:w="570" w:type="dxa"/>
                  <w:vMerge w:val="continue"/>
                  <w:noWrap w:val="0"/>
                  <w:vAlign w:val="center"/>
                </w:tcPr>
                <w:p w14:paraId="5C7C919A">
                  <w:pPr>
                    <w:widowControl/>
                    <w:spacing w:line="240" w:lineRule="exact"/>
                    <w:jc w:val="center"/>
                    <w:textAlignment w:val="center"/>
                    <w:rPr>
                      <w:color w:val="auto"/>
                      <w:sz w:val="18"/>
                      <w:szCs w:val="18"/>
                      <w:highlight w:val="none"/>
                    </w:rPr>
                  </w:pPr>
                </w:p>
              </w:tc>
              <w:tc>
                <w:tcPr>
                  <w:tcW w:w="664" w:type="dxa"/>
                  <w:noWrap w:val="0"/>
                  <w:vAlign w:val="center"/>
                </w:tcPr>
                <w:p w14:paraId="1A5C4293">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val="en-US" w:eastAsia="zh-CN" w:bidi="ar"/>
                    </w:rPr>
                    <w:t>50.23</w:t>
                  </w:r>
                </w:p>
              </w:tc>
              <w:tc>
                <w:tcPr>
                  <w:tcW w:w="693" w:type="dxa"/>
                  <w:noWrap w:val="0"/>
                  <w:vAlign w:val="center"/>
                </w:tcPr>
                <w:p w14:paraId="3774E4C3">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val="en-US" w:eastAsia="zh-CN" w:bidi="ar"/>
                    </w:rPr>
                    <w:t>44.27</w:t>
                  </w:r>
                </w:p>
              </w:tc>
              <w:tc>
                <w:tcPr>
                  <w:tcW w:w="437" w:type="dxa"/>
                  <w:noWrap w:val="0"/>
                  <w:vAlign w:val="center"/>
                </w:tcPr>
                <w:p w14:paraId="55A33A81">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0.3</w:t>
                  </w:r>
                </w:p>
              </w:tc>
              <w:tc>
                <w:tcPr>
                  <w:tcW w:w="576" w:type="dxa"/>
                  <w:noWrap w:val="0"/>
                  <w:vAlign w:val="center"/>
                </w:tcPr>
                <w:p w14:paraId="27B3FF5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w:t>
                  </w:r>
                </w:p>
              </w:tc>
              <w:tc>
                <w:tcPr>
                  <w:tcW w:w="728" w:type="dxa"/>
                  <w:noWrap w:val="0"/>
                  <w:vAlign w:val="center"/>
                </w:tcPr>
                <w:p w14:paraId="7CE12DF4">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79</w:t>
                  </w:r>
                </w:p>
              </w:tc>
              <w:tc>
                <w:tcPr>
                  <w:tcW w:w="394" w:type="dxa"/>
                  <w:vMerge w:val="continue"/>
                  <w:noWrap w:val="0"/>
                  <w:vAlign w:val="center"/>
                </w:tcPr>
                <w:p w14:paraId="711A157E">
                  <w:pPr>
                    <w:widowControl/>
                    <w:spacing w:line="240" w:lineRule="exact"/>
                    <w:jc w:val="center"/>
                    <w:textAlignment w:val="center"/>
                    <w:rPr>
                      <w:color w:val="auto"/>
                      <w:kern w:val="0"/>
                      <w:sz w:val="18"/>
                      <w:szCs w:val="18"/>
                      <w:highlight w:val="none"/>
                      <w:lang w:bidi="ar"/>
                    </w:rPr>
                  </w:pPr>
                </w:p>
              </w:tc>
              <w:tc>
                <w:tcPr>
                  <w:tcW w:w="728" w:type="dxa"/>
                  <w:vMerge w:val="continue"/>
                  <w:noWrap/>
                  <w:vAlign w:val="center"/>
                </w:tcPr>
                <w:p w14:paraId="7210FD73">
                  <w:pPr>
                    <w:widowControl/>
                    <w:spacing w:line="240" w:lineRule="exact"/>
                    <w:jc w:val="center"/>
                    <w:textAlignment w:val="center"/>
                    <w:rPr>
                      <w:color w:val="auto"/>
                      <w:kern w:val="0"/>
                      <w:sz w:val="18"/>
                      <w:szCs w:val="18"/>
                      <w:highlight w:val="none"/>
                      <w:lang w:bidi="ar"/>
                    </w:rPr>
                  </w:pPr>
                </w:p>
              </w:tc>
              <w:tc>
                <w:tcPr>
                  <w:tcW w:w="728" w:type="dxa"/>
                  <w:noWrap/>
                  <w:vAlign w:val="center"/>
                </w:tcPr>
                <w:p w14:paraId="1FB60842">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59</w:t>
                  </w:r>
                </w:p>
              </w:tc>
              <w:tc>
                <w:tcPr>
                  <w:tcW w:w="444" w:type="dxa"/>
                  <w:vMerge w:val="continue"/>
                  <w:noWrap/>
                  <w:vAlign w:val="center"/>
                </w:tcPr>
                <w:p w14:paraId="31D5DA19">
                  <w:pPr>
                    <w:widowControl/>
                    <w:spacing w:line="240" w:lineRule="exact"/>
                    <w:jc w:val="center"/>
                    <w:textAlignment w:val="center"/>
                    <w:rPr>
                      <w:color w:val="auto"/>
                      <w:kern w:val="0"/>
                      <w:sz w:val="18"/>
                      <w:szCs w:val="18"/>
                      <w:highlight w:val="none"/>
                      <w:lang w:bidi="ar"/>
                    </w:rPr>
                  </w:pPr>
                </w:p>
              </w:tc>
            </w:tr>
            <w:tr w14:paraId="1188D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394" w:type="dxa"/>
                  <w:noWrap w:val="0"/>
                  <w:vAlign w:val="center"/>
                </w:tcPr>
                <w:p w14:paraId="661C653C">
                  <w:pPr>
                    <w:widowControl/>
                    <w:spacing w:line="240" w:lineRule="exact"/>
                    <w:jc w:val="center"/>
                    <w:textAlignment w:val="center"/>
                    <w:rPr>
                      <w:rFonts w:hint="eastAsia"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4</w:t>
                  </w:r>
                </w:p>
              </w:tc>
              <w:tc>
                <w:tcPr>
                  <w:tcW w:w="394" w:type="dxa"/>
                  <w:vMerge w:val="continue"/>
                  <w:noWrap w:val="0"/>
                  <w:vAlign w:val="center"/>
                </w:tcPr>
                <w:p w14:paraId="596053D3">
                  <w:pPr>
                    <w:spacing w:line="240" w:lineRule="exact"/>
                    <w:jc w:val="center"/>
                    <w:rPr>
                      <w:color w:val="auto"/>
                      <w:sz w:val="18"/>
                      <w:szCs w:val="18"/>
                      <w:highlight w:val="none"/>
                    </w:rPr>
                  </w:pPr>
                </w:p>
              </w:tc>
              <w:tc>
                <w:tcPr>
                  <w:tcW w:w="542" w:type="dxa"/>
                  <w:noWrap w:val="0"/>
                  <w:vAlign w:val="center"/>
                </w:tcPr>
                <w:p w14:paraId="41668D0C">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喷淋清洗泵2</w:t>
                  </w:r>
                </w:p>
              </w:tc>
              <w:tc>
                <w:tcPr>
                  <w:tcW w:w="506" w:type="dxa"/>
                  <w:vMerge w:val="continue"/>
                  <w:noWrap w:val="0"/>
                  <w:vAlign w:val="center"/>
                </w:tcPr>
                <w:p w14:paraId="1C735B02">
                  <w:pPr>
                    <w:widowControl/>
                    <w:spacing w:line="240" w:lineRule="exact"/>
                    <w:jc w:val="center"/>
                    <w:textAlignment w:val="center"/>
                    <w:rPr>
                      <w:color w:val="auto"/>
                      <w:sz w:val="18"/>
                      <w:szCs w:val="18"/>
                      <w:highlight w:val="none"/>
                    </w:rPr>
                  </w:pPr>
                </w:p>
              </w:tc>
              <w:tc>
                <w:tcPr>
                  <w:tcW w:w="679" w:type="dxa"/>
                  <w:noWrap/>
                  <w:vAlign w:val="center"/>
                </w:tcPr>
                <w:p w14:paraId="511A0026">
                  <w:pPr>
                    <w:widowControl/>
                    <w:spacing w:line="240" w:lineRule="exact"/>
                    <w:jc w:val="center"/>
                    <w:textAlignment w:val="center"/>
                    <w:rPr>
                      <w:rFonts w:hint="eastAsia" w:eastAsia="宋体"/>
                      <w:color w:val="auto"/>
                      <w:sz w:val="18"/>
                      <w:szCs w:val="18"/>
                      <w:highlight w:val="none"/>
                      <w:lang w:eastAsia="zh-CN"/>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0</w:t>
                  </w:r>
                </w:p>
              </w:tc>
              <w:tc>
                <w:tcPr>
                  <w:tcW w:w="570" w:type="dxa"/>
                  <w:vMerge w:val="continue"/>
                  <w:noWrap w:val="0"/>
                  <w:vAlign w:val="center"/>
                </w:tcPr>
                <w:p w14:paraId="35D037FC">
                  <w:pPr>
                    <w:widowControl/>
                    <w:spacing w:line="240" w:lineRule="exact"/>
                    <w:jc w:val="center"/>
                    <w:textAlignment w:val="center"/>
                    <w:rPr>
                      <w:color w:val="auto"/>
                      <w:sz w:val="18"/>
                      <w:szCs w:val="18"/>
                      <w:highlight w:val="none"/>
                    </w:rPr>
                  </w:pPr>
                </w:p>
              </w:tc>
              <w:tc>
                <w:tcPr>
                  <w:tcW w:w="664" w:type="dxa"/>
                  <w:noWrap w:val="0"/>
                  <w:vAlign w:val="center"/>
                </w:tcPr>
                <w:p w14:paraId="06C5D8A5">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60.32</w:t>
                  </w:r>
                </w:p>
              </w:tc>
              <w:tc>
                <w:tcPr>
                  <w:tcW w:w="693" w:type="dxa"/>
                  <w:noWrap w:val="0"/>
                  <w:vAlign w:val="center"/>
                </w:tcPr>
                <w:p w14:paraId="246CE824">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20.05</w:t>
                  </w:r>
                </w:p>
              </w:tc>
              <w:tc>
                <w:tcPr>
                  <w:tcW w:w="437" w:type="dxa"/>
                  <w:noWrap w:val="0"/>
                  <w:vAlign w:val="center"/>
                </w:tcPr>
                <w:p w14:paraId="664106C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0.3</w:t>
                  </w:r>
                </w:p>
              </w:tc>
              <w:tc>
                <w:tcPr>
                  <w:tcW w:w="576" w:type="dxa"/>
                  <w:noWrap w:val="0"/>
                  <w:vAlign w:val="center"/>
                </w:tcPr>
                <w:p w14:paraId="16C3146C">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w:t>
                  </w:r>
                </w:p>
              </w:tc>
              <w:tc>
                <w:tcPr>
                  <w:tcW w:w="728" w:type="dxa"/>
                  <w:noWrap w:val="0"/>
                  <w:vAlign w:val="center"/>
                </w:tcPr>
                <w:p w14:paraId="2C2D3BA1">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84</w:t>
                  </w:r>
                </w:p>
              </w:tc>
              <w:tc>
                <w:tcPr>
                  <w:tcW w:w="394" w:type="dxa"/>
                  <w:vMerge w:val="continue"/>
                  <w:noWrap w:val="0"/>
                  <w:vAlign w:val="center"/>
                </w:tcPr>
                <w:p w14:paraId="50494B76">
                  <w:pPr>
                    <w:spacing w:line="240" w:lineRule="exact"/>
                    <w:jc w:val="center"/>
                    <w:rPr>
                      <w:color w:val="auto"/>
                      <w:sz w:val="18"/>
                      <w:szCs w:val="18"/>
                      <w:highlight w:val="none"/>
                    </w:rPr>
                  </w:pPr>
                </w:p>
              </w:tc>
              <w:tc>
                <w:tcPr>
                  <w:tcW w:w="728" w:type="dxa"/>
                  <w:vMerge w:val="continue"/>
                  <w:noWrap/>
                  <w:vAlign w:val="center"/>
                </w:tcPr>
                <w:p w14:paraId="115DCD38">
                  <w:pPr>
                    <w:spacing w:line="240" w:lineRule="exact"/>
                    <w:jc w:val="center"/>
                    <w:rPr>
                      <w:color w:val="auto"/>
                      <w:sz w:val="18"/>
                      <w:szCs w:val="18"/>
                      <w:highlight w:val="none"/>
                    </w:rPr>
                  </w:pPr>
                </w:p>
              </w:tc>
              <w:tc>
                <w:tcPr>
                  <w:tcW w:w="728" w:type="dxa"/>
                  <w:noWrap/>
                  <w:vAlign w:val="center"/>
                </w:tcPr>
                <w:p w14:paraId="4B4EE5CB">
                  <w:pPr>
                    <w:spacing w:line="240" w:lineRule="exact"/>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64</w:t>
                  </w:r>
                </w:p>
              </w:tc>
              <w:tc>
                <w:tcPr>
                  <w:tcW w:w="444" w:type="dxa"/>
                  <w:vMerge w:val="continue"/>
                  <w:noWrap/>
                  <w:vAlign w:val="center"/>
                </w:tcPr>
                <w:p w14:paraId="034D009E">
                  <w:pPr>
                    <w:spacing w:line="240" w:lineRule="exact"/>
                    <w:jc w:val="center"/>
                    <w:rPr>
                      <w:color w:val="auto"/>
                      <w:sz w:val="18"/>
                      <w:szCs w:val="18"/>
                      <w:highlight w:val="none"/>
                    </w:rPr>
                  </w:pPr>
                </w:p>
              </w:tc>
            </w:tr>
            <w:tr w14:paraId="33306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394" w:type="dxa"/>
                  <w:noWrap w:val="0"/>
                  <w:vAlign w:val="center"/>
                </w:tcPr>
                <w:p w14:paraId="2282237C">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sz w:val="18"/>
                      <w:szCs w:val="18"/>
                      <w:highlight w:val="none"/>
                      <w:lang w:val="en-US" w:eastAsia="zh-CN"/>
                    </w:rPr>
                    <w:t>5</w:t>
                  </w:r>
                </w:p>
              </w:tc>
              <w:tc>
                <w:tcPr>
                  <w:tcW w:w="394" w:type="dxa"/>
                  <w:vMerge w:val="continue"/>
                  <w:noWrap w:val="0"/>
                  <w:vAlign w:val="center"/>
                </w:tcPr>
                <w:p w14:paraId="1F1D0B5E">
                  <w:pPr>
                    <w:spacing w:line="240" w:lineRule="exact"/>
                    <w:jc w:val="center"/>
                    <w:rPr>
                      <w:color w:val="auto"/>
                      <w:sz w:val="18"/>
                      <w:szCs w:val="18"/>
                      <w:highlight w:val="none"/>
                    </w:rPr>
                  </w:pPr>
                </w:p>
              </w:tc>
              <w:tc>
                <w:tcPr>
                  <w:tcW w:w="542" w:type="dxa"/>
                  <w:noWrap w:val="0"/>
                  <w:vAlign w:val="center"/>
                </w:tcPr>
                <w:p w14:paraId="0279F896">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喷淋清洗泵3</w:t>
                  </w:r>
                </w:p>
              </w:tc>
              <w:tc>
                <w:tcPr>
                  <w:tcW w:w="506" w:type="dxa"/>
                  <w:vMerge w:val="continue"/>
                  <w:noWrap w:val="0"/>
                  <w:vAlign w:val="center"/>
                </w:tcPr>
                <w:p w14:paraId="291F32C3">
                  <w:pPr>
                    <w:widowControl/>
                    <w:spacing w:line="240" w:lineRule="exact"/>
                    <w:jc w:val="center"/>
                    <w:textAlignment w:val="center"/>
                    <w:rPr>
                      <w:color w:val="auto"/>
                      <w:kern w:val="0"/>
                      <w:sz w:val="18"/>
                      <w:szCs w:val="18"/>
                      <w:highlight w:val="none"/>
                      <w:lang w:bidi="ar"/>
                    </w:rPr>
                  </w:pPr>
                </w:p>
              </w:tc>
              <w:tc>
                <w:tcPr>
                  <w:tcW w:w="679" w:type="dxa"/>
                  <w:noWrap/>
                  <w:vAlign w:val="center"/>
                </w:tcPr>
                <w:p w14:paraId="32123D27">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0</w:t>
                  </w:r>
                </w:p>
              </w:tc>
              <w:tc>
                <w:tcPr>
                  <w:tcW w:w="570" w:type="dxa"/>
                  <w:vMerge w:val="continue"/>
                  <w:noWrap w:val="0"/>
                  <w:vAlign w:val="center"/>
                </w:tcPr>
                <w:p w14:paraId="2B9E172D">
                  <w:pPr>
                    <w:widowControl/>
                    <w:spacing w:line="240" w:lineRule="exact"/>
                    <w:jc w:val="center"/>
                    <w:textAlignment w:val="center"/>
                    <w:rPr>
                      <w:color w:val="auto"/>
                      <w:kern w:val="0"/>
                      <w:sz w:val="18"/>
                      <w:szCs w:val="18"/>
                      <w:highlight w:val="none"/>
                      <w:lang w:bidi="ar"/>
                    </w:rPr>
                  </w:pPr>
                </w:p>
              </w:tc>
              <w:tc>
                <w:tcPr>
                  <w:tcW w:w="664" w:type="dxa"/>
                  <w:noWrap w:val="0"/>
                  <w:vAlign w:val="center"/>
                </w:tcPr>
                <w:p w14:paraId="7C6B28D5">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44.68</w:t>
                  </w:r>
                </w:p>
              </w:tc>
              <w:tc>
                <w:tcPr>
                  <w:tcW w:w="693" w:type="dxa"/>
                  <w:noWrap w:val="0"/>
                  <w:vAlign w:val="center"/>
                </w:tcPr>
                <w:p w14:paraId="4C990FBF">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37.2</w:t>
                  </w:r>
                </w:p>
              </w:tc>
              <w:tc>
                <w:tcPr>
                  <w:tcW w:w="437" w:type="dxa"/>
                  <w:noWrap w:val="0"/>
                  <w:vAlign w:val="center"/>
                </w:tcPr>
                <w:p w14:paraId="055F1132">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0.3</w:t>
                  </w:r>
                </w:p>
              </w:tc>
              <w:tc>
                <w:tcPr>
                  <w:tcW w:w="576" w:type="dxa"/>
                  <w:noWrap w:val="0"/>
                  <w:vAlign w:val="center"/>
                </w:tcPr>
                <w:p w14:paraId="5414A11F">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w:t>
                  </w:r>
                </w:p>
              </w:tc>
              <w:tc>
                <w:tcPr>
                  <w:tcW w:w="728" w:type="dxa"/>
                  <w:noWrap w:val="0"/>
                  <w:vAlign w:val="center"/>
                </w:tcPr>
                <w:p w14:paraId="2115E39A">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84</w:t>
                  </w:r>
                </w:p>
              </w:tc>
              <w:tc>
                <w:tcPr>
                  <w:tcW w:w="394" w:type="dxa"/>
                  <w:vMerge w:val="continue"/>
                  <w:noWrap w:val="0"/>
                  <w:vAlign w:val="center"/>
                </w:tcPr>
                <w:p w14:paraId="14FAF541">
                  <w:pPr>
                    <w:spacing w:line="240" w:lineRule="exact"/>
                    <w:jc w:val="center"/>
                    <w:rPr>
                      <w:color w:val="auto"/>
                      <w:sz w:val="18"/>
                      <w:szCs w:val="18"/>
                      <w:highlight w:val="none"/>
                    </w:rPr>
                  </w:pPr>
                </w:p>
              </w:tc>
              <w:tc>
                <w:tcPr>
                  <w:tcW w:w="728" w:type="dxa"/>
                  <w:vMerge w:val="continue"/>
                  <w:noWrap/>
                  <w:vAlign w:val="center"/>
                </w:tcPr>
                <w:p w14:paraId="59EF9899">
                  <w:pPr>
                    <w:spacing w:line="240" w:lineRule="exact"/>
                    <w:jc w:val="center"/>
                    <w:rPr>
                      <w:color w:val="auto"/>
                      <w:sz w:val="18"/>
                      <w:szCs w:val="18"/>
                      <w:highlight w:val="none"/>
                    </w:rPr>
                  </w:pPr>
                </w:p>
              </w:tc>
              <w:tc>
                <w:tcPr>
                  <w:tcW w:w="728" w:type="dxa"/>
                  <w:noWrap/>
                  <w:vAlign w:val="center"/>
                </w:tcPr>
                <w:p w14:paraId="6FDC42BB">
                  <w:pPr>
                    <w:widowControl/>
                    <w:spacing w:line="240" w:lineRule="exact"/>
                    <w:jc w:val="center"/>
                    <w:textAlignment w:val="center"/>
                    <w:rPr>
                      <w:rFonts w:hint="default" w:eastAsia="宋体"/>
                      <w:color w:val="auto"/>
                      <w:sz w:val="18"/>
                      <w:szCs w:val="18"/>
                      <w:highlight w:val="none"/>
                      <w:lang w:val="en-US" w:eastAsia="zh-CN"/>
                    </w:rPr>
                  </w:pPr>
                  <w:r>
                    <w:rPr>
                      <w:rFonts w:hint="eastAsia"/>
                      <w:color w:val="auto"/>
                      <w:kern w:val="0"/>
                      <w:sz w:val="18"/>
                      <w:szCs w:val="18"/>
                      <w:highlight w:val="none"/>
                      <w:lang w:val="en-US" w:eastAsia="zh-CN" w:bidi="ar"/>
                    </w:rPr>
                    <w:t>64</w:t>
                  </w:r>
                </w:p>
              </w:tc>
              <w:tc>
                <w:tcPr>
                  <w:tcW w:w="444" w:type="dxa"/>
                  <w:vMerge w:val="continue"/>
                  <w:noWrap/>
                  <w:vAlign w:val="center"/>
                </w:tcPr>
                <w:p w14:paraId="109EF0AA">
                  <w:pPr>
                    <w:spacing w:line="240" w:lineRule="exact"/>
                    <w:jc w:val="center"/>
                    <w:rPr>
                      <w:color w:val="auto"/>
                      <w:sz w:val="18"/>
                      <w:szCs w:val="18"/>
                      <w:highlight w:val="none"/>
                    </w:rPr>
                  </w:pPr>
                </w:p>
              </w:tc>
            </w:tr>
            <w:tr w14:paraId="227D9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394" w:type="dxa"/>
                  <w:noWrap w:val="0"/>
                  <w:vAlign w:val="center"/>
                </w:tcPr>
                <w:p w14:paraId="36BE942D">
                  <w:pPr>
                    <w:widowControl/>
                    <w:spacing w:line="240" w:lineRule="exact"/>
                    <w:jc w:val="center"/>
                    <w:textAlignment w:val="center"/>
                    <w:rPr>
                      <w:rFonts w:hint="eastAsia"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w:t>
                  </w:r>
                </w:p>
              </w:tc>
              <w:tc>
                <w:tcPr>
                  <w:tcW w:w="394" w:type="dxa"/>
                  <w:vMerge w:val="continue"/>
                  <w:noWrap w:val="0"/>
                  <w:vAlign w:val="center"/>
                </w:tcPr>
                <w:p w14:paraId="0933942E">
                  <w:pPr>
                    <w:spacing w:line="240" w:lineRule="exact"/>
                    <w:jc w:val="center"/>
                    <w:rPr>
                      <w:color w:val="auto"/>
                      <w:sz w:val="18"/>
                      <w:szCs w:val="18"/>
                      <w:highlight w:val="none"/>
                    </w:rPr>
                  </w:pPr>
                </w:p>
              </w:tc>
              <w:tc>
                <w:tcPr>
                  <w:tcW w:w="542" w:type="dxa"/>
                  <w:noWrap w:val="0"/>
                  <w:vAlign w:val="center"/>
                </w:tcPr>
                <w:p w14:paraId="07C45F7D">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喷淋清洗泵4</w:t>
                  </w:r>
                </w:p>
              </w:tc>
              <w:tc>
                <w:tcPr>
                  <w:tcW w:w="506" w:type="dxa"/>
                  <w:vMerge w:val="continue"/>
                  <w:noWrap w:val="0"/>
                  <w:vAlign w:val="center"/>
                </w:tcPr>
                <w:p w14:paraId="2BC4FF57">
                  <w:pPr>
                    <w:widowControl/>
                    <w:spacing w:line="240" w:lineRule="exact"/>
                    <w:jc w:val="center"/>
                    <w:textAlignment w:val="center"/>
                    <w:rPr>
                      <w:color w:val="auto"/>
                      <w:kern w:val="0"/>
                      <w:sz w:val="18"/>
                      <w:szCs w:val="18"/>
                      <w:highlight w:val="none"/>
                      <w:lang w:bidi="ar"/>
                    </w:rPr>
                  </w:pPr>
                </w:p>
              </w:tc>
              <w:tc>
                <w:tcPr>
                  <w:tcW w:w="679" w:type="dxa"/>
                  <w:noWrap/>
                  <w:vAlign w:val="center"/>
                </w:tcPr>
                <w:p w14:paraId="41DDF916">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0</w:t>
                  </w:r>
                </w:p>
              </w:tc>
              <w:tc>
                <w:tcPr>
                  <w:tcW w:w="570" w:type="dxa"/>
                  <w:vMerge w:val="continue"/>
                  <w:noWrap w:val="0"/>
                  <w:vAlign w:val="center"/>
                </w:tcPr>
                <w:p w14:paraId="6FC175D3">
                  <w:pPr>
                    <w:widowControl/>
                    <w:spacing w:line="240" w:lineRule="exact"/>
                    <w:jc w:val="center"/>
                    <w:textAlignment w:val="center"/>
                    <w:rPr>
                      <w:color w:val="auto"/>
                      <w:kern w:val="0"/>
                      <w:sz w:val="18"/>
                      <w:szCs w:val="18"/>
                      <w:highlight w:val="none"/>
                      <w:lang w:bidi="ar"/>
                    </w:rPr>
                  </w:pPr>
                </w:p>
              </w:tc>
              <w:tc>
                <w:tcPr>
                  <w:tcW w:w="664" w:type="dxa"/>
                  <w:noWrap w:val="0"/>
                  <w:vAlign w:val="center"/>
                </w:tcPr>
                <w:p w14:paraId="37DD3513">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53.07</w:t>
                  </w:r>
                </w:p>
              </w:tc>
              <w:tc>
                <w:tcPr>
                  <w:tcW w:w="693" w:type="dxa"/>
                  <w:noWrap w:val="0"/>
                  <w:vAlign w:val="center"/>
                </w:tcPr>
                <w:p w14:paraId="5CDCB9EC">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17.4</w:t>
                  </w:r>
                </w:p>
              </w:tc>
              <w:tc>
                <w:tcPr>
                  <w:tcW w:w="437" w:type="dxa"/>
                  <w:noWrap w:val="0"/>
                  <w:vAlign w:val="center"/>
                </w:tcPr>
                <w:p w14:paraId="61B2A975">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0.3</w:t>
                  </w:r>
                </w:p>
              </w:tc>
              <w:tc>
                <w:tcPr>
                  <w:tcW w:w="576" w:type="dxa"/>
                  <w:noWrap w:val="0"/>
                  <w:vAlign w:val="center"/>
                </w:tcPr>
                <w:p w14:paraId="7EBC2036">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w:t>
                  </w:r>
                </w:p>
              </w:tc>
              <w:tc>
                <w:tcPr>
                  <w:tcW w:w="728" w:type="dxa"/>
                  <w:noWrap w:val="0"/>
                  <w:vAlign w:val="center"/>
                </w:tcPr>
                <w:p w14:paraId="66613E17">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84</w:t>
                  </w:r>
                </w:p>
              </w:tc>
              <w:tc>
                <w:tcPr>
                  <w:tcW w:w="394" w:type="dxa"/>
                  <w:vMerge w:val="continue"/>
                  <w:noWrap w:val="0"/>
                  <w:vAlign w:val="center"/>
                </w:tcPr>
                <w:p w14:paraId="526B21EF">
                  <w:pPr>
                    <w:spacing w:line="240" w:lineRule="exact"/>
                    <w:jc w:val="center"/>
                    <w:rPr>
                      <w:color w:val="auto"/>
                      <w:sz w:val="18"/>
                      <w:szCs w:val="18"/>
                      <w:highlight w:val="none"/>
                    </w:rPr>
                  </w:pPr>
                </w:p>
              </w:tc>
              <w:tc>
                <w:tcPr>
                  <w:tcW w:w="728" w:type="dxa"/>
                  <w:vMerge w:val="continue"/>
                  <w:noWrap/>
                  <w:vAlign w:val="center"/>
                </w:tcPr>
                <w:p w14:paraId="28AAC174">
                  <w:pPr>
                    <w:spacing w:line="240" w:lineRule="exact"/>
                    <w:jc w:val="center"/>
                    <w:rPr>
                      <w:color w:val="auto"/>
                      <w:sz w:val="18"/>
                      <w:szCs w:val="18"/>
                      <w:highlight w:val="none"/>
                    </w:rPr>
                  </w:pPr>
                </w:p>
              </w:tc>
              <w:tc>
                <w:tcPr>
                  <w:tcW w:w="728" w:type="dxa"/>
                  <w:noWrap/>
                  <w:vAlign w:val="center"/>
                </w:tcPr>
                <w:p w14:paraId="694B88A2">
                  <w:pPr>
                    <w:spacing w:line="240" w:lineRule="exact"/>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64</w:t>
                  </w:r>
                </w:p>
              </w:tc>
              <w:tc>
                <w:tcPr>
                  <w:tcW w:w="444" w:type="dxa"/>
                  <w:vMerge w:val="continue"/>
                  <w:noWrap/>
                  <w:vAlign w:val="center"/>
                </w:tcPr>
                <w:p w14:paraId="34191FFA">
                  <w:pPr>
                    <w:spacing w:line="240" w:lineRule="exact"/>
                    <w:jc w:val="center"/>
                    <w:rPr>
                      <w:color w:val="auto"/>
                      <w:sz w:val="18"/>
                      <w:szCs w:val="18"/>
                      <w:highlight w:val="none"/>
                    </w:rPr>
                  </w:pPr>
                </w:p>
              </w:tc>
            </w:tr>
            <w:tr w14:paraId="4BEF5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394" w:type="dxa"/>
                  <w:noWrap w:val="0"/>
                  <w:vAlign w:val="center"/>
                </w:tcPr>
                <w:p w14:paraId="40E74DC2">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sz w:val="18"/>
                      <w:szCs w:val="18"/>
                      <w:highlight w:val="none"/>
                      <w:lang w:val="en-US" w:eastAsia="zh-CN"/>
                    </w:rPr>
                    <w:t>7</w:t>
                  </w:r>
                </w:p>
              </w:tc>
              <w:tc>
                <w:tcPr>
                  <w:tcW w:w="394" w:type="dxa"/>
                  <w:vMerge w:val="continue"/>
                  <w:noWrap w:val="0"/>
                  <w:vAlign w:val="center"/>
                </w:tcPr>
                <w:p w14:paraId="2D79AC09">
                  <w:pPr>
                    <w:spacing w:line="240" w:lineRule="exact"/>
                    <w:jc w:val="center"/>
                    <w:rPr>
                      <w:color w:val="auto"/>
                      <w:sz w:val="18"/>
                      <w:szCs w:val="18"/>
                      <w:highlight w:val="none"/>
                    </w:rPr>
                  </w:pPr>
                </w:p>
              </w:tc>
              <w:tc>
                <w:tcPr>
                  <w:tcW w:w="542" w:type="dxa"/>
                  <w:noWrap w:val="0"/>
                  <w:vAlign w:val="center"/>
                </w:tcPr>
                <w:p w14:paraId="6927BACF">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喷淋清洗泵5</w:t>
                  </w:r>
                </w:p>
              </w:tc>
              <w:tc>
                <w:tcPr>
                  <w:tcW w:w="506" w:type="dxa"/>
                  <w:vMerge w:val="continue"/>
                  <w:noWrap w:val="0"/>
                  <w:vAlign w:val="center"/>
                </w:tcPr>
                <w:p w14:paraId="06C96C95">
                  <w:pPr>
                    <w:widowControl/>
                    <w:spacing w:line="240" w:lineRule="exact"/>
                    <w:jc w:val="center"/>
                    <w:textAlignment w:val="center"/>
                    <w:rPr>
                      <w:color w:val="auto"/>
                      <w:sz w:val="18"/>
                      <w:szCs w:val="18"/>
                      <w:highlight w:val="none"/>
                    </w:rPr>
                  </w:pPr>
                </w:p>
              </w:tc>
              <w:tc>
                <w:tcPr>
                  <w:tcW w:w="679" w:type="dxa"/>
                  <w:noWrap/>
                  <w:vAlign w:val="center"/>
                </w:tcPr>
                <w:p w14:paraId="33949C4A">
                  <w:pPr>
                    <w:widowControl/>
                    <w:spacing w:line="240" w:lineRule="exact"/>
                    <w:jc w:val="center"/>
                    <w:textAlignment w:val="center"/>
                    <w:rPr>
                      <w:rFonts w:hint="eastAsia" w:eastAsia="宋体"/>
                      <w:color w:val="auto"/>
                      <w:sz w:val="18"/>
                      <w:szCs w:val="18"/>
                      <w:highlight w:val="none"/>
                      <w:lang w:eastAsia="zh-CN"/>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0</w:t>
                  </w:r>
                </w:p>
              </w:tc>
              <w:tc>
                <w:tcPr>
                  <w:tcW w:w="570" w:type="dxa"/>
                  <w:vMerge w:val="continue"/>
                  <w:noWrap w:val="0"/>
                  <w:vAlign w:val="center"/>
                </w:tcPr>
                <w:p w14:paraId="6FCECD27">
                  <w:pPr>
                    <w:widowControl/>
                    <w:spacing w:line="240" w:lineRule="exact"/>
                    <w:jc w:val="center"/>
                    <w:textAlignment w:val="center"/>
                    <w:rPr>
                      <w:color w:val="auto"/>
                      <w:sz w:val="18"/>
                      <w:szCs w:val="18"/>
                      <w:highlight w:val="none"/>
                    </w:rPr>
                  </w:pPr>
                </w:p>
              </w:tc>
              <w:tc>
                <w:tcPr>
                  <w:tcW w:w="664" w:type="dxa"/>
                  <w:noWrap w:val="0"/>
                  <w:vAlign w:val="center"/>
                </w:tcPr>
                <w:p w14:paraId="1E4BD12C">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64.11</w:t>
                  </w:r>
                </w:p>
              </w:tc>
              <w:tc>
                <w:tcPr>
                  <w:tcW w:w="693" w:type="dxa"/>
                  <w:noWrap w:val="0"/>
                  <w:vAlign w:val="center"/>
                </w:tcPr>
                <w:p w14:paraId="19C935D8">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25.92</w:t>
                  </w:r>
                </w:p>
              </w:tc>
              <w:tc>
                <w:tcPr>
                  <w:tcW w:w="437" w:type="dxa"/>
                  <w:noWrap w:val="0"/>
                  <w:vAlign w:val="center"/>
                </w:tcPr>
                <w:p w14:paraId="44098E63">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0.3</w:t>
                  </w:r>
                </w:p>
              </w:tc>
              <w:tc>
                <w:tcPr>
                  <w:tcW w:w="576" w:type="dxa"/>
                  <w:noWrap w:val="0"/>
                  <w:vAlign w:val="center"/>
                </w:tcPr>
                <w:p w14:paraId="440C3CFB">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2.0</w:t>
                  </w:r>
                </w:p>
              </w:tc>
              <w:tc>
                <w:tcPr>
                  <w:tcW w:w="728" w:type="dxa"/>
                  <w:noWrap w:val="0"/>
                  <w:vAlign w:val="center"/>
                </w:tcPr>
                <w:p w14:paraId="5E62016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84</w:t>
                  </w:r>
                </w:p>
              </w:tc>
              <w:tc>
                <w:tcPr>
                  <w:tcW w:w="394" w:type="dxa"/>
                  <w:vMerge w:val="continue"/>
                  <w:noWrap w:val="0"/>
                  <w:vAlign w:val="center"/>
                </w:tcPr>
                <w:p w14:paraId="4367AB78">
                  <w:pPr>
                    <w:spacing w:line="240" w:lineRule="exact"/>
                    <w:jc w:val="center"/>
                    <w:rPr>
                      <w:color w:val="auto"/>
                      <w:sz w:val="18"/>
                      <w:szCs w:val="18"/>
                      <w:highlight w:val="none"/>
                    </w:rPr>
                  </w:pPr>
                </w:p>
              </w:tc>
              <w:tc>
                <w:tcPr>
                  <w:tcW w:w="728" w:type="dxa"/>
                  <w:vMerge w:val="continue"/>
                  <w:noWrap/>
                  <w:vAlign w:val="center"/>
                </w:tcPr>
                <w:p w14:paraId="0A2C1AF0">
                  <w:pPr>
                    <w:spacing w:line="240" w:lineRule="exact"/>
                    <w:jc w:val="center"/>
                    <w:rPr>
                      <w:color w:val="auto"/>
                      <w:sz w:val="18"/>
                      <w:szCs w:val="18"/>
                      <w:highlight w:val="none"/>
                    </w:rPr>
                  </w:pPr>
                </w:p>
              </w:tc>
              <w:tc>
                <w:tcPr>
                  <w:tcW w:w="728" w:type="dxa"/>
                  <w:noWrap/>
                  <w:vAlign w:val="center"/>
                </w:tcPr>
                <w:p w14:paraId="563938BC">
                  <w:pPr>
                    <w:widowControl/>
                    <w:spacing w:line="240" w:lineRule="exact"/>
                    <w:jc w:val="center"/>
                    <w:textAlignment w:val="center"/>
                    <w:rPr>
                      <w:rFonts w:hint="default" w:eastAsia="宋体"/>
                      <w:color w:val="auto"/>
                      <w:sz w:val="18"/>
                      <w:szCs w:val="18"/>
                      <w:highlight w:val="none"/>
                      <w:lang w:val="en-US" w:eastAsia="zh-CN"/>
                    </w:rPr>
                  </w:pPr>
                  <w:r>
                    <w:rPr>
                      <w:rFonts w:hint="eastAsia"/>
                      <w:color w:val="auto"/>
                      <w:kern w:val="0"/>
                      <w:sz w:val="18"/>
                      <w:szCs w:val="18"/>
                      <w:highlight w:val="none"/>
                      <w:lang w:val="en-US" w:eastAsia="zh-CN" w:bidi="ar"/>
                    </w:rPr>
                    <w:t>64</w:t>
                  </w:r>
                </w:p>
              </w:tc>
              <w:tc>
                <w:tcPr>
                  <w:tcW w:w="444" w:type="dxa"/>
                  <w:vMerge w:val="continue"/>
                  <w:noWrap/>
                  <w:vAlign w:val="center"/>
                </w:tcPr>
                <w:p w14:paraId="0DF3AD9D">
                  <w:pPr>
                    <w:spacing w:line="240" w:lineRule="exact"/>
                    <w:jc w:val="center"/>
                    <w:rPr>
                      <w:color w:val="auto"/>
                      <w:sz w:val="18"/>
                      <w:szCs w:val="18"/>
                      <w:highlight w:val="none"/>
                    </w:rPr>
                  </w:pPr>
                </w:p>
              </w:tc>
            </w:tr>
            <w:tr w14:paraId="0A3A4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394" w:type="dxa"/>
                  <w:noWrap w:val="0"/>
                  <w:vAlign w:val="center"/>
                </w:tcPr>
                <w:p w14:paraId="7B392552">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sz w:val="18"/>
                      <w:szCs w:val="18"/>
                      <w:highlight w:val="none"/>
                      <w:lang w:val="en-US" w:eastAsia="zh-CN"/>
                    </w:rPr>
                    <w:t>8</w:t>
                  </w:r>
                </w:p>
              </w:tc>
              <w:tc>
                <w:tcPr>
                  <w:tcW w:w="394" w:type="dxa"/>
                  <w:vMerge w:val="continue"/>
                  <w:noWrap w:val="0"/>
                  <w:vAlign w:val="center"/>
                </w:tcPr>
                <w:p w14:paraId="6AA51522">
                  <w:pPr>
                    <w:spacing w:line="240" w:lineRule="exact"/>
                    <w:jc w:val="center"/>
                    <w:rPr>
                      <w:color w:val="auto"/>
                      <w:sz w:val="18"/>
                      <w:szCs w:val="18"/>
                      <w:highlight w:val="none"/>
                    </w:rPr>
                  </w:pPr>
                </w:p>
              </w:tc>
              <w:tc>
                <w:tcPr>
                  <w:tcW w:w="542" w:type="dxa"/>
                  <w:noWrap w:val="0"/>
                  <w:vAlign w:val="center"/>
                </w:tcPr>
                <w:p w14:paraId="4A708D5B">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热风循环风机</w:t>
                  </w:r>
                </w:p>
              </w:tc>
              <w:tc>
                <w:tcPr>
                  <w:tcW w:w="506" w:type="dxa"/>
                  <w:noWrap w:val="0"/>
                  <w:vAlign w:val="center"/>
                </w:tcPr>
                <w:p w14:paraId="78EFDCF2">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1.5kw</w:t>
                  </w:r>
                </w:p>
              </w:tc>
              <w:tc>
                <w:tcPr>
                  <w:tcW w:w="679" w:type="dxa"/>
                  <w:noWrap/>
                  <w:vAlign w:val="center"/>
                </w:tcPr>
                <w:p w14:paraId="657625FE">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0</w:t>
                  </w:r>
                </w:p>
              </w:tc>
              <w:tc>
                <w:tcPr>
                  <w:tcW w:w="570" w:type="dxa"/>
                  <w:vMerge w:val="continue"/>
                  <w:noWrap w:val="0"/>
                  <w:vAlign w:val="center"/>
                </w:tcPr>
                <w:p w14:paraId="37BC48C1">
                  <w:pPr>
                    <w:widowControl/>
                    <w:spacing w:line="240" w:lineRule="exact"/>
                    <w:jc w:val="center"/>
                    <w:textAlignment w:val="center"/>
                    <w:rPr>
                      <w:color w:val="auto"/>
                      <w:kern w:val="0"/>
                      <w:sz w:val="18"/>
                      <w:szCs w:val="18"/>
                      <w:highlight w:val="none"/>
                      <w:lang w:bidi="ar"/>
                    </w:rPr>
                  </w:pPr>
                </w:p>
              </w:tc>
              <w:tc>
                <w:tcPr>
                  <w:tcW w:w="664" w:type="dxa"/>
                  <w:noWrap w:val="0"/>
                  <w:vAlign w:val="center"/>
                </w:tcPr>
                <w:p w14:paraId="2A8A20AD">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58.75</w:t>
                  </w:r>
                </w:p>
              </w:tc>
              <w:tc>
                <w:tcPr>
                  <w:tcW w:w="693" w:type="dxa"/>
                  <w:noWrap w:val="0"/>
                  <w:vAlign w:val="center"/>
                </w:tcPr>
                <w:p w14:paraId="3F567430">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17.4</w:t>
                  </w:r>
                </w:p>
              </w:tc>
              <w:tc>
                <w:tcPr>
                  <w:tcW w:w="437" w:type="dxa"/>
                  <w:noWrap w:val="0"/>
                  <w:vAlign w:val="center"/>
                </w:tcPr>
                <w:p w14:paraId="2FECE1D1">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1.</w:t>
                  </w:r>
                  <w:r>
                    <w:rPr>
                      <w:rFonts w:hint="eastAsia"/>
                      <w:color w:val="auto"/>
                      <w:kern w:val="0"/>
                      <w:sz w:val="18"/>
                      <w:szCs w:val="18"/>
                      <w:highlight w:val="none"/>
                      <w:lang w:val="en-US" w:eastAsia="zh-CN" w:bidi="ar"/>
                    </w:rPr>
                    <w:t>2</w:t>
                  </w:r>
                </w:p>
              </w:tc>
              <w:tc>
                <w:tcPr>
                  <w:tcW w:w="576" w:type="dxa"/>
                  <w:noWrap w:val="0"/>
                  <w:vAlign w:val="center"/>
                </w:tcPr>
                <w:p w14:paraId="04F09F85">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2.5</w:t>
                  </w:r>
                </w:p>
              </w:tc>
              <w:tc>
                <w:tcPr>
                  <w:tcW w:w="728" w:type="dxa"/>
                  <w:noWrap w:val="0"/>
                  <w:vAlign w:val="center"/>
                </w:tcPr>
                <w:p w14:paraId="0177C4D7">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82</w:t>
                  </w:r>
                </w:p>
              </w:tc>
              <w:tc>
                <w:tcPr>
                  <w:tcW w:w="394" w:type="dxa"/>
                  <w:vMerge w:val="continue"/>
                  <w:noWrap w:val="0"/>
                  <w:vAlign w:val="center"/>
                </w:tcPr>
                <w:p w14:paraId="00310114">
                  <w:pPr>
                    <w:spacing w:line="240" w:lineRule="exact"/>
                    <w:jc w:val="center"/>
                    <w:rPr>
                      <w:color w:val="auto"/>
                      <w:sz w:val="18"/>
                      <w:szCs w:val="18"/>
                      <w:highlight w:val="none"/>
                    </w:rPr>
                  </w:pPr>
                </w:p>
              </w:tc>
              <w:tc>
                <w:tcPr>
                  <w:tcW w:w="728" w:type="dxa"/>
                  <w:vMerge w:val="continue"/>
                  <w:noWrap/>
                  <w:vAlign w:val="center"/>
                </w:tcPr>
                <w:p w14:paraId="31D03A9B">
                  <w:pPr>
                    <w:spacing w:line="240" w:lineRule="exact"/>
                    <w:jc w:val="center"/>
                    <w:rPr>
                      <w:color w:val="auto"/>
                      <w:sz w:val="18"/>
                      <w:szCs w:val="18"/>
                      <w:highlight w:val="none"/>
                    </w:rPr>
                  </w:pPr>
                </w:p>
              </w:tc>
              <w:tc>
                <w:tcPr>
                  <w:tcW w:w="728" w:type="dxa"/>
                  <w:noWrap/>
                  <w:vAlign w:val="center"/>
                </w:tcPr>
                <w:p w14:paraId="73ABEBA6">
                  <w:pPr>
                    <w:spacing w:line="240" w:lineRule="exact"/>
                    <w:jc w:val="center"/>
                    <w:rPr>
                      <w:rFonts w:hint="eastAsia" w:eastAsia="宋体"/>
                      <w:color w:val="auto"/>
                      <w:sz w:val="18"/>
                      <w:szCs w:val="18"/>
                      <w:highlight w:val="none"/>
                      <w:lang w:eastAsia="zh-CN"/>
                    </w:rPr>
                  </w:pPr>
                  <w:r>
                    <w:rPr>
                      <w:rFonts w:hint="eastAsia"/>
                      <w:color w:val="auto"/>
                      <w:sz w:val="18"/>
                      <w:szCs w:val="18"/>
                      <w:highlight w:val="none"/>
                    </w:rPr>
                    <w:t>6</w:t>
                  </w:r>
                  <w:r>
                    <w:rPr>
                      <w:rFonts w:hint="eastAsia"/>
                      <w:color w:val="auto"/>
                      <w:sz w:val="18"/>
                      <w:szCs w:val="18"/>
                      <w:highlight w:val="none"/>
                      <w:lang w:val="en-US" w:eastAsia="zh-CN"/>
                    </w:rPr>
                    <w:t>2</w:t>
                  </w:r>
                </w:p>
              </w:tc>
              <w:tc>
                <w:tcPr>
                  <w:tcW w:w="444" w:type="dxa"/>
                  <w:vMerge w:val="continue"/>
                  <w:noWrap/>
                  <w:vAlign w:val="center"/>
                </w:tcPr>
                <w:p w14:paraId="2F53BFCF">
                  <w:pPr>
                    <w:spacing w:line="240" w:lineRule="exact"/>
                    <w:jc w:val="center"/>
                    <w:rPr>
                      <w:color w:val="auto"/>
                      <w:sz w:val="18"/>
                      <w:szCs w:val="18"/>
                      <w:highlight w:val="none"/>
                    </w:rPr>
                  </w:pPr>
                </w:p>
              </w:tc>
            </w:tr>
            <w:tr w14:paraId="6076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394" w:type="dxa"/>
                  <w:noWrap w:val="0"/>
                  <w:vAlign w:val="center"/>
                </w:tcPr>
                <w:p w14:paraId="0AEBFFDB">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sz w:val="18"/>
                      <w:szCs w:val="18"/>
                      <w:highlight w:val="none"/>
                      <w:lang w:val="en-US" w:eastAsia="zh-CN"/>
                    </w:rPr>
                    <w:t>9</w:t>
                  </w:r>
                </w:p>
              </w:tc>
              <w:tc>
                <w:tcPr>
                  <w:tcW w:w="394" w:type="dxa"/>
                  <w:vMerge w:val="continue"/>
                  <w:noWrap w:val="0"/>
                  <w:vAlign w:val="center"/>
                </w:tcPr>
                <w:p w14:paraId="4E9B738C">
                  <w:pPr>
                    <w:spacing w:line="240" w:lineRule="exact"/>
                    <w:jc w:val="center"/>
                    <w:rPr>
                      <w:color w:val="auto"/>
                      <w:sz w:val="18"/>
                      <w:szCs w:val="18"/>
                      <w:highlight w:val="none"/>
                    </w:rPr>
                  </w:pPr>
                </w:p>
              </w:tc>
              <w:tc>
                <w:tcPr>
                  <w:tcW w:w="542" w:type="dxa"/>
                  <w:noWrap w:val="0"/>
                  <w:vAlign w:val="center"/>
                </w:tcPr>
                <w:p w14:paraId="4AC10D69">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抽雾风机</w:t>
                  </w:r>
                </w:p>
              </w:tc>
              <w:tc>
                <w:tcPr>
                  <w:tcW w:w="506" w:type="dxa"/>
                  <w:noWrap w:val="0"/>
                  <w:vAlign w:val="center"/>
                </w:tcPr>
                <w:p w14:paraId="25C9A458">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2.2kw</w:t>
                  </w:r>
                </w:p>
              </w:tc>
              <w:tc>
                <w:tcPr>
                  <w:tcW w:w="679" w:type="dxa"/>
                  <w:noWrap/>
                  <w:vAlign w:val="center"/>
                </w:tcPr>
                <w:p w14:paraId="5A1AA0EE">
                  <w:pPr>
                    <w:widowControl/>
                    <w:spacing w:line="240" w:lineRule="exact"/>
                    <w:jc w:val="center"/>
                    <w:textAlignment w:val="center"/>
                    <w:rPr>
                      <w:rFonts w:hint="eastAsia" w:eastAsia="宋体"/>
                      <w:color w:val="auto"/>
                      <w:sz w:val="18"/>
                      <w:szCs w:val="18"/>
                      <w:highlight w:val="none"/>
                      <w:lang w:eastAsia="zh-CN"/>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2</w:t>
                  </w:r>
                </w:p>
              </w:tc>
              <w:tc>
                <w:tcPr>
                  <w:tcW w:w="570" w:type="dxa"/>
                  <w:vMerge w:val="continue"/>
                  <w:noWrap w:val="0"/>
                  <w:vAlign w:val="center"/>
                </w:tcPr>
                <w:p w14:paraId="30573BB5">
                  <w:pPr>
                    <w:widowControl/>
                    <w:spacing w:line="240" w:lineRule="exact"/>
                    <w:jc w:val="center"/>
                    <w:textAlignment w:val="center"/>
                    <w:rPr>
                      <w:color w:val="auto"/>
                      <w:sz w:val="18"/>
                      <w:szCs w:val="18"/>
                      <w:highlight w:val="none"/>
                    </w:rPr>
                  </w:pPr>
                </w:p>
              </w:tc>
              <w:tc>
                <w:tcPr>
                  <w:tcW w:w="664" w:type="dxa"/>
                  <w:noWrap/>
                  <w:vAlign w:val="center"/>
                </w:tcPr>
                <w:p w14:paraId="4C679E1D">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62.22</w:t>
                  </w:r>
                </w:p>
              </w:tc>
              <w:tc>
                <w:tcPr>
                  <w:tcW w:w="693" w:type="dxa"/>
                  <w:noWrap/>
                  <w:vAlign w:val="center"/>
                </w:tcPr>
                <w:p w14:paraId="4ACC245E">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44.52</w:t>
                  </w:r>
                </w:p>
              </w:tc>
              <w:tc>
                <w:tcPr>
                  <w:tcW w:w="437" w:type="dxa"/>
                  <w:noWrap w:val="0"/>
                  <w:vAlign w:val="center"/>
                </w:tcPr>
                <w:p w14:paraId="2F24C4AD">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1.</w:t>
                  </w:r>
                  <w:r>
                    <w:rPr>
                      <w:rFonts w:hint="eastAsia"/>
                      <w:color w:val="auto"/>
                      <w:kern w:val="0"/>
                      <w:sz w:val="18"/>
                      <w:szCs w:val="18"/>
                      <w:highlight w:val="none"/>
                      <w:lang w:val="en-US" w:eastAsia="zh-CN" w:bidi="ar"/>
                    </w:rPr>
                    <w:t>2</w:t>
                  </w:r>
                </w:p>
              </w:tc>
              <w:tc>
                <w:tcPr>
                  <w:tcW w:w="576" w:type="dxa"/>
                  <w:noWrap w:val="0"/>
                  <w:vAlign w:val="center"/>
                </w:tcPr>
                <w:p w14:paraId="1CD18BE6">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2.5</w:t>
                  </w:r>
                </w:p>
              </w:tc>
              <w:tc>
                <w:tcPr>
                  <w:tcW w:w="728" w:type="dxa"/>
                  <w:noWrap w:val="0"/>
                  <w:vAlign w:val="center"/>
                </w:tcPr>
                <w:p w14:paraId="1FC584CE">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84</w:t>
                  </w:r>
                </w:p>
              </w:tc>
              <w:tc>
                <w:tcPr>
                  <w:tcW w:w="394" w:type="dxa"/>
                  <w:vMerge w:val="continue"/>
                  <w:noWrap w:val="0"/>
                  <w:vAlign w:val="center"/>
                </w:tcPr>
                <w:p w14:paraId="1DAA4919">
                  <w:pPr>
                    <w:spacing w:line="240" w:lineRule="exact"/>
                    <w:jc w:val="center"/>
                    <w:rPr>
                      <w:color w:val="auto"/>
                      <w:sz w:val="18"/>
                      <w:szCs w:val="18"/>
                      <w:highlight w:val="none"/>
                    </w:rPr>
                  </w:pPr>
                </w:p>
              </w:tc>
              <w:tc>
                <w:tcPr>
                  <w:tcW w:w="728" w:type="dxa"/>
                  <w:vMerge w:val="continue"/>
                  <w:noWrap/>
                  <w:vAlign w:val="center"/>
                </w:tcPr>
                <w:p w14:paraId="53337033">
                  <w:pPr>
                    <w:spacing w:line="240" w:lineRule="exact"/>
                    <w:jc w:val="center"/>
                    <w:rPr>
                      <w:color w:val="auto"/>
                      <w:sz w:val="18"/>
                      <w:szCs w:val="18"/>
                      <w:highlight w:val="none"/>
                    </w:rPr>
                  </w:pPr>
                </w:p>
              </w:tc>
              <w:tc>
                <w:tcPr>
                  <w:tcW w:w="728" w:type="dxa"/>
                  <w:noWrap/>
                  <w:vAlign w:val="center"/>
                </w:tcPr>
                <w:p w14:paraId="7C6228C8">
                  <w:pPr>
                    <w:spacing w:line="240" w:lineRule="exact"/>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64</w:t>
                  </w:r>
                </w:p>
              </w:tc>
              <w:tc>
                <w:tcPr>
                  <w:tcW w:w="444" w:type="dxa"/>
                  <w:vMerge w:val="continue"/>
                  <w:noWrap/>
                  <w:vAlign w:val="center"/>
                </w:tcPr>
                <w:p w14:paraId="04D893E4">
                  <w:pPr>
                    <w:spacing w:line="240" w:lineRule="exact"/>
                    <w:jc w:val="center"/>
                    <w:rPr>
                      <w:color w:val="auto"/>
                      <w:sz w:val="18"/>
                      <w:szCs w:val="18"/>
                      <w:highlight w:val="none"/>
                    </w:rPr>
                  </w:pPr>
                </w:p>
              </w:tc>
            </w:tr>
            <w:tr w14:paraId="10761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394" w:type="dxa"/>
                  <w:noWrap w:val="0"/>
                  <w:vAlign w:val="center"/>
                </w:tcPr>
                <w:p w14:paraId="420852D7">
                  <w:pPr>
                    <w:widowControl/>
                    <w:spacing w:line="240" w:lineRule="exact"/>
                    <w:jc w:val="center"/>
                    <w:textAlignment w:val="center"/>
                    <w:rPr>
                      <w:rFonts w:hint="eastAsia" w:eastAsia="宋体"/>
                      <w:color w:val="auto"/>
                      <w:kern w:val="2"/>
                      <w:sz w:val="18"/>
                      <w:szCs w:val="18"/>
                      <w:highlight w:val="none"/>
                      <w:lang w:val="en-US" w:eastAsia="zh-CN" w:bidi="ar-SA"/>
                    </w:rPr>
                  </w:pPr>
                  <w:r>
                    <w:rPr>
                      <w:rFonts w:hint="eastAsia"/>
                      <w:color w:val="auto"/>
                      <w:sz w:val="18"/>
                      <w:szCs w:val="18"/>
                      <w:highlight w:val="none"/>
                    </w:rPr>
                    <w:t>1</w:t>
                  </w:r>
                  <w:r>
                    <w:rPr>
                      <w:rFonts w:hint="eastAsia"/>
                      <w:color w:val="auto"/>
                      <w:sz w:val="18"/>
                      <w:szCs w:val="18"/>
                      <w:highlight w:val="none"/>
                      <w:lang w:val="en-US" w:eastAsia="zh-CN"/>
                    </w:rPr>
                    <w:t>0</w:t>
                  </w:r>
                </w:p>
              </w:tc>
              <w:tc>
                <w:tcPr>
                  <w:tcW w:w="394" w:type="dxa"/>
                  <w:vMerge w:val="continue"/>
                  <w:noWrap w:val="0"/>
                  <w:vAlign w:val="center"/>
                </w:tcPr>
                <w:p w14:paraId="6F9B1D9C">
                  <w:pPr>
                    <w:spacing w:line="240" w:lineRule="exact"/>
                    <w:jc w:val="center"/>
                    <w:rPr>
                      <w:color w:val="auto"/>
                      <w:sz w:val="18"/>
                      <w:szCs w:val="18"/>
                      <w:highlight w:val="none"/>
                    </w:rPr>
                  </w:pPr>
                </w:p>
              </w:tc>
              <w:tc>
                <w:tcPr>
                  <w:tcW w:w="542" w:type="dxa"/>
                  <w:noWrap w:val="0"/>
                  <w:vAlign w:val="center"/>
                </w:tcPr>
                <w:p w14:paraId="34569669">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吹水风机</w:t>
                  </w:r>
                </w:p>
              </w:tc>
              <w:tc>
                <w:tcPr>
                  <w:tcW w:w="506" w:type="dxa"/>
                  <w:noWrap w:val="0"/>
                  <w:vAlign w:val="center"/>
                </w:tcPr>
                <w:p w14:paraId="389BD415">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4kw</w:t>
                  </w:r>
                </w:p>
              </w:tc>
              <w:tc>
                <w:tcPr>
                  <w:tcW w:w="679" w:type="dxa"/>
                  <w:noWrap/>
                  <w:vAlign w:val="center"/>
                </w:tcPr>
                <w:p w14:paraId="2CD3934C">
                  <w:pPr>
                    <w:widowControl/>
                    <w:spacing w:line="240" w:lineRule="exact"/>
                    <w:jc w:val="center"/>
                    <w:textAlignment w:val="center"/>
                    <w:rPr>
                      <w:rFonts w:hint="eastAsia" w:eastAsia="宋体"/>
                      <w:color w:val="auto"/>
                      <w:kern w:val="0"/>
                      <w:sz w:val="18"/>
                      <w:szCs w:val="18"/>
                      <w:highlight w:val="none"/>
                      <w:lang w:eastAsia="zh-CN" w:bidi="ar"/>
                    </w:rPr>
                  </w:pPr>
                  <w:r>
                    <w:rPr>
                      <w:rFonts w:hint="eastAsia"/>
                      <w:color w:val="auto"/>
                      <w:kern w:val="0"/>
                      <w:sz w:val="18"/>
                      <w:szCs w:val="18"/>
                      <w:highlight w:val="none"/>
                      <w:lang w:bidi="ar"/>
                    </w:rPr>
                    <w:t>9</w:t>
                  </w:r>
                  <w:r>
                    <w:rPr>
                      <w:rFonts w:hint="eastAsia"/>
                      <w:color w:val="auto"/>
                      <w:kern w:val="0"/>
                      <w:sz w:val="18"/>
                      <w:szCs w:val="18"/>
                      <w:highlight w:val="none"/>
                      <w:lang w:val="en-US" w:eastAsia="zh-CN" w:bidi="ar"/>
                    </w:rPr>
                    <w:t>5</w:t>
                  </w:r>
                </w:p>
              </w:tc>
              <w:tc>
                <w:tcPr>
                  <w:tcW w:w="570" w:type="dxa"/>
                  <w:vMerge w:val="continue"/>
                  <w:noWrap w:val="0"/>
                  <w:vAlign w:val="center"/>
                </w:tcPr>
                <w:p w14:paraId="0408D57D">
                  <w:pPr>
                    <w:widowControl/>
                    <w:spacing w:line="240" w:lineRule="exact"/>
                    <w:jc w:val="center"/>
                    <w:textAlignment w:val="center"/>
                    <w:rPr>
                      <w:color w:val="auto"/>
                      <w:kern w:val="0"/>
                      <w:sz w:val="18"/>
                      <w:szCs w:val="18"/>
                      <w:highlight w:val="none"/>
                      <w:lang w:bidi="ar"/>
                    </w:rPr>
                  </w:pPr>
                </w:p>
              </w:tc>
              <w:tc>
                <w:tcPr>
                  <w:tcW w:w="664" w:type="dxa"/>
                  <w:noWrap/>
                  <w:vAlign w:val="center"/>
                </w:tcPr>
                <w:p w14:paraId="153E40FD">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60.64</w:t>
                  </w:r>
                </w:p>
              </w:tc>
              <w:tc>
                <w:tcPr>
                  <w:tcW w:w="693" w:type="dxa"/>
                  <w:noWrap/>
                  <w:vAlign w:val="center"/>
                </w:tcPr>
                <w:p w14:paraId="006C733A">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24.34</w:t>
                  </w:r>
                </w:p>
              </w:tc>
              <w:tc>
                <w:tcPr>
                  <w:tcW w:w="437" w:type="dxa"/>
                  <w:noWrap w:val="0"/>
                  <w:vAlign w:val="center"/>
                </w:tcPr>
                <w:p w14:paraId="3959B86C">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1</w:t>
                  </w:r>
                </w:p>
              </w:tc>
              <w:tc>
                <w:tcPr>
                  <w:tcW w:w="576" w:type="dxa"/>
                  <w:noWrap w:val="0"/>
                  <w:vAlign w:val="center"/>
                </w:tcPr>
                <w:p w14:paraId="0F954475">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3.0</w:t>
                  </w:r>
                </w:p>
              </w:tc>
              <w:tc>
                <w:tcPr>
                  <w:tcW w:w="728" w:type="dxa"/>
                  <w:noWrap w:val="0"/>
                  <w:vAlign w:val="center"/>
                </w:tcPr>
                <w:p w14:paraId="71F00B59">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85</w:t>
                  </w:r>
                </w:p>
              </w:tc>
              <w:tc>
                <w:tcPr>
                  <w:tcW w:w="394" w:type="dxa"/>
                  <w:vMerge w:val="continue"/>
                  <w:noWrap w:val="0"/>
                  <w:vAlign w:val="center"/>
                </w:tcPr>
                <w:p w14:paraId="6C065153">
                  <w:pPr>
                    <w:spacing w:line="240" w:lineRule="exact"/>
                    <w:jc w:val="center"/>
                    <w:rPr>
                      <w:color w:val="auto"/>
                      <w:sz w:val="18"/>
                      <w:szCs w:val="18"/>
                      <w:highlight w:val="none"/>
                    </w:rPr>
                  </w:pPr>
                </w:p>
              </w:tc>
              <w:tc>
                <w:tcPr>
                  <w:tcW w:w="728" w:type="dxa"/>
                  <w:vMerge w:val="continue"/>
                  <w:noWrap/>
                  <w:vAlign w:val="center"/>
                </w:tcPr>
                <w:p w14:paraId="5B414AAE">
                  <w:pPr>
                    <w:spacing w:line="240" w:lineRule="exact"/>
                    <w:jc w:val="center"/>
                    <w:rPr>
                      <w:color w:val="auto"/>
                      <w:sz w:val="18"/>
                      <w:szCs w:val="18"/>
                      <w:highlight w:val="none"/>
                    </w:rPr>
                  </w:pPr>
                </w:p>
              </w:tc>
              <w:tc>
                <w:tcPr>
                  <w:tcW w:w="728" w:type="dxa"/>
                  <w:noWrap/>
                  <w:vAlign w:val="center"/>
                </w:tcPr>
                <w:p w14:paraId="025FC47C">
                  <w:pPr>
                    <w:spacing w:line="240" w:lineRule="exact"/>
                    <w:jc w:val="center"/>
                    <w:rPr>
                      <w:rFonts w:hint="default" w:eastAsia="宋体"/>
                      <w:color w:val="auto"/>
                      <w:sz w:val="18"/>
                      <w:szCs w:val="18"/>
                      <w:highlight w:val="none"/>
                      <w:lang w:val="en-US" w:eastAsia="zh-CN"/>
                    </w:rPr>
                  </w:pPr>
                  <w:r>
                    <w:rPr>
                      <w:rFonts w:hint="eastAsia"/>
                      <w:color w:val="auto"/>
                      <w:sz w:val="18"/>
                      <w:szCs w:val="18"/>
                      <w:highlight w:val="none"/>
                      <w:lang w:val="en-US" w:eastAsia="zh-CN"/>
                    </w:rPr>
                    <w:t>65</w:t>
                  </w:r>
                </w:p>
              </w:tc>
              <w:tc>
                <w:tcPr>
                  <w:tcW w:w="444" w:type="dxa"/>
                  <w:vMerge w:val="continue"/>
                  <w:noWrap/>
                  <w:vAlign w:val="center"/>
                </w:tcPr>
                <w:p w14:paraId="1A3B8448">
                  <w:pPr>
                    <w:spacing w:line="240" w:lineRule="exact"/>
                    <w:jc w:val="center"/>
                    <w:rPr>
                      <w:color w:val="auto"/>
                      <w:sz w:val="18"/>
                      <w:szCs w:val="18"/>
                      <w:highlight w:val="none"/>
                    </w:rPr>
                  </w:pPr>
                </w:p>
              </w:tc>
            </w:tr>
            <w:tr w14:paraId="5984F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394" w:type="dxa"/>
                  <w:noWrap w:val="0"/>
                  <w:vAlign w:val="center"/>
                </w:tcPr>
                <w:p w14:paraId="73AD1232">
                  <w:pPr>
                    <w:widowControl/>
                    <w:spacing w:line="240" w:lineRule="exact"/>
                    <w:jc w:val="center"/>
                    <w:textAlignment w:val="center"/>
                    <w:rPr>
                      <w:rFonts w:hint="default" w:eastAsia="宋体"/>
                      <w:color w:val="auto"/>
                      <w:sz w:val="18"/>
                      <w:szCs w:val="18"/>
                      <w:highlight w:val="none"/>
                      <w:lang w:val="en-US" w:eastAsia="zh-CN"/>
                    </w:rPr>
                  </w:pPr>
                  <w:r>
                    <w:rPr>
                      <w:rFonts w:hint="eastAsia"/>
                      <w:color w:val="auto"/>
                      <w:sz w:val="18"/>
                      <w:szCs w:val="18"/>
                      <w:highlight w:val="none"/>
                      <w:lang w:val="en-US" w:eastAsia="zh-CN"/>
                    </w:rPr>
                    <w:t>11</w:t>
                  </w:r>
                </w:p>
              </w:tc>
              <w:tc>
                <w:tcPr>
                  <w:tcW w:w="394" w:type="dxa"/>
                  <w:vMerge w:val="continue"/>
                  <w:noWrap w:val="0"/>
                  <w:vAlign w:val="center"/>
                </w:tcPr>
                <w:p w14:paraId="41542D33">
                  <w:pPr>
                    <w:spacing w:line="240" w:lineRule="exact"/>
                    <w:jc w:val="center"/>
                    <w:rPr>
                      <w:color w:val="auto"/>
                      <w:sz w:val="18"/>
                      <w:szCs w:val="18"/>
                      <w:highlight w:val="none"/>
                    </w:rPr>
                  </w:pPr>
                </w:p>
              </w:tc>
              <w:tc>
                <w:tcPr>
                  <w:tcW w:w="542" w:type="dxa"/>
                  <w:noWrap w:val="0"/>
                  <w:vAlign w:val="center"/>
                </w:tcPr>
                <w:p w14:paraId="25F6830D">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喷淋水流声</w:t>
                  </w:r>
                </w:p>
              </w:tc>
              <w:tc>
                <w:tcPr>
                  <w:tcW w:w="506" w:type="dxa"/>
                  <w:noWrap w:val="0"/>
                  <w:vAlign w:val="center"/>
                </w:tcPr>
                <w:p w14:paraId="06BAFB43">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w:t>
                  </w:r>
                </w:p>
              </w:tc>
              <w:tc>
                <w:tcPr>
                  <w:tcW w:w="679" w:type="dxa"/>
                  <w:noWrap/>
                  <w:vAlign w:val="center"/>
                </w:tcPr>
                <w:p w14:paraId="7FBDF23C">
                  <w:pPr>
                    <w:widowControl/>
                    <w:spacing w:line="240" w:lineRule="exact"/>
                    <w:jc w:val="center"/>
                    <w:textAlignment w:val="center"/>
                    <w:rPr>
                      <w:color w:val="auto"/>
                      <w:kern w:val="0"/>
                      <w:sz w:val="18"/>
                      <w:szCs w:val="18"/>
                      <w:highlight w:val="none"/>
                      <w:lang w:bidi="ar"/>
                    </w:rPr>
                  </w:pPr>
                  <w:r>
                    <w:rPr>
                      <w:rFonts w:hint="eastAsia"/>
                      <w:color w:val="auto"/>
                      <w:kern w:val="0"/>
                      <w:sz w:val="18"/>
                      <w:szCs w:val="18"/>
                      <w:highlight w:val="none"/>
                      <w:lang w:bidi="ar"/>
                    </w:rPr>
                    <w:t>60</w:t>
                  </w:r>
                </w:p>
              </w:tc>
              <w:tc>
                <w:tcPr>
                  <w:tcW w:w="570" w:type="dxa"/>
                  <w:vMerge w:val="continue"/>
                  <w:noWrap w:val="0"/>
                  <w:vAlign w:val="center"/>
                </w:tcPr>
                <w:p w14:paraId="72D9DBB4">
                  <w:pPr>
                    <w:widowControl/>
                    <w:spacing w:line="240" w:lineRule="exact"/>
                    <w:jc w:val="center"/>
                    <w:textAlignment w:val="center"/>
                    <w:rPr>
                      <w:color w:val="auto"/>
                      <w:kern w:val="0"/>
                      <w:sz w:val="18"/>
                      <w:szCs w:val="18"/>
                      <w:highlight w:val="none"/>
                      <w:lang w:bidi="ar"/>
                    </w:rPr>
                  </w:pPr>
                </w:p>
              </w:tc>
              <w:tc>
                <w:tcPr>
                  <w:tcW w:w="1794" w:type="dxa"/>
                  <w:gridSpan w:val="3"/>
                  <w:noWrap/>
                  <w:vAlign w:val="center"/>
                </w:tcPr>
                <w:p w14:paraId="4AFD1861">
                  <w:pPr>
                    <w:widowControl/>
                    <w:spacing w:line="240" w:lineRule="exact"/>
                    <w:jc w:val="center"/>
                    <w:textAlignment w:val="center"/>
                    <w:rPr>
                      <w:color w:val="auto"/>
                      <w:kern w:val="0"/>
                      <w:sz w:val="18"/>
                      <w:szCs w:val="18"/>
                      <w:highlight w:val="none"/>
                      <w:lang w:bidi="ar"/>
                    </w:rPr>
                  </w:pPr>
                  <w:r>
                    <w:rPr>
                      <w:color w:val="auto"/>
                      <w:kern w:val="0"/>
                      <w:sz w:val="18"/>
                      <w:szCs w:val="18"/>
                      <w:highlight w:val="none"/>
                      <w:lang w:bidi="ar"/>
                    </w:rPr>
                    <w:t>{</w:t>
                  </w:r>
                  <w:r>
                    <w:rPr>
                      <w:rFonts w:hint="eastAsia"/>
                      <w:color w:val="auto"/>
                      <w:kern w:val="0"/>
                      <w:sz w:val="18"/>
                      <w:szCs w:val="18"/>
                      <w:highlight w:val="none"/>
                      <w:lang w:val="en-US" w:eastAsia="zh-CN" w:bidi="ar"/>
                    </w:rPr>
                    <w:t>62.56</w:t>
                  </w:r>
                  <w:r>
                    <w:rPr>
                      <w:color w:val="auto"/>
                      <w:kern w:val="0"/>
                      <w:sz w:val="18"/>
                      <w:szCs w:val="18"/>
                      <w:highlight w:val="none"/>
                      <w:lang w:bidi="ar"/>
                    </w:rPr>
                    <w:t>,</w:t>
                  </w:r>
                  <w:r>
                    <w:rPr>
                      <w:rFonts w:hint="eastAsia"/>
                      <w:color w:val="auto"/>
                      <w:kern w:val="0"/>
                      <w:sz w:val="18"/>
                      <w:szCs w:val="18"/>
                      <w:highlight w:val="none"/>
                      <w:lang w:val="en-US" w:eastAsia="zh-CN" w:bidi="ar"/>
                    </w:rPr>
                    <w:t>34.52</w:t>
                  </w:r>
                  <w:r>
                    <w:rPr>
                      <w:color w:val="auto"/>
                      <w:kern w:val="0"/>
                      <w:sz w:val="18"/>
                      <w:szCs w:val="18"/>
                      <w:highlight w:val="none"/>
                      <w:lang w:bidi="ar"/>
                    </w:rPr>
                    <w:t>,1},</w:t>
                  </w:r>
                </w:p>
                <w:p w14:paraId="4B332370">
                  <w:pPr>
                    <w:widowControl/>
                    <w:spacing w:line="240" w:lineRule="exact"/>
                    <w:jc w:val="center"/>
                    <w:textAlignment w:val="center"/>
                    <w:rPr>
                      <w:rFonts w:hint="eastAsia" w:eastAsia="宋体"/>
                      <w:color w:val="auto"/>
                      <w:kern w:val="0"/>
                      <w:sz w:val="18"/>
                      <w:szCs w:val="18"/>
                      <w:highlight w:val="none"/>
                      <w:lang w:eastAsia="zh-CN" w:bidi="ar"/>
                    </w:rPr>
                  </w:pPr>
                  <w:r>
                    <w:rPr>
                      <w:color w:val="auto"/>
                      <w:kern w:val="0"/>
                      <w:sz w:val="18"/>
                      <w:szCs w:val="18"/>
                      <w:highlight w:val="none"/>
                      <w:lang w:bidi="ar"/>
                    </w:rPr>
                    <w:t>{</w:t>
                  </w:r>
                  <w:r>
                    <w:rPr>
                      <w:rFonts w:hint="eastAsia"/>
                      <w:color w:val="auto"/>
                      <w:kern w:val="0"/>
                      <w:sz w:val="18"/>
                      <w:szCs w:val="18"/>
                      <w:highlight w:val="none"/>
                      <w:lang w:val="en-US" w:eastAsia="zh-CN" w:bidi="ar"/>
                    </w:rPr>
                    <w:t>59.58</w:t>
                  </w:r>
                  <w:r>
                    <w:rPr>
                      <w:color w:val="auto"/>
                      <w:kern w:val="0"/>
                      <w:sz w:val="18"/>
                      <w:szCs w:val="18"/>
                      <w:highlight w:val="none"/>
                      <w:lang w:bidi="ar"/>
                    </w:rPr>
                    <w:t>,</w:t>
                  </w:r>
                  <w:r>
                    <w:rPr>
                      <w:rFonts w:hint="eastAsia"/>
                      <w:color w:val="auto"/>
                      <w:kern w:val="0"/>
                      <w:sz w:val="18"/>
                      <w:szCs w:val="18"/>
                      <w:highlight w:val="none"/>
                      <w:lang w:val="en-US" w:eastAsia="zh-CN" w:bidi="ar"/>
                    </w:rPr>
                    <w:t>38.52</w:t>
                  </w:r>
                  <w:r>
                    <w:rPr>
                      <w:color w:val="auto"/>
                      <w:kern w:val="0"/>
                      <w:sz w:val="18"/>
                      <w:szCs w:val="18"/>
                      <w:highlight w:val="none"/>
                      <w:lang w:bidi="ar"/>
                    </w:rPr>
                    <w:t>,1}</w:t>
                  </w:r>
                  <w:r>
                    <w:rPr>
                      <w:rFonts w:hint="eastAsia"/>
                      <w:color w:val="auto"/>
                      <w:kern w:val="0"/>
                      <w:sz w:val="18"/>
                      <w:szCs w:val="18"/>
                      <w:highlight w:val="none"/>
                      <w:lang w:eastAsia="zh-CN" w:bidi="ar"/>
                    </w:rPr>
                    <w:t>（</w:t>
                  </w:r>
                  <w:r>
                    <w:rPr>
                      <w:rFonts w:hint="eastAsia"/>
                      <w:color w:val="auto"/>
                      <w:kern w:val="0"/>
                      <w:sz w:val="18"/>
                      <w:szCs w:val="18"/>
                      <w:highlight w:val="none"/>
                      <w:lang w:val="en-US" w:eastAsia="zh-CN" w:bidi="ar"/>
                    </w:rPr>
                    <w:t>面源</w:t>
                  </w:r>
                  <w:r>
                    <w:rPr>
                      <w:rFonts w:hint="eastAsia"/>
                      <w:color w:val="auto"/>
                      <w:kern w:val="0"/>
                      <w:sz w:val="18"/>
                      <w:szCs w:val="18"/>
                      <w:highlight w:val="none"/>
                      <w:lang w:eastAsia="zh-CN" w:bidi="ar"/>
                    </w:rPr>
                    <w:t>）</w:t>
                  </w:r>
                </w:p>
              </w:tc>
              <w:tc>
                <w:tcPr>
                  <w:tcW w:w="576" w:type="dxa"/>
                  <w:noWrap w:val="0"/>
                  <w:vAlign w:val="center"/>
                </w:tcPr>
                <w:p w14:paraId="50474741">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2.8</w:t>
                  </w:r>
                </w:p>
              </w:tc>
              <w:tc>
                <w:tcPr>
                  <w:tcW w:w="728" w:type="dxa"/>
                  <w:noWrap w:val="0"/>
                  <w:vAlign w:val="center"/>
                </w:tcPr>
                <w:p w14:paraId="567AF1C1">
                  <w:pPr>
                    <w:widowControl/>
                    <w:spacing w:line="240" w:lineRule="exact"/>
                    <w:jc w:val="center"/>
                    <w:textAlignment w:val="center"/>
                    <w:rPr>
                      <w:rFonts w:hint="default" w:eastAsia="宋体"/>
                      <w:color w:val="auto"/>
                      <w:kern w:val="0"/>
                      <w:sz w:val="18"/>
                      <w:szCs w:val="18"/>
                      <w:highlight w:val="none"/>
                      <w:lang w:val="en-US" w:eastAsia="zh-CN" w:bidi="ar"/>
                    </w:rPr>
                  </w:pPr>
                  <w:r>
                    <w:rPr>
                      <w:rFonts w:hint="eastAsia"/>
                      <w:color w:val="auto"/>
                      <w:kern w:val="0"/>
                      <w:sz w:val="18"/>
                      <w:szCs w:val="18"/>
                      <w:highlight w:val="none"/>
                      <w:lang w:val="en-US" w:eastAsia="zh-CN" w:bidi="ar"/>
                    </w:rPr>
                    <w:t>51</w:t>
                  </w:r>
                </w:p>
              </w:tc>
              <w:tc>
                <w:tcPr>
                  <w:tcW w:w="394" w:type="dxa"/>
                  <w:vMerge w:val="continue"/>
                  <w:noWrap w:val="0"/>
                  <w:vAlign w:val="center"/>
                </w:tcPr>
                <w:p w14:paraId="34CC10A9">
                  <w:pPr>
                    <w:spacing w:line="240" w:lineRule="exact"/>
                    <w:jc w:val="center"/>
                    <w:rPr>
                      <w:color w:val="auto"/>
                      <w:sz w:val="18"/>
                      <w:szCs w:val="18"/>
                      <w:highlight w:val="none"/>
                    </w:rPr>
                  </w:pPr>
                </w:p>
              </w:tc>
              <w:tc>
                <w:tcPr>
                  <w:tcW w:w="728" w:type="dxa"/>
                  <w:vMerge w:val="continue"/>
                  <w:noWrap/>
                  <w:vAlign w:val="center"/>
                </w:tcPr>
                <w:p w14:paraId="775681D7">
                  <w:pPr>
                    <w:spacing w:line="240" w:lineRule="exact"/>
                    <w:jc w:val="center"/>
                    <w:rPr>
                      <w:color w:val="auto"/>
                      <w:sz w:val="18"/>
                      <w:szCs w:val="18"/>
                      <w:highlight w:val="none"/>
                    </w:rPr>
                  </w:pPr>
                </w:p>
              </w:tc>
              <w:tc>
                <w:tcPr>
                  <w:tcW w:w="728" w:type="dxa"/>
                  <w:noWrap/>
                  <w:vAlign w:val="center"/>
                </w:tcPr>
                <w:p w14:paraId="663A1741">
                  <w:pPr>
                    <w:spacing w:line="240" w:lineRule="exact"/>
                    <w:jc w:val="center"/>
                    <w:rPr>
                      <w:rFonts w:hint="eastAsia" w:eastAsia="宋体"/>
                      <w:color w:val="auto"/>
                      <w:sz w:val="18"/>
                      <w:szCs w:val="18"/>
                      <w:highlight w:val="none"/>
                      <w:lang w:eastAsia="zh-CN"/>
                    </w:rPr>
                  </w:pPr>
                  <w:r>
                    <w:rPr>
                      <w:rFonts w:hint="eastAsia"/>
                      <w:color w:val="auto"/>
                      <w:sz w:val="18"/>
                      <w:szCs w:val="18"/>
                      <w:highlight w:val="none"/>
                    </w:rPr>
                    <w:t>3</w:t>
                  </w:r>
                  <w:r>
                    <w:rPr>
                      <w:rFonts w:hint="eastAsia"/>
                      <w:color w:val="auto"/>
                      <w:sz w:val="18"/>
                      <w:szCs w:val="18"/>
                      <w:highlight w:val="none"/>
                      <w:lang w:val="en-US" w:eastAsia="zh-CN"/>
                    </w:rPr>
                    <w:t>1</w:t>
                  </w:r>
                </w:p>
              </w:tc>
              <w:tc>
                <w:tcPr>
                  <w:tcW w:w="444" w:type="dxa"/>
                  <w:vMerge w:val="continue"/>
                  <w:noWrap/>
                  <w:vAlign w:val="center"/>
                </w:tcPr>
                <w:p w14:paraId="55CDFDD1">
                  <w:pPr>
                    <w:spacing w:line="240" w:lineRule="exact"/>
                    <w:jc w:val="center"/>
                    <w:rPr>
                      <w:color w:val="auto"/>
                      <w:sz w:val="18"/>
                      <w:szCs w:val="18"/>
                      <w:highlight w:val="none"/>
                    </w:rPr>
                  </w:pPr>
                </w:p>
              </w:tc>
            </w:tr>
          </w:tbl>
          <w:p w14:paraId="3281EB24">
            <w:pPr>
              <w:pStyle w:val="112"/>
              <w:keepLines w:val="0"/>
              <w:pageBreakBefore w:val="0"/>
              <w:widowControl w:val="0"/>
              <w:kinsoku/>
              <w:overflowPunct/>
              <w:topLinePunct w:val="0"/>
              <w:bidi w:val="0"/>
              <w:ind w:left="0" w:leftChars="0" w:firstLine="210" w:firstLineChars="100"/>
              <w:jc w:val="left"/>
              <w:rPr>
                <w:rFonts w:hint="default"/>
                <w:color w:val="auto"/>
                <w:sz w:val="24"/>
                <w:szCs w:val="24"/>
                <w:highlight w:val="none"/>
                <w:lang w:val="en-US" w:eastAsia="zh-CN"/>
              </w:rPr>
            </w:pPr>
            <w:r>
              <w:rPr>
                <w:rFonts w:hint="eastAsia"/>
                <w:color w:val="auto"/>
                <w:sz w:val="21"/>
                <w:szCs w:val="21"/>
                <w:highlight w:val="none"/>
                <w:lang w:val="en-US" w:eastAsia="zh-CN"/>
              </w:rPr>
              <w:t>备注：以企业中心点为坐标原点，坐标：东经114.50933259°北纬38.39342719°</w:t>
            </w:r>
            <w:r>
              <w:rPr>
                <w:rFonts w:hint="eastAsia"/>
                <w:color w:val="auto"/>
                <w:highlight w:val="none"/>
                <w:lang w:val="en-US" w:eastAsia="zh-CN"/>
              </w:rPr>
              <w:t>。</w:t>
            </w:r>
          </w:p>
          <w:p w14:paraId="7F072E9E">
            <w:pPr>
              <w:pStyle w:val="112"/>
              <w:keepLines w:val="0"/>
              <w:pageBreakBefore w:val="0"/>
              <w:widowControl w:val="0"/>
              <w:kinsoku/>
              <w:overflowPunct/>
              <w:topLinePunct w:val="0"/>
              <w:bidi w:val="0"/>
              <w:rPr>
                <w:color w:val="auto"/>
                <w:sz w:val="24"/>
                <w:szCs w:val="24"/>
                <w:highlight w:val="none"/>
              </w:rPr>
            </w:pPr>
            <w:r>
              <w:rPr>
                <w:rFonts w:hint="eastAsia"/>
                <w:color w:val="auto"/>
                <w:sz w:val="24"/>
                <w:szCs w:val="24"/>
                <w:highlight w:val="none"/>
                <w:lang w:val="en-US" w:eastAsia="zh-CN"/>
              </w:rPr>
              <w:t>2、</w:t>
            </w:r>
            <w:r>
              <w:rPr>
                <w:rFonts w:hint="eastAsia"/>
                <w:color w:val="auto"/>
                <w:sz w:val="24"/>
                <w:szCs w:val="24"/>
                <w:highlight w:val="none"/>
              </w:rPr>
              <w:t>预测模式</w:t>
            </w:r>
          </w:p>
          <w:p w14:paraId="799F6A4A">
            <w:pPr>
              <w:pStyle w:val="112"/>
              <w:keepLines w:val="0"/>
              <w:pageBreakBefore w:val="0"/>
              <w:widowControl w:val="0"/>
              <w:kinsoku/>
              <w:overflowPunct/>
              <w:topLinePunct w:val="0"/>
              <w:bidi w:val="0"/>
              <w:rPr>
                <w:color w:val="auto"/>
                <w:sz w:val="24"/>
                <w:szCs w:val="24"/>
                <w:highlight w:val="none"/>
              </w:rPr>
            </w:pPr>
            <w:r>
              <w:rPr>
                <w:rFonts w:hint="eastAsia"/>
                <w:color w:val="auto"/>
                <w:sz w:val="24"/>
                <w:szCs w:val="24"/>
                <w:highlight w:val="none"/>
              </w:rPr>
              <w:t>本项目采用《环境影响评价技术导则 声环境》（HJ2.4-20</w:t>
            </w:r>
            <w:r>
              <w:rPr>
                <w:rFonts w:hint="eastAsia"/>
                <w:color w:val="auto"/>
                <w:sz w:val="24"/>
                <w:szCs w:val="24"/>
                <w:highlight w:val="none"/>
                <w:lang w:val="en-US" w:eastAsia="zh-CN"/>
              </w:rPr>
              <w:t>21</w:t>
            </w:r>
            <w:r>
              <w:rPr>
                <w:rFonts w:hint="eastAsia"/>
                <w:color w:val="auto"/>
                <w:sz w:val="24"/>
                <w:szCs w:val="24"/>
                <w:highlight w:val="none"/>
              </w:rPr>
              <w:t>）中推荐的模式进行计算。</w:t>
            </w:r>
          </w:p>
          <w:p w14:paraId="0561836C">
            <w:pPr>
              <w:pStyle w:val="112"/>
              <w:keepLines w:val="0"/>
              <w:pageBreakBefore w:val="0"/>
              <w:widowControl w:val="0"/>
              <w:kinsoku/>
              <w:overflowPunct/>
              <w:topLinePunct w:val="0"/>
              <w:bidi w:val="0"/>
              <w:rPr>
                <w:rFonts w:hint="eastAsia"/>
                <w:color w:val="auto"/>
                <w:sz w:val="24"/>
                <w:szCs w:val="24"/>
                <w:highlight w:val="none"/>
              </w:rPr>
            </w:pPr>
            <w:r>
              <w:rPr>
                <w:rFonts w:hint="eastAsia"/>
                <w:color w:val="auto"/>
                <w:sz w:val="24"/>
                <w:szCs w:val="24"/>
                <w:highlight w:val="none"/>
              </w:rPr>
              <w:t>3、声环境影响预测结果</w:t>
            </w:r>
          </w:p>
          <w:p w14:paraId="4508BEF1">
            <w:pPr>
              <w:pStyle w:val="112"/>
              <w:bidi w:val="0"/>
              <w:rPr>
                <w:rFonts w:hint="default"/>
                <w:color w:val="auto"/>
                <w:sz w:val="24"/>
                <w:szCs w:val="24"/>
                <w:highlight w:val="none"/>
              </w:rPr>
            </w:pPr>
            <w:r>
              <w:rPr>
                <w:rFonts w:hint="eastAsia"/>
                <w:color w:val="auto"/>
                <w:sz w:val="24"/>
                <w:szCs w:val="24"/>
                <w:highlight w:val="none"/>
                <w:lang w:val="en-US" w:eastAsia="zh-CN"/>
              </w:rPr>
              <w:t>本评价通过预测噪声源对四周厂界噪声贡献值，叠加现有工程厂界的现状监测值，得出技改完成后的四周厂界预测值，分析本项目实施后对四周厂界、声环境保护目标的影响。本项目夜间不运行不考虑夜间噪声。</w:t>
            </w:r>
            <w:r>
              <w:rPr>
                <w:rFonts w:hint="default"/>
                <w:color w:val="auto"/>
                <w:sz w:val="24"/>
                <w:szCs w:val="24"/>
                <w:highlight w:val="none"/>
              </w:rPr>
              <w:t>项目噪声污染源情况见</w:t>
            </w:r>
            <w:r>
              <w:rPr>
                <w:rFonts w:hint="default"/>
                <w:color w:val="auto"/>
                <w:sz w:val="24"/>
                <w:szCs w:val="24"/>
                <w:highlight w:val="none"/>
                <w:lang w:eastAsia="zh-CN"/>
              </w:rPr>
              <w:t>下</w:t>
            </w:r>
            <w:r>
              <w:rPr>
                <w:rFonts w:hint="default"/>
                <w:color w:val="auto"/>
                <w:sz w:val="24"/>
                <w:szCs w:val="24"/>
                <w:highlight w:val="none"/>
              </w:rPr>
              <w:t>表。</w:t>
            </w:r>
          </w:p>
          <w:p w14:paraId="03A5C289">
            <w:pPr>
              <w:pStyle w:val="91"/>
              <w:numPr>
                <w:ilvl w:val="0"/>
                <w:numId w:val="0"/>
              </w:numPr>
              <w:bidi w:val="0"/>
              <w:jc w:val="center"/>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 xml:space="preserve"> 表4-7  噪声预测结果表  单位：</w:t>
            </w:r>
            <w:r>
              <w:rPr>
                <w:rFonts w:hint="eastAsia"/>
                <w:color w:val="auto"/>
                <w:highlight w:val="none"/>
                <w:lang w:val="en-US" w:eastAsia="zh-CN"/>
              </w:rPr>
              <w:t>dB(A)</w:t>
            </w:r>
          </w:p>
          <w:tbl>
            <w:tblPr>
              <w:tblStyle w:val="36"/>
              <w:tblW w:w="48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727"/>
              <w:gridCol w:w="2039"/>
              <w:gridCol w:w="756"/>
              <w:gridCol w:w="980"/>
              <w:gridCol w:w="652"/>
              <w:gridCol w:w="1360"/>
              <w:gridCol w:w="871"/>
              <w:gridCol w:w="843"/>
            </w:tblGrid>
            <w:tr w14:paraId="0F820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noWrap w:val="0"/>
                  <w:vAlign w:val="center"/>
                </w:tcPr>
                <w:p w14:paraId="116DB690">
                  <w:pPr>
                    <w:pStyle w:val="102"/>
                    <w:bidi w:val="0"/>
                    <w:rPr>
                      <w:rFonts w:hint="eastAsia"/>
                      <w:color w:val="auto"/>
                      <w:highlight w:val="none"/>
                      <w:lang w:eastAsia="zh-CN"/>
                    </w:rPr>
                  </w:pPr>
                  <w:r>
                    <w:rPr>
                      <w:rFonts w:hint="eastAsia"/>
                      <w:color w:val="auto"/>
                      <w:highlight w:val="none"/>
                      <w:lang w:val="en-US" w:eastAsia="zh-CN"/>
                    </w:rPr>
                    <w:t>厂界</w:t>
                  </w:r>
                </w:p>
              </w:tc>
              <w:tc>
                <w:tcPr>
                  <w:tcW w:w="1054" w:type="pct"/>
                  <w:noWrap w:val="0"/>
                  <w:vAlign w:val="center"/>
                </w:tcPr>
                <w:p w14:paraId="29F992BB">
                  <w:pPr>
                    <w:pStyle w:val="102"/>
                    <w:bidi w:val="0"/>
                    <w:rPr>
                      <w:rFonts w:hint="eastAsia" w:eastAsia="宋体"/>
                      <w:color w:val="auto"/>
                      <w:highlight w:val="none"/>
                      <w:lang w:eastAsia="zh-CN"/>
                    </w:rPr>
                  </w:pPr>
                  <w:r>
                    <w:rPr>
                      <w:rFonts w:hint="eastAsia"/>
                      <w:color w:val="auto"/>
                      <w:highlight w:val="none"/>
                    </w:rPr>
                    <w:t>坐标</w:t>
                  </w:r>
                  <w:r>
                    <w:rPr>
                      <w:rFonts w:hint="eastAsia"/>
                      <w:color w:val="auto"/>
                      <w:highlight w:val="none"/>
                      <w:lang w:eastAsia="zh-CN"/>
                    </w:rPr>
                    <w:t>（</w:t>
                  </w:r>
                  <w:r>
                    <w:rPr>
                      <w:rFonts w:hint="eastAsia"/>
                      <w:color w:val="auto"/>
                      <w:highlight w:val="none"/>
                      <w:lang w:val="en-US" w:eastAsia="zh-CN"/>
                    </w:rPr>
                    <w:t>X/Y/Z 米</w:t>
                  </w:r>
                  <w:r>
                    <w:rPr>
                      <w:rFonts w:hint="eastAsia"/>
                      <w:color w:val="auto"/>
                      <w:highlight w:val="none"/>
                      <w:lang w:eastAsia="zh-CN"/>
                    </w:rPr>
                    <w:t>）</w:t>
                  </w:r>
                </w:p>
              </w:tc>
              <w:tc>
                <w:tcPr>
                  <w:tcW w:w="486" w:type="pct"/>
                  <w:noWrap w:val="0"/>
                  <w:vAlign w:val="center"/>
                </w:tcPr>
                <w:p w14:paraId="7916B01B">
                  <w:pPr>
                    <w:pStyle w:val="102"/>
                    <w:bidi w:val="0"/>
                    <w:rPr>
                      <w:rFonts w:hint="default"/>
                      <w:color w:val="auto"/>
                      <w:highlight w:val="none"/>
                    </w:rPr>
                  </w:pPr>
                  <w:r>
                    <w:rPr>
                      <w:rFonts w:hint="eastAsia"/>
                      <w:color w:val="auto"/>
                      <w:highlight w:val="none"/>
                    </w:rPr>
                    <w:t>预测时段</w:t>
                  </w:r>
                </w:p>
              </w:tc>
              <w:tc>
                <w:tcPr>
                  <w:tcW w:w="621" w:type="pct"/>
                  <w:noWrap w:val="0"/>
                  <w:vAlign w:val="center"/>
                </w:tcPr>
                <w:p w14:paraId="65B46C39">
                  <w:pPr>
                    <w:pStyle w:val="102"/>
                    <w:bidi w:val="0"/>
                    <w:rPr>
                      <w:rFonts w:hint="eastAsia" w:eastAsia="宋体"/>
                      <w:color w:val="auto"/>
                      <w:highlight w:val="none"/>
                      <w:lang w:val="en-US" w:eastAsia="zh-CN"/>
                    </w:rPr>
                  </w:pPr>
                  <w:r>
                    <w:rPr>
                      <w:rFonts w:hint="eastAsia"/>
                      <w:color w:val="auto"/>
                      <w:highlight w:val="none"/>
                      <w:lang w:val="en-US" w:eastAsia="zh-CN"/>
                    </w:rPr>
                    <w:t>贡献值</w:t>
                  </w:r>
                </w:p>
              </w:tc>
              <w:tc>
                <w:tcPr>
                  <w:tcW w:w="422" w:type="pct"/>
                  <w:noWrap w:val="0"/>
                  <w:vAlign w:val="center"/>
                </w:tcPr>
                <w:p w14:paraId="460742FD">
                  <w:pPr>
                    <w:pStyle w:val="102"/>
                    <w:bidi w:val="0"/>
                    <w:rPr>
                      <w:rFonts w:hint="default"/>
                      <w:color w:val="auto"/>
                      <w:highlight w:val="none"/>
                      <w:lang w:val="en-US" w:eastAsia="zh-CN"/>
                    </w:rPr>
                  </w:pPr>
                  <w:r>
                    <w:rPr>
                      <w:rFonts w:hint="eastAsia"/>
                      <w:color w:val="auto"/>
                      <w:highlight w:val="none"/>
                      <w:lang w:val="en-US" w:eastAsia="zh-CN"/>
                    </w:rPr>
                    <w:t>背景值</w:t>
                  </w:r>
                </w:p>
              </w:tc>
              <w:tc>
                <w:tcPr>
                  <w:tcW w:w="852" w:type="pct"/>
                  <w:noWrap w:val="0"/>
                  <w:vAlign w:val="center"/>
                </w:tcPr>
                <w:p w14:paraId="57943CFC">
                  <w:pPr>
                    <w:pStyle w:val="102"/>
                    <w:bidi w:val="0"/>
                    <w:rPr>
                      <w:rFonts w:hint="default"/>
                      <w:color w:val="auto"/>
                      <w:highlight w:val="none"/>
                      <w:lang w:val="en-US"/>
                    </w:rPr>
                  </w:pPr>
                  <w:r>
                    <w:rPr>
                      <w:rFonts w:hint="eastAsia"/>
                      <w:color w:val="auto"/>
                      <w:highlight w:val="none"/>
                      <w:lang w:val="en-US" w:eastAsia="zh-CN"/>
                    </w:rPr>
                    <w:t>技改后预测值</w:t>
                  </w:r>
                </w:p>
              </w:tc>
              <w:tc>
                <w:tcPr>
                  <w:tcW w:w="555" w:type="pct"/>
                  <w:noWrap w:val="0"/>
                  <w:vAlign w:val="center"/>
                </w:tcPr>
                <w:p w14:paraId="099B55B2">
                  <w:pPr>
                    <w:pStyle w:val="102"/>
                    <w:bidi w:val="0"/>
                    <w:rPr>
                      <w:rFonts w:hint="default"/>
                      <w:color w:val="auto"/>
                      <w:highlight w:val="none"/>
                    </w:rPr>
                  </w:pPr>
                  <w:r>
                    <w:rPr>
                      <w:rFonts w:hint="eastAsia"/>
                      <w:color w:val="auto"/>
                      <w:highlight w:val="none"/>
                    </w:rPr>
                    <w:t>评价标准</w:t>
                  </w:r>
                </w:p>
              </w:tc>
              <w:tc>
                <w:tcPr>
                  <w:tcW w:w="538" w:type="pct"/>
                  <w:noWrap w:val="0"/>
                  <w:vAlign w:val="center"/>
                </w:tcPr>
                <w:p w14:paraId="24752E8D">
                  <w:pPr>
                    <w:pStyle w:val="102"/>
                    <w:bidi w:val="0"/>
                    <w:rPr>
                      <w:rFonts w:hint="default"/>
                      <w:color w:val="auto"/>
                      <w:highlight w:val="none"/>
                    </w:rPr>
                  </w:pPr>
                  <w:r>
                    <w:rPr>
                      <w:rFonts w:hint="eastAsia"/>
                      <w:color w:val="auto"/>
                      <w:highlight w:val="none"/>
                    </w:rPr>
                    <w:t>评价结果</w:t>
                  </w:r>
                </w:p>
              </w:tc>
            </w:tr>
            <w:tr w14:paraId="4CCD3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restart"/>
                  <w:noWrap w:val="0"/>
                  <w:vAlign w:val="center"/>
                </w:tcPr>
                <w:p w14:paraId="3F377BA0">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2"/>
                      <w:szCs w:val="20"/>
                      <w:highlight w:val="none"/>
                      <w:lang w:val="en-US" w:eastAsia="zh-CN"/>
                      <w14:textFill>
                        <w14:solidFill>
                          <w14:schemeClr w14:val="tx1"/>
                        </w14:solidFill>
                      </w14:textFill>
                    </w:rPr>
                    <w:t>北厂界</w:t>
                  </w:r>
                </w:p>
              </w:tc>
              <w:tc>
                <w:tcPr>
                  <w:tcW w:w="1054" w:type="pct"/>
                  <w:vMerge w:val="restart"/>
                  <w:noWrap w:val="0"/>
                  <w:vAlign w:val="center"/>
                </w:tcPr>
                <w:p w14:paraId="78F92415">
                  <w:pPr>
                    <w:pStyle w:val="59"/>
                    <w:bidi w:val="0"/>
                    <w:rPr>
                      <w:rFonts w:hint="default" w:ascii="宋体" w:hAnsi="Courier New" w:eastAsia="宋体" w:cs="Times New Roman"/>
                      <w:color w:val="auto"/>
                      <w:sz w:val="22"/>
                      <w:szCs w:val="20"/>
                      <w:highlight w:val="none"/>
                      <w:lang w:val="en-US" w:eastAsia="zh-CN"/>
                    </w:rPr>
                  </w:pPr>
                  <w:r>
                    <w:rPr>
                      <w:rFonts w:hint="eastAsia" w:ascii="宋体" w:hAnsi="Courier New" w:eastAsia="宋体" w:cs="Times New Roman"/>
                      <w:color w:val="auto"/>
                      <w:sz w:val="22"/>
                      <w:szCs w:val="20"/>
                      <w:highlight w:val="none"/>
                      <w:lang w:val="en-US" w:eastAsia="zh-CN"/>
                    </w:rPr>
                    <w:t>{33.20,72.22,1.2}</w:t>
                  </w:r>
                </w:p>
              </w:tc>
              <w:tc>
                <w:tcPr>
                  <w:tcW w:w="486" w:type="pct"/>
                  <w:noWrap w:val="0"/>
                  <w:vAlign w:val="center"/>
                </w:tcPr>
                <w:p w14:paraId="526E14FA">
                  <w:pPr>
                    <w:pStyle w:val="59"/>
                    <w:bidi w:val="0"/>
                    <w:rPr>
                      <w:rFonts w:hint="default"/>
                      <w:color w:val="auto"/>
                      <w:sz w:val="22"/>
                      <w:szCs w:val="20"/>
                      <w:highlight w:val="none"/>
                    </w:rPr>
                  </w:pPr>
                  <w:r>
                    <w:rPr>
                      <w:rFonts w:hint="eastAsia"/>
                      <w:color w:val="auto"/>
                      <w:sz w:val="22"/>
                      <w:szCs w:val="20"/>
                      <w:highlight w:val="none"/>
                    </w:rPr>
                    <w:t>昼间</w:t>
                  </w:r>
                </w:p>
              </w:tc>
              <w:tc>
                <w:tcPr>
                  <w:tcW w:w="621" w:type="pct"/>
                  <w:noWrap w:val="0"/>
                  <w:vAlign w:val="center"/>
                </w:tcPr>
                <w:p w14:paraId="4A151654">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58.75</w:t>
                  </w:r>
                </w:p>
              </w:tc>
              <w:tc>
                <w:tcPr>
                  <w:tcW w:w="422" w:type="pct"/>
                  <w:noWrap w:val="0"/>
                  <w:vAlign w:val="center"/>
                </w:tcPr>
                <w:p w14:paraId="76E1F744">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57.2</w:t>
                  </w:r>
                </w:p>
              </w:tc>
              <w:tc>
                <w:tcPr>
                  <w:tcW w:w="852" w:type="pct"/>
                  <w:noWrap w:val="0"/>
                  <w:vAlign w:val="center"/>
                </w:tcPr>
                <w:p w14:paraId="369F80FB">
                  <w:pPr>
                    <w:pStyle w:val="59"/>
                    <w:bidi w:val="0"/>
                    <w:rPr>
                      <w:rFonts w:hint="default"/>
                      <w:color w:val="auto"/>
                      <w:sz w:val="22"/>
                      <w:szCs w:val="20"/>
                      <w:highlight w:val="none"/>
                      <w:lang w:val="en-US" w:eastAsia="zh-CN"/>
                    </w:rPr>
                  </w:pPr>
                  <w:r>
                    <w:rPr>
                      <w:rFonts w:hint="eastAsia"/>
                      <w:color w:val="auto"/>
                      <w:sz w:val="22"/>
                      <w:szCs w:val="20"/>
                      <w:highlight w:val="none"/>
                      <w:lang w:val="en-US" w:eastAsia="zh-CN"/>
                    </w:rPr>
                    <w:t>61.05</w:t>
                  </w:r>
                </w:p>
              </w:tc>
              <w:tc>
                <w:tcPr>
                  <w:tcW w:w="555" w:type="pct"/>
                  <w:noWrap w:val="0"/>
                  <w:vAlign w:val="center"/>
                </w:tcPr>
                <w:p w14:paraId="639C04E3">
                  <w:pPr>
                    <w:pStyle w:val="59"/>
                    <w:bidi w:val="0"/>
                    <w:rPr>
                      <w:rFonts w:hint="default" w:eastAsia="宋体"/>
                      <w:color w:val="000000" w:themeColor="text1"/>
                      <w:sz w:val="22"/>
                      <w:szCs w:val="20"/>
                      <w:highlight w:val="none"/>
                      <w:lang w:val="en-US" w:eastAsia="zh-CN"/>
                      <w14:textFill>
                        <w14:solidFill>
                          <w14:schemeClr w14:val="tx1"/>
                        </w14:solidFill>
                      </w14:textFill>
                    </w:rPr>
                  </w:pPr>
                  <w:r>
                    <w:rPr>
                      <w:rFonts w:hint="eastAsia" w:eastAsia="宋体"/>
                      <w:color w:val="000000" w:themeColor="text1"/>
                      <w:sz w:val="22"/>
                      <w:szCs w:val="20"/>
                      <w:highlight w:val="none"/>
                      <w:lang w:val="en-US" w:eastAsia="zh-CN"/>
                      <w14:textFill>
                        <w14:solidFill>
                          <w14:schemeClr w14:val="tx1"/>
                        </w14:solidFill>
                      </w14:textFill>
                    </w:rPr>
                    <w:t>65</w:t>
                  </w:r>
                </w:p>
              </w:tc>
              <w:tc>
                <w:tcPr>
                  <w:tcW w:w="538" w:type="pct"/>
                  <w:noWrap w:val="0"/>
                  <w:vAlign w:val="center"/>
                </w:tcPr>
                <w:p w14:paraId="27BA053A">
                  <w:pPr>
                    <w:pStyle w:val="59"/>
                    <w:bidi w:val="0"/>
                    <w:rPr>
                      <w:rFonts w:hint="default"/>
                      <w:color w:val="auto"/>
                      <w:sz w:val="22"/>
                      <w:szCs w:val="20"/>
                      <w:highlight w:val="none"/>
                    </w:rPr>
                  </w:pPr>
                  <w:r>
                    <w:rPr>
                      <w:rFonts w:hint="eastAsia"/>
                      <w:color w:val="auto"/>
                      <w:sz w:val="22"/>
                      <w:szCs w:val="20"/>
                      <w:highlight w:val="none"/>
                    </w:rPr>
                    <w:t>达标</w:t>
                  </w:r>
                </w:p>
              </w:tc>
            </w:tr>
            <w:tr w14:paraId="21ED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continue"/>
                  <w:noWrap w:val="0"/>
                  <w:vAlign w:val="center"/>
                </w:tcPr>
                <w:p w14:paraId="40B83A68">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p>
              </w:tc>
              <w:tc>
                <w:tcPr>
                  <w:tcW w:w="1054" w:type="pct"/>
                  <w:vMerge w:val="continue"/>
                  <w:noWrap w:val="0"/>
                  <w:vAlign w:val="center"/>
                </w:tcPr>
                <w:p w14:paraId="71CF886E">
                  <w:pPr>
                    <w:pStyle w:val="59"/>
                    <w:bidi w:val="0"/>
                    <w:rPr>
                      <w:rFonts w:hint="default" w:ascii="宋体" w:hAnsi="Courier New" w:eastAsia="宋体" w:cs="Times New Roman"/>
                      <w:color w:val="auto"/>
                      <w:sz w:val="22"/>
                      <w:szCs w:val="20"/>
                      <w:highlight w:val="none"/>
                      <w:lang w:val="en-US" w:eastAsia="zh-CN"/>
                    </w:rPr>
                  </w:pPr>
                </w:p>
              </w:tc>
              <w:tc>
                <w:tcPr>
                  <w:tcW w:w="486" w:type="pct"/>
                  <w:noWrap w:val="0"/>
                  <w:vAlign w:val="center"/>
                </w:tcPr>
                <w:p w14:paraId="4526EAD3">
                  <w:pPr>
                    <w:pStyle w:val="59"/>
                    <w:bidi w:val="0"/>
                    <w:rPr>
                      <w:rFonts w:hint="default"/>
                      <w:color w:val="auto"/>
                      <w:sz w:val="22"/>
                      <w:szCs w:val="20"/>
                      <w:highlight w:val="none"/>
                    </w:rPr>
                  </w:pPr>
                  <w:r>
                    <w:rPr>
                      <w:rFonts w:hint="eastAsia"/>
                      <w:color w:val="auto"/>
                      <w:sz w:val="22"/>
                      <w:szCs w:val="20"/>
                      <w:highlight w:val="none"/>
                    </w:rPr>
                    <w:t>夜间</w:t>
                  </w:r>
                </w:p>
              </w:tc>
              <w:tc>
                <w:tcPr>
                  <w:tcW w:w="621" w:type="pct"/>
                  <w:noWrap w:val="0"/>
                  <w:vAlign w:val="center"/>
                </w:tcPr>
                <w:p w14:paraId="1B6AB76D">
                  <w:pPr>
                    <w:pStyle w:val="59"/>
                    <w:bidi w:val="0"/>
                    <w:rPr>
                      <w:rFonts w:hint="eastAsia" w:eastAsia="宋体"/>
                      <w:color w:val="auto"/>
                      <w:sz w:val="22"/>
                      <w:szCs w:val="20"/>
                      <w:highlight w:val="none"/>
                      <w:lang w:val="en-US" w:eastAsia="zh-CN"/>
                    </w:rPr>
                  </w:pPr>
                  <w:r>
                    <w:rPr>
                      <w:rFonts w:hint="eastAsia"/>
                      <w:color w:val="auto"/>
                      <w:sz w:val="22"/>
                      <w:szCs w:val="20"/>
                      <w:highlight w:val="none"/>
                      <w:lang w:val="en-US" w:eastAsia="zh-CN"/>
                    </w:rPr>
                    <w:t>-</w:t>
                  </w:r>
                </w:p>
              </w:tc>
              <w:tc>
                <w:tcPr>
                  <w:tcW w:w="422" w:type="pct"/>
                  <w:noWrap w:val="0"/>
                  <w:vAlign w:val="center"/>
                </w:tcPr>
                <w:p w14:paraId="27516CAF">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47.9</w:t>
                  </w:r>
                </w:p>
              </w:tc>
              <w:tc>
                <w:tcPr>
                  <w:tcW w:w="852" w:type="pct"/>
                  <w:noWrap w:val="0"/>
                  <w:vAlign w:val="center"/>
                </w:tcPr>
                <w:p w14:paraId="6A54C21E">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47.9</w:t>
                  </w:r>
                </w:p>
              </w:tc>
              <w:tc>
                <w:tcPr>
                  <w:tcW w:w="555" w:type="pct"/>
                  <w:noWrap w:val="0"/>
                  <w:vAlign w:val="center"/>
                </w:tcPr>
                <w:p w14:paraId="5C25882C">
                  <w:pPr>
                    <w:pStyle w:val="59"/>
                    <w:bidi w:val="0"/>
                    <w:rPr>
                      <w:rFonts w:hint="default" w:eastAsia="宋体"/>
                      <w:color w:val="000000" w:themeColor="text1"/>
                      <w:sz w:val="22"/>
                      <w:szCs w:val="20"/>
                      <w:highlight w:val="none"/>
                      <w:lang w:val="en-US" w:eastAsia="zh-CN"/>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55</w:t>
                  </w:r>
                </w:p>
              </w:tc>
              <w:tc>
                <w:tcPr>
                  <w:tcW w:w="538" w:type="pct"/>
                  <w:noWrap w:val="0"/>
                  <w:vAlign w:val="center"/>
                </w:tcPr>
                <w:p w14:paraId="5A6383A8">
                  <w:pPr>
                    <w:pStyle w:val="59"/>
                    <w:bidi w:val="0"/>
                    <w:rPr>
                      <w:rFonts w:hint="default"/>
                      <w:color w:val="auto"/>
                      <w:sz w:val="22"/>
                      <w:szCs w:val="20"/>
                      <w:highlight w:val="none"/>
                    </w:rPr>
                  </w:pPr>
                  <w:r>
                    <w:rPr>
                      <w:rFonts w:hint="eastAsia"/>
                      <w:color w:val="auto"/>
                      <w:sz w:val="22"/>
                      <w:szCs w:val="20"/>
                      <w:highlight w:val="none"/>
                    </w:rPr>
                    <w:t>达标</w:t>
                  </w:r>
                </w:p>
              </w:tc>
            </w:tr>
            <w:tr w14:paraId="54631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restart"/>
                  <w:noWrap w:val="0"/>
                  <w:vAlign w:val="center"/>
                </w:tcPr>
                <w:p w14:paraId="5F8F7C6B">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2"/>
                      <w:szCs w:val="20"/>
                      <w:highlight w:val="none"/>
                      <w:lang w:val="en-US" w:eastAsia="zh-CN"/>
                      <w14:textFill>
                        <w14:solidFill>
                          <w14:schemeClr w14:val="tx1"/>
                        </w14:solidFill>
                      </w14:textFill>
                    </w:rPr>
                    <w:t>东厂界</w:t>
                  </w:r>
                </w:p>
              </w:tc>
              <w:tc>
                <w:tcPr>
                  <w:tcW w:w="1054" w:type="pct"/>
                  <w:vMerge w:val="restart"/>
                  <w:noWrap w:val="0"/>
                  <w:vAlign w:val="center"/>
                </w:tcPr>
                <w:p w14:paraId="2CD10C87">
                  <w:pPr>
                    <w:pStyle w:val="59"/>
                    <w:bidi w:val="0"/>
                    <w:rPr>
                      <w:rFonts w:hint="default" w:ascii="宋体" w:hAnsi="Courier New" w:eastAsia="宋体" w:cs="Times New Roman"/>
                      <w:color w:val="auto"/>
                      <w:sz w:val="22"/>
                      <w:szCs w:val="20"/>
                      <w:highlight w:val="none"/>
                      <w:lang w:val="en-US" w:eastAsia="zh-CN"/>
                    </w:rPr>
                  </w:pPr>
                  <w:r>
                    <w:rPr>
                      <w:rFonts w:hint="eastAsia" w:ascii="宋体" w:hAnsi="Courier New" w:eastAsia="宋体" w:cs="Times New Roman"/>
                      <w:color w:val="auto"/>
                      <w:sz w:val="22"/>
                      <w:szCs w:val="20"/>
                      <w:highlight w:val="none"/>
                      <w:lang w:val="en-US" w:eastAsia="zh-CN"/>
                    </w:rPr>
                    <w:t>{</w:t>
                  </w:r>
                  <w:r>
                    <w:rPr>
                      <w:rFonts w:hint="eastAsia" w:hAnsi="Courier New" w:cs="Times New Roman"/>
                      <w:color w:val="auto"/>
                      <w:sz w:val="22"/>
                      <w:szCs w:val="20"/>
                      <w:highlight w:val="none"/>
                      <w:lang w:val="en-US" w:eastAsia="zh-CN"/>
                    </w:rPr>
                    <w:t>21.4</w:t>
                  </w:r>
                  <w:r>
                    <w:rPr>
                      <w:rFonts w:hint="eastAsia" w:ascii="宋体" w:hAnsi="Courier New" w:eastAsia="宋体" w:cs="Times New Roman"/>
                      <w:color w:val="auto"/>
                      <w:sz w:val="22"/>
                      <w:szCs w:val="20"/>
                      <w:highlight w:val="none"/>
                      <w:lang w:val="en-US" w:eastAsia="zh-CN"/>
                    </w:rPr>
                    <w:t>,</w:t>
                  </w:r>
                  <w:r>
                    <w:rPr>
                      <w:rFonts w:hint="eastAsia" w:hAnsi="Courier New" w:cs="Times New Roman"/>
                      <w:color w:val="auto"/>
                      <w:sz w:val="22"/>
                      <w:szCs w:val="20"/>
                      <w:highlight w:val="none"/>
                      <w:lang w:val="en-US" w:eastAsia="zh-CN"/>
                    </w:rPr>
                    <w:t>27.18，</w:t>
                  </w:r>
                  <w:r>
                    <w:rPr>
                      <w:rFonts w:hint="eastAsia" w:ascii="宋体" w:hAnsi="Courier New" w:eastAsia="宋体" w:cs="Times New Roman"/>
                      <w:color w:val="auto"/>
                      <w:sz w:val="22"/>
                      <w:szCs w:val="20"/>
                      <w:highlight w:val="none"/>
                      <w:lang w:val="en-US" w:eastAsia="zh-CN"/>
                    </w:rPr>
                    <w:t>1.2}</w:t>
                  </w:r>
                </w:p>
              </w:tc>
              <w:tc>
                <w:tcPr>
                  <w:tcW w:w="486" w:type="pct"/>
                  <w:noWrap w:val="0"/>
                  <w:vAlign w:val="center"/>
                </w:tcPr>
                <w:p w14:paraId="1896B442">
                  <w:pPr>
                    <w:pStyle w:val="59"/>
                    <w:bidi w:val="0"/>
                    <w:rPr>
                      <w:rFonts w:hint="default"/>
                      <w:color w:val="auto"/>
                      <w:sz w:val="22"/>
                      <w:szCs w:val="20"/>
                      <w:highlight w:val="none"/>
                    </w:rPr>
                  </w:pPr>
                  <w:r>
                    <w:rPr>
                      <w:rFonts w:hint="eastAsia"/>
                      <w:color w:val="auto"/>
                      <w:sz w:val="22"/>
                      <w:szCs w:val="20"/>
                      <w:highlight w:val="none"/>
                    </w:rPr>
                    <w:t>昼间</w:t>
                  </w:r>
                </w:p>
              </w:tc>
              <w:tc>
                <w:tcPr>
                  <w:tcW w:w="621" w:type="pct"/>
                  <w:noWrap w:val="0"/>
                  <w:vAlign w:val="center"/>
                </w:tcPr>
                <w:p w14:paraId="203872EC">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39.62</w:t>
                  </w:r>
                </w:p>
              </w:tc>
              <w:tc>
                <w:tcPr>
                  <w:tcW w:w="422" w:type="pct"/>
                  <w:noWrap w:val="0"/>
                  <w:vAlign w:val="center"/>
                </w:tcPr>
                <w:p w14:paraId="5D13E2A2">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56.6</w:t>
                  </w:r>
                </w:p>
              </w:tc>
              <w:tc>
                <w:tcPr>
                  <w:tcW w:w="852" w:type="pct"/>
                  <w:noWrap w:val="0"/>
                  <w:vAlign w:val="center"/>
                </w:tcPr>
                <w:p w14:paraId="6D787184">
                  <w:pPr>
                    <w:pStyle w:val="59"/>
                    <w:bidi w:val="0"/>
                    <w:rPr>
                      <w:rFonts w:hint="default"/>
                      <w:color w:val="auto"/>
                      <w:sz w:val="22"/>
                      <w:szCs w:val="20"/>
                      <w:highlight w:val="none"/>
                      <w:lang w:val="en-US" w:eastAsia="zh-CN"/>
                    </w:rPr>
                  </w:pPr>
                  <w:r>
                    <w:rPr>
                      <w:rFonts w:hint="eastAsia"/>
                      <w:color w:val="auto"/>
                      <w:sz w:val="22"/>
                      <w:szCs w:val="20"/>
                      <w:highlight w:val="none"/>
                      <w:lang w:val="en-US" w:eastAsia="zh-CN"/>
                    </w:rPr>
                    <w:t>56.69</w:t>
                  </w:r>
                </w:p>
              </w:tc>
              <w:tc>
                <w:tcPr>
                  <w:tcW w:w="555" w:type="pct"/>
                  <w:noWrap w:val="0"/>
                  <w:vAlign w:val="center"/>
                </w:tcPr>
                <w:p w14:paraId="1DABBE6C">
                  <w:pPr>
                    <w:pStyle w:val="59"/>
                    <w:bidi w:val="0"/>
                    <w:rPr>
                      <w:rFonts w:hint="default"/>
                      <w:color w:val="000000" w:themeColor="text1"/>
                      <w:sz w:val="22"/>
                      <w:szCs w:val="20"/>
                      <w:highlight w:val="none"/>
                      <w:lang w:val="en-US"/>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70</w:t>
                  </w:r>
                </w:p>
              </w:tc>
              <w:tc>
                <w:tcPr>
                  <w:tcW w:w="538" w:type="pct"/>
                  <w:noWrap w:val="0"/>
                  <w:vAlign w:val="center"/>
                </w:tcPr>
                <w:p w14:paraId="4A91FB49">
                  <w:pPr>
                    <w:pStyle w:val="59"/>
                    <w:bidi w:val="0"/>
                    <w:rPr>
                      <w:rFonts w:hint="default"/>
                      <w:color w:val="auto"/>
                      <w:sz w:val="22"/>
                      <w:szCs w:val="20"/>
                      <w:highlight w:val="none"/>
                    </w:rPr>
                  </w:pPr>
                  <w:r>
                    <w:rPr>
                      <w:rFonts w:hint="eastAsia"/>
                      <w:color w:val="auto"/>
                      <w:sz w:val="22"/>
                      <w:szCs w:val="20"/>
                      <w:highlight w:val="none"/>
                    </w:rPr>
                    <w:t>达标</w:t>
                  </w:r>
                </w:p>
              </w:tc>
            </w:tr>
            <w:tr w14:paraId="0CA9B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continue"/>
                  <w:noWrap w:val="0"/>
                  <w:vAlign w:val="center"/>
                </w:tcPr>
                <w:p w14:paraId="2A240104">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p>
              </w:tc>
              <w:tc>
                <w:tcPr>
                  <w:tcW w:w="1054" w:type="pct"/>
                  <w:vMerge w:val="continue"/>
                  <w:noWrap w:val="0"/>
                  <w:vAlign w:val="center"/>
                </w:tcPr>
                <w:p w14:paraId="4A3F241E">
                  <w:pPr>
                    <w:pStyle w:val="59"/>
                    <w:bidi w:val="0"/>
                    <w:rPr>
                      <w:rFonts w:hint="default" w:ascii="宋体" w:hAnsi="Courier New" w:eastAsia="宋体" w:cs="Times New Roman"/>
                      <w:color w:val="auto"/>
                      <w:sz w:val="22"/>
                      <w:szCs w:val="20"/>
                      <w:highlight w:val="none"/>
                      <w:lang w:val="en-US" w:eastAsia="zh-CN"/>
                    </w:rPr>
                  </w:pPr>
                </w:p>
              </w:tc>
              <w:tc>
                <w:tcPr>
                  <w:tcW w:w="486" w:type="pct"/>
                  <w:noWrap w:val="0"/>
                  <w:vAlign w:val="center"/>
                </w:tcPr>
                <w:p w14:paraId="57492CE6">
                  <w:pPr>
                    <w:pStyle w:val="59"/>
                    <w:bidi w:val="0"/>
                    <w:rPr>
                      <w:rFonts w:hint="default"/>
                      <w:color w:val="auto"/>
                      <w:sz w:val="22"/>
                      <w:szCs w:val="20"/>
                      <w:highlight w:val="none"/>
                    </w:rPr>
                  </w:pPr>
                  <w:r>
                    <w:rPr>
                      <w:rFonts w:hint="eastAsia"/>
                      <w:color w:val="auto"/>
                      <w:sz w:val="22"/>
                      <w:szCs w:val="20"/>
                      <w:highlight w:val="none"/>
                    </w:rPr>
                    <w:t>夜间</w:t>
                  </w:r>
                </w:p>
              </w:tc>
              <w:tc>
                <w:tcPr>
                  <w:tcW w:w="621" w:type="pct"/>
                  <w:noWrap w:val="0"/>
                  <w:vAlign w:val="center"/>
                </w:tcPr>
                <w:p w14:paraId="3C5C7093">
                  <w:pPr>
                    <w:pStyle w:val="59"/>
                    <w:bidi w:val="0"/>
                    <w:rPr>
                      <w:rFonts w:hint="eastAsia" w:eastAsia="宋体"/>
                      <w:color w:val="auto"/>
                      <w:sz w:val="22"/>
                      <w:szCs w:val="20"/>
                      <w:highlight w:val="none"/>
                      <w:lang w:val="en-US" w:eastAsia="zh-CN"/>
                    </w:rPr>
                  </w:pPr>
                  <w:r>
                    <w:rPr>
                      <w:rFonts w:hint="eastAsia"/>
                      <w:color w:val="auto"/>
                      <w:sz w:val="22"/>
                      <w:szCs w:val="20"/>
                      <w:highlight w:val="none"/>
                      <w:lang w:val="en-US" w:eastAsia="zh-CN"/>
                    </w:rPr>
                    <w:t>-</w:t>
                  </w:r>
                </w:p>
              </w:tc>
              <w:tc>
                <w:tcPr>
                  <w:tcW w:w="422" w:type="pct"/>
                  <w:noWrap w:val="0"/>
                  <w:vAlign w:val="center"/>
                </w:tcPr>
                <w:p w14:paraId="559985E2">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47.4</w:t>
                  </w:r>
                </w:p>
              </w:tc>
              <w:tc>
                <w:tcPr>
                  <w:tcW w:w="852" w:type="pct"/>
                  <w:noWrap w:val="0"/>
                  <w:vAlign w:val="center"/>
                </w:tcPr>
                <w:p w14:paraId="4806258C">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47.4</w:t>
                  </w:r>
                </w:p>
              </w:tc>
              <w:tc>
                <w:tcPr>
                  <w:tcW w:w="555" w:type="pct"/>
                  <w:noWrap w:val="0"/>
                  <w:vAlign w:val="center"/>
                </w:tcPr>
                <w:p w14:paraId="4C276B34">
                  <w:pPr>
                    <w:pStyle w:val="59"/>
                    <w:bidi w:val="0"/>
                    <w:rPr>
                      <w:rFonts w:hint="default"/>
                      <w:color w:val="000000" w:themeColor="text1"/>
                      <w:sz w:val="22"/>
                      <w:szCs w:val="20"/>
                      <w:highlight w:val="none"/>
                      <w:lang w:val="en-US"/>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55</w:t>
                  </w:r>
                </w:p>
              </w:tc>
              <w:tc>
                <w:tcPr>
                  <w:tcW w:w="538" w:type="pct"/>
                  <w:noWrap w:val="0"/>
                  <w:vAlign w:val="center"/>
                </w:tcPr>
                <w:p w14:paraId="52580A30">
                  <w:pPr>
                    <w:pStyle w:val="59"/>
                    <w:bidi w:val="0"/>
                    <w:rPr>
                      <w:rFonts w:hint="default"/>
                      <w:color w:val="auto"/>
                      <w:sz w:val="22"/>
                      <w:szCs w:val="20"/>
                      <w:highlight w:val="none"/>
                    </w:rPr>
                  </w:pPr>
                  <w:r>
                    <w:rPr>
                      <w:rFonts w:hint="eastAsia"/>
                      <w:color w:val="auto"/>
                      <w:sz w:val="22"/>
                      <w:szCs w:val="20"/>
                      <w:highlight w:val="none"/>
                    </w:rPr>
                    <w:t>达标</w:t>
                  </w:r>
                </w:p>
              </w:tc>
            </w:tr>
            <w:tr w14:paraId="5D091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restart"/>
                  <w:noWrap w:val="0"/>
                  <w:vAlign w:val="center"/>
                </w:tcPr>
                <w:p w14:paraId="7B2E79E4">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2"/>
                      <w:szCs w:val="20"/>
                      <w:highlight w:val="none"/>
                      <w:lang w:val="en-US" w:eastAsia="zh-CN"/>
                      <w14:textFill>
                        <w14:solidFill>
                          <w14:schemeClr w14:val="tx1"/>
                        </w14:solidFill>
                      </w14:textFill>
                    </w:rPr>
                    <w:t>西厂界</w:t>
                  </w:r>
                </w:p>
              </w:tc>
              <w:tc>
                <w:tcPr>
                  <w:tcW w:w="1054" w:type="pct"/>
                  <w:vMerge w:val="restart"/>
                  <w:noWrap w:val="0"/>
                  <w:vAlign w:val="center"/>
                </w:tcPr>
                <w:p w14:paraId="0F2CA413">
                  <w:pPr>
                    <w:pStyle w:val="59"/>
                    <w:bidi w:val="0"/>
                    <w:rPr>
                      <w:rFonts w:hint="default" w:ascii="宋体" w:hAnsi="Courier New" w:eastAsia="宋体" w:cs="Times New Roman"/>
                      <w:color w:val="auto"/>
                      <w:sz w:val="22"/>
                      <w:szCs w:val="20"/>
                      <w:highlight w:val="none"/>
                      <w:lang w:val="en-US" w:eastAsia="zh-CN"/>
                    </w:rPr>
                  </w:pPr>
                  <w:r>
                    <w:rPr>
                      <w:rFonts w:hint="eastAsia" w:ascii="宋体" w:hAnsi="Courier New" w:eastAsia="宋体" w:cs="Times New Roman"/>
                      <w:color w:val="auto"/>
                      <w:sz w:val="22"/>
                      <w:szCs w:val="20"/>
                      <w:highlight w:val="none"/>
                      <w:lang w:val="en-US" w:eastAsia="zh-CN"/>
                    </w:rPr>
                    <w:t>{-</w:t>
                  </w:r>
                  <w:r>
                    <w:rPr>
                      <w:rFonts w:hint="eastAsia" w:hAnsi="Courier New" w:cs="Times New Roman"/>
                      <w:color w:val="auto"/>
                      <w:sz w:val="22"/>
                      <w:szCs w:val="20"/>
                      <w:highlight w:val="none"/>
                      <w:lang w:val="en-US" w:eastAsia="zh-CN"/>
                    </w:rPr>
                    <w:t>66.15</w:t>
                  </w:r>
                  <w:r>
                    <w:rPr>
                      <w:rFonts w:hint="eastAsia" w:ascii="宋体" w:hAnsi="Courier New" w:eastAsia="宋体" w:cs="Times New Roman"/>
                      <w:color w:val="auto"/>
                      <w:sz w:val="22"/>
                      <w:szCs w:val="20"/>
                      <w:highlight w:val="none"/>
                      <w:lang w:val="en-US" w:eastAsia="zh-CN"/>
                    </w:rPr>
                    <w:t>,</w:t>
                  </w:r>
                  <w:r>
                    <w:rPr>
                      <w:rFonts w:hint="eastAsia" w:hAnsi="Courier New" w:cs="Times New Roman"/>
                      <w:color w:val="auto"/>
                      <w:sz w:val="22"/>
                      <w:szCs w:val="20"/>
                      <w:highlight w:val="none"/>
                      <w:lang w:val="en-US" w:eastAsia="zh-CN"/>
                    </w:rPr>
                    <w:t>7.88，</w:t>
                  </w:r>
                  <w:r>
                    <w:rPr>
                      <w:rFonts w:hint="eastAsia" w:ascii="宋体" w:hAnsi="Courier New" w:eastAsia="宋体" w:cs="Times New Roman"/>
                      <w:color w:val="auto"/>
                      <w:sz w:val="22"/>
                      <w:szCs w:val="20"/>
                      <w:highlight w:val="none"/>
                      <w:lang w:val="en-US" w:eastAsia="zh-CN"/>
                    </w:rPr>
                    <w:t>1.2}</w:t>
                  </w:r>
                </w:p>
              </w:tc>
              <w:tc>
                <w:tcPr>
                  <w:tcW w:w="486" w:type="pct"/>
                  <w:noWrap w:val="0"/>
                  <w:vAlign w:val="center"/>
                </w:tcPr>
                <w:p w14:paraId="10843707">
                  <w:pPr>
                    <w:pStyle w:val="59"/>
                    <w:bidi w:val="0"/>
                    <w:rPr>
                      <w:rFonts w:hint="default"/>
                      <w:color w:val="auto"/>
                      <w:sz w:val="22"/>
                      <w:szCs w:val="20"/>
                      <w:highlight w:val="none"/>
                    </w:rPr>
                  </w:pPr>
                  <w:r>
                    <w:rPr>
                      <w:rFonts w:hint="eastAsia"/>
                      <w:color w:val="auto"/>
                      <w:sz w:val="22"/>
                      <w:szCs w:val="20"/>
                      <w:highlight w:val="none"/>
                    </w:rPr>
                    <w:t>昼间</w:t>
                  </w:r>
                </w:p>
              </w:tc>
              <w:tc>
                <w:tcPr>
                  <w:tcW w:w="621" w:type="pct"/>
                  <w:noWrap w:val="0"/>
                  <w:vAlign w:val="center"/>
                </w:tcPr>
                <w:p w14:paraId="2D36D355">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44.14</w:t>
                  </w:r>
                </w:p>
              </w:tc>
              <w:tc>
                <w:tcPr>
                  <w:tcW w:w="422" w:type="pct"/>
                  <w:noWrap w:val="0"/>
                  <w:vAlign w:val="center"/>
                </w:tcPr>
                <w:p w14:paraId="07B394C0">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55.6</w:t>
                  </w:r>
                </w:p>
              </w:tc>
              <w:tc>
                <w:tcPr>
                  <w:tcW w:w="852" w:type="pct"/>
                  <w:noWrap w:val="0"/>
                  <w:vAlign w:val="center"/>
                </w:tcPr>
                <w:p w14:paraId="79BE4BFF">
                  <w:pPr>
                    <w:pStyle w:val="59"/>
                    <w:bidi w:val="0"/>
                    <w:rPr>
                      <w:rFonts w:hint="default"/>
                      <w:color w:val="auto"/>
                      <w:sz w:val="22"/>
                      <w:szCs w:val="20"/>
                      <w:highlight w:val="none"/>
                      <w:lang w:val="en-US" w:eastAsia="zh-CN"/>
                    </w:rPr>
                  </w:pPr>
                  <w:r>
                    <w:rPr>
                      <w:rFonts w:hint="eastAsia"/>
                      <w:color w:val="auto"/>
                      <w:sz w:val="22"/>
                      <w:szCs w:val="20"/>
                      <w:highlight w:val="none"/>
                      <w:lang w:val="en-US" w:eastAsia="zh-CN"/>
                    </w:rPr>
                    <w:t>55.92</w:t>
                  </w:r>
                </w:p>
              </w:tc>
              <w:tc>
                <w:tcPr>
                  <w:tcW w:w="555" w:type="pct"/>
                  <w:noWrap w:val="0"/>
                  <w:vAlign w:val="center"/>
                </w:tcPr>
                <w:p w14:paraId="2952DA88">
                  <w:pPr>
                    <w:pStyle w:val="59"/>
                    <w:bidi w:val="0"/>
                    <w:rPr>
                      <w:rFonts w:hint="eastAsia"/>
                      <w:color w:val="000000" w:themeColor="text1"/>
                      <w:sz w:val="22"/>
                      <w:szCs w:val="20"/>
                      <w:highlight w:val="none"/>
                      <w14:textFill>
                        <w14:solidFill>
                          <w14:schemeClr w14:val="tx1"/>
                        </w14:solidFill>
                      </w14:textFill>
                    </w:rPr>
                  </w:pPr>
                  <w:r>
                    <w:rPr>
                      <w:rFonts w:hint="eastAsia" w:eastAsia="宋体"/>
                      <w:color w:val="000000" w:themeColor="text1"/>
                      <w:sz w:val="22"/>
                      <w:szCs w:val="20"/>
                      <w:highlight w:val="none"/>
                      <w:lang w:val="en-US" w:eastAsia="zh-CN"/>
                      <w14:textFill>
                        <w14:solidFill>
                          <w14:schemeClr w14:val="tx1"/>
                        </w14:solidFill>
                      </w14:textFill>
                    </w:rPr>
                    <w:t>65</w:t>
                  </w:r>
                </w:p>
              </w:tc>
              <w:tc>
                <w:tcPr>
                  <w:tcW w:w="538" w:type="pct"/>
                  <w:noWrap w:val="0"/>
                  <w:vAlign w:val="center"/>
                </w:tcPr>
                <w:p w14:paraId="1A283BE1">
                  <w:pPr>
                    <w:pStyle w:val="59"/>
                    <w:bidi w:val="0"/>
                    <w:rPr>
                      <w:rFonts w:hint="default"/>
                      <w:color w:val="auto"/>
                      <w:sz w:val="22"/>
                      <w:szCs w:val="20"/>
                      <w:highlight w:val="none"/>
                    </w:rPr>
                  </w:pPr>
                  <w:r>
                    <w:rPr>
                      <w:rFonts w:hint="eastAsia"/>
                      <w:color w:val="auto"/>
                      <w:sz w:val="22"/>
                      <w:szCs w:val="20"/>
                      <w:highlight w:val="none"/>
                    </w:rPr>
                    <w:t>达标</w:t>
                  </w:r>
                </w:p>
              </w:tc>
            </w:tr>
            <w:tr w14:paraId="3283A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continue"/>
                  <w:noWrap w:val="0"/>
                  <w:vAlign w:val="center"/>
                </w:tcPr>
                <w:p w14:paraId="07243455">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p>
              </w:tc>
              <w:tc>
                <w:tcPr>
                  <w:tcW w:w="1054" w:type="pct"/>
                  <w:vMerge w:val="continue"/>
                  <w:noWrap w:val="0"/>
                  <w:vAlign w:val="center"/>
                </w:tcPr>
                <w:p w14:paraId="24826ECC">
                  <w:pPr>
                    <w:pStyle w:val="59"/>
                    <w:bidi w:val="0"/>
                    <w:rPr>
                      <w:rFonts w:hint="default" w:ascii="宋体" w:hAnsi="Courier New" w:eastAsia="宋体" w:cs="Times New Roman"/>
                      <w:color w:val="auto"/>
                      <w:sz w:val="22"/>
                      <w:szCs w:val="20"/>
                      <w:highlight w:val="none"/>
                      <w:lang w:val="en-US" w:eastAsia="zh-CN"/>
                    </w:rPr>
                  </w:pPr>
                </w:p>
              </w:tc>
              <w:tc>
                <w:tcPr>
                  <w:tcW w:w="486" w:type="pct"/>
                  <w:noWrap w:val="0"/>
                  <w:vAlign w:val="center"/>
                </w:tcPr>
                <w:p w14:paraId="6DCBBA56">
                  <w:pPr>
                    <w:pStyle w:val="59"/>
                    <w:bidi w:val="0"/>
                    <w:rPr>
                      <w:rFonts w:hint="default"/>
                      <w:color w:val="auto"/>
                      <w:sz w:val="22"/>
                      <w:szCs w:val="20"/>
                      <w:highlight w:val="none"/>
                    </w:rPr>
                  </w:pPr>
                  <w:r>
                    <w:rPr>
                      <w:rFonts w:hint="eastAsia"/>
                      <w:color w:val="auto"/>
                      <w:sz w:val="22"/>
                      <w:szCs w:val="20"/>
                      <w:highlight w:val="none"/>
                    </w:rPr>
                    <w:t>夜间</w:t>
                  </w:r>
                </w:p>
              </w:tc>
              <w:tc>
                <w:tcPr>
                  <w:tcW w:w="621" w:type="pct"/>
                  <w:noWrap w:val="0"/>
                  <w:vAlign w:val="center"/>
                </w:tcPr>
                <w:p w14:paraId="3D33093A">
                  <w:pPr>
                    <w:pStyle w:val="59"/>
                    <w:bidi w:val="0"/>
                    <w:rPr>
                      <w:rFonts w:hint="eastAsia" w:eastAsia="宋体"/>
                      <w:color w:val="auto"/>
                      <w:sz w:val="22"/>
                      <w:szCs w:val="20"/>
                      <w:highlight w:val="none"/>
                      <w:lang w:val="en-US" w:eastAsia="zh-CN"/>
                    </w:rPr>
                  </w:pPr>
                  <w:r>
                    <w:rPr>
                      <w:rFonts w:hint="eastAsia"/>
                      <w:color w:val="auto"/>
                      <w:sz w:val="22"/>
                      <w:szCs w:val="20"/>
                      <w:highlight w:val="none"/>
                      <w:lang w:val="en-US" w:eastAsia="zh-CN"/>
                    </w:rPr>
                    <w:t>-</w:t>
                  </w:r>
                </w:p>
              </w:tc>
              <w:tc>
                <w:tcPr>
                  <w:tcW w:w="422" w:type="pct"/>
                  <w:noWrap w:val="0"/>
                  <w:vAlign w:val="center"/>
                </w:tcPr>
                <w:p w14:paraId="339E4408">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46.5</w:t>
                  </w:r>
                </w:p>
              </w:tc>
              <w:tc>
                <w:tcPr>
                  <w:tcW w:w="852" w:type="pct"/>
                  <w:noWrap w:val="0"/>
                  <w:vAlign w:val="center"/>
                </w:tcPr>
                <w:p w14:paraId="663E377C">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46.5</w:t>
                  </w:r>
                </w:p>
              </w:tc>
              <w:tc>
                <w:tcPr>
                  <w:tcW w:w="555" w:type="pct"/>
                  <w:noWrap w:val="0"/>
                  <w:vAlign w:val="center"/>
                </w:tcPr>
                <w:p w14:paraId="63A42D2E">
                  <w:pPr>
                    <w:pStyle w:val="59"/>
                    <w:bidi w:val="0"/>
                    <w:rPr>
                      <w:rFonts w:hint="eastAsia"/>
                      <w:color w:val="000000" w:themeColor="text1"/>
                      <w:sz w:val="22"/>
                      <w:szCs w:val="20"/>
                      <w:highlight w:val="none"/>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55</w:t>
                  </w:r>
                </w:p>
              </w:tc>
              <w:tc>
                <w:tcPr>
                  <w:tcW w:w="538" w:type="pct"/>
                  <w:noWrap w:val="0"/>
                  <w:vAlign w:val="center"/>
                </w:tcPr>
                <w:p w14:paraId="1C2C7284">
                  <w:pPr>
                    <w:pStyle w:val="59"/>
                    <w:bidi w:val="0"/>
                    <w:rPr>
                      <w:rFonts w:hint="default"/>
                      <w:color w:val="auto"/>
                      <w:sz w:val="22"/>
                      <w:szCs w:val="20"/>
                      <w:highlight w:val="none"/>
                    </w:rPr>
                  </w:pPr>
                  <w:r>
                    <w:rPr>
                      <w:rFonts w:hint="eastAsia"/>
                      <w:color w:val="auto"/>
                      <w:sz w:val="22"/>
                      <w:szCs w:val="20"/>
                      <w:highlight w:val="none"/>
                    </w:rPr>
                    <w:t>达标</w:t>
                  </w:r>
                </w:p>
              </w:tc>
            </w:tr>
            <w:tr w14:paraId="64D2F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restart"/>
                  <w:noWrap w:val="0"/>
                  <w:vAlign w:val="center"/>
                </w:tcPr>
                <w:p w14:paraId="357120C0">
                  <w:pPr>
                    <w:pStyle w:val="59"/>
                    <w:bidi w:val="0"/>
                    <w:rPr>
                      <w:rFonts w:hint="default" w:ascii="宋体" w:hAnsi="Courier New" w:eastAsia="宋体" w:cs="Times New Roman"/>
                      <w:color w:val="000000" w:themeColor="text1"/>
                      <w:sz w:val="22"/>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2"/>
                      <w:szCs w:val="20"/>
                      <w:highlight w:val="none"/>
                      <w:lang w:val="en-US" w:eastAsia="zh-CN"/>
                      <w14:textFill>
                        <w14:solidFill>
                          <w14:schemeClr w14:val="tx1"/>
                        </w14:solidFill>
                      </w14:textFill>
                    </w:rPr>
                    <w:t>南厂界</w:t>
                  </w:r>
                </w:p>
              </w:tc>
              <w:tc>
                <w:tcPr>
                  <w:tcW w:w="1054" w:type="pct"/>
                  <w:vMerge w:val="restart"/>
                  <w:noWrap w:val="0"/>
                  <w:vAlign w:val="center"/>
                </w:tcPr>
                <w:p w14:paraId="1F43A4A5">
                  <w:pPr>
                    <w:pStyle w:val="59"/>
                    <w:bidi w:val="0"/>
                    <w:rPr>
                      <w:rFonts w:hint="default" w:ascii="宋体" w:hAnsi="Courier New" w:eastAsia="宋体" w:cs="Times New Roman"/>
                      <w:color w:val="auto"/>
                      <w:sz w:val="22"/>
                      <w:szCs w:val="20"/>
                      <w:highlight w:val="none"/>
                      <w:lang w:val="en-US" w:eastAsia="zh-CN"/>
                    </w:rPr>
                  </w:pPr>
                  <w:r>
                    <w:rPr>
                      <w:rFonts w:hint="eastAsia" w:ascii="宋体" w:hAnsi="Courier New" w:eastAsia="宋体" w:cs="Times New Roman"/>
                      <w:color w:val="auto"/>
                      <w:sz w:val="22"/>
                      <w:szCs w:val="20"/>
                      <w:highlight w:val="none"/>
                      <w:lang w:val="en-US" w:eastAsia="zh-CN"/>
                    </w:rPr>
                    <w:t>{</w:t>
                  </w:r>
                  <w:r>
                    <w:rPr>
                      <w:rFonts w:hint="eastAsia" w:hAnsi="Courier New" w:cs="Times New Roman"/>
                      <w:color w:val="auto"/>
                      <w:sz w:val="22"/>
                      <w:szCs w:val="20"/>
                      <w:highlight w:val="none"/>
                      <w:lang w:val="en-US" w:eastAsia="zh-CN"/>
                    </w:rPr>
                    <w:t>7.97，-85.48,1.2</w:t>
                  </w:r>
                  <w:r>
                    <w:rPr>
                      <w:rFonts w:hint="eastAsia" w:ascii="宋体" w:hAnsi="Courier New" w:eastAsia="宋体" w:cs="Times New Roman"/>
                      <w:color w:val="auto"/>
                      <w:sz w:val="22"/>
                      <w:szCs w:val="20"/>
                      <w:highlight w:val="none"/>
                      <w:lang w:val="en-US" w:eastAsia="zh-CN"/>
                    </w:rPr>
                    <w:t>}</w:t>
                  </w:r>
                </w:p>
              </w:tc>
              <w:tc>
                <w:tcPr>
                  <w:tcW w:w="486" w:type="pct"/>
                  <w:noWrap w:val="0"/>
                  <w:vAlign w:val="center"/>
                </w:tcPr>
                <w:p w14:paraId="7C07EEAB">
                  <w:pPr>
                    <w:pStyle w:val="59"/>
                    <w:bidi w:val="0"/>
                    <w:rPr>
                      <w:rFonts w:hint="default"/>
                      <w:color w:val="auto"/>
                      <w:sz w:val="22"/>
                      <w:szCs w:val="20"/>
                      <w:highlight w:val="none"/>
                    </w:rPr>
                  </w:pPr>
                  <w:r>
                    <w:rPr>
                      <w:rFonts w:hint="eastAsia"/>
                      <w:color w:val="auto"/>
                      <w:sz w:val="22"/>
                      <w:szCs w:val="20"/>
                      <w:highlight w:val="none"/>
                    </w:rPr>
                    <w:t>昼间</w:t>
                  </w:r>
                </w:p>
              </w:tc>
              <w:tc>
                <w:tcPr>
                  <w:tcW w:w="621" w:type="pct"/>
                  <w:noWrap w:val="0"/>
                  <w:vAlign w:val="center"/>
                </w:tcPr>
                <w:p w14:paraId="39A7C342">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45.01</w:t>
                  </w:r>
                </w:p>
              </w:tc>
              <w:tc>
                <w:tcPr>
                  <w:tcW w:w="422" w:type="pct"/>
                  <w:noWrap w:val="0"/>
                  <w:vAlign w:val="center"/>
                </w:tcPr>
                <w:p w14:paraId="33681360">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55.1</w:t>
                  </w:r>
                </w:p>
              </w:tc>
              <w:tc>
                <w:tcPr>
                  <w:tcW w:w="852" w:type="pct"/>
                  <w:noWrap w:val="0"/>
                  <w:vAlign w:val="center"/>
                </w:tcPr>
                <w:p w14:paraId="18D9D853">
                  <w:pPr>
                    <w:pStyle w:val="59"/>
                    <w:bidi w:val="0"/>
                    <w:rPr>
                      <w:rFonts w:hint="default"/>
                      <w:color w:val="auto"/>
                      <w:sz w:val="22"/>
                      <w:szCs w:val="20"/>
                      <w:highlight w:val="none"/>
                      <w:lang w:val="en-US" w:eastAsia="zh-CN"/>
                    </w:rPr>
                  </w:pPr>
                  <w:r>
                    <w:rPr>
                      <w:rFonts w:hint="eastAsia"/>
                      <w:color w:val="auto"/>
                      <w:sz w:val="22"/>
                      <w:szCs w:val="20"/>
                      <w:highlight w:val="none"/>
                      <w:lang w:val="en-US" w:eastAsia="zh-CN"/>
                    </w:rPr>
                    <w:t>55.51</w:t>
                  </w:r>
                </w:p>
              </w:tc>
              <w:tc>
                <w:tcPr>
                  <w:tcW w:w="555" w:type="pct"/>
                  <w:noWrap w:val="0"/>
                  <w:vAlign w:val="center"/>
                </w:tcPr>
                <w:p w14:paraId="75553ABD">
                  <w:pPr>
                    <w:pStyle w:val="59"/>
                    <w:bidi w:val="0"/>
                    <w:rPr>
                      <w:rFonts w:hint="default"/>
                      <w:color w:val="000000" w:themeColor="text1"/>
                      <w:sz w:val="22"/>
                      <w:szCs w:val="20"/>
                      <w:highlight w:val="none"/>
                      <w:lang w:val="en-US"/>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70</w:t>
                  </w:r>
                </w:p>
              </w:tc>
              <w:tc>
                <w:tcPr>
                  <w:tcW w:w="538" w:type="pct"/>
                  <w:noWrap w:val="0"/>
                  <w:vAlign w:val="center"/>
                </w:tcPr>
                <w:p w14:paraId="7CD9B544">
                  <w:pPr>
                    <w:pStyle w:val="59"/>
                    <w:bidi w:val="0"/>
                    <w:rPr>
                      <w:rFonts w:hint="default"/>
                      <w:color w:val="auto"/>
                      <w:sz w:val="22"/>
                      <w:szCs w:val="20"/>
                      <w:highlight w:val="none"/>
                    </w:rPr>
                  </w:pPr>
                  <w:r>
                    <w:rPr>
                      <w:rFonts w:hint="eastAsia"/>
                      <w:color w:val="auto"/>
                      <w:sz w:val="22"/>
                      <w:szCs w:val="20"/>
                      <w:highlight w:val="none"/>
                    </w:rPr>
                    <w:t>达标</w:t>
                  </w:r>
                </w:p>
              </w:tc>
            </w:tr>
            <w:tr w14:paraId="33062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jc w:val="center"/>
              </w:trPr>
              <w:tc>
                <w:tcPr>
                  <w:tcW w:w="468" w:type="pct"/>
                  <w:vMerge w:val="continue"/>
                  <w:noWrap w:val="0"/>
                  <w:vAlign w:val="center"/>
                </w:tcPr>
                <w:p w14:paraId="6D13E24D">
                  <w:pPr>
                    <w:pStyle w:val="59"/>
                    <w:bidi w:val="0"/>
                    <w:rPr>
                      <w:rFonts w:hint="default"/>
                      <w:color w:val="auto"/>
                      <w:sz w:val="22"/>
                      <w:szCs w:val="20"/>
                      <w:highlight w:val="none"/>
                    </w:rPr>
                  </w:pPr>
                </w:p>
              </w:tc>
              <w:tc>
                <w:tcPr>
                  <w:tcW w:w="1054" w:type="pct"/>
                  <w:vMerge w:val="continue"/>
                  <w:noWrap w:val="0"/>
                  <w:vAlign w:val="center"/>
                </w:tcPr>
                <w:p w14:paraId="7BDA2B55">
                  <w:pPr>
                    <w:pStyle w:val="59"/>
                    <w:bidi w:val="0"/>
                    <w:rPr>
                      <w:rFonts w:hint="default"/>
                      <w:color w:val="auto"/>
                      <w:sz w:val="22"/>
                      <w:szCs w:val="20"/>
                      <w:highlight w:val="none"/>
                    </w:rPr>
                  </w:pPr>
                </w:p>
              </w:tc>
              <w:tc>
                <w:tcPr>
                  <w:tcW w:w="486" w:type="pct"/>
                  <w:noWrap w:val="0"/>
                  <w:vAlign w:val="center"/>
                </w:tcPr>
                <w:p w14:paraId="46555162">
                  <w:pPr>
                    <w:pStyle w:val="59"/>
                    <w:bidi w:val="0"/>
                    <w:rPr>
                      <w:rFonts w:hint="default"/>
                      <w:color w:val="auto"/>
                      <w:sz w:val="22"/>
                      <w:szCs w:val="20"/>
                      <w:highlight w:val="none"/>
                    </w:rPr>
                  </w:pPr>
                  <w:r>
                    <w:rPr>
                      <w:rFonts w:hint="eastAsia"/>
                      <w:color w:val="auto"/>
                      <w:sz w:val="22"/>
                      <w:szCs w:val="20"/>
                      <w:highlight w:val="none"/>
                    </w:rPr>
                    <w:t>夜间</w:t>
                  </w:r>
                </w:p>
              </w:tc>
              <w:tc>
                <w:tcPr>
                  <w:tcW w:w="621" w:type="pct"/>
                  <w:noWrap w:val="0"/>
                  <w:vAlign w:val="center"/>
                </w:tcPr>
                <w:p w14:paraId="1E754459">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w:t>
                  </w:r>
                </w:p>
              </w:tc>
              <w:tc>
                <w:tcPr>
                  <w:tcW w:w="422" w:type="pct"/>
                  <w:noWrap w:val="0"/>
                  <w:vAlign w:val="center"/>
                </w:tcPr>
                <w:p w14:paraId="15D7E1BF">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46.2</w:t>
                  </w:r>
                </w:p>
              </w:tc>
              <w:tc>
                <w:tcPr>
                  <w:tcW w:w="852" w:type="pct"/>
                  <w:noWrap w:val="0"/>
                  <w:vAlign w:val="center"/>
                </w:tcPr>
                <w:p w14:paraId="14B36B70">
                  <w:pPr>
                    <w:pStyle w:val="59"/>
                    <w:bidi w:val="0"/>
                    <w:rPr>
                      <w:rFonts w:hint="default" w:eastAsia="宋体"/>
                      <w:color w:val="auto"/>
                      <w:sz w:val="22"/>
                      <w:szCs w:val="20"/>
                      <w:highlight w:val="none"/>
                      <w:lang w:val="en-US" w:eastAsia="zh-CN"/>
                    </w:rPr>
                  </w:pPr>
                  <w:r>
                    <w:rPr>
                      <w:rFonts w:hint="eastAsia"/>
                      <w:color w:val="auto"/>
                      <w:sz w:val="22"/>
                      <w:szCs w:val="20"/>
                      <w:highlight w:val="none"/>
                      <w:lang w:val="en-US" w:eastAsia="zh-CN"/>
                    </w:rPr>
                    <w:t>46.2</w:t>
                  </w:r>
                </w:p>
              </w:tc>
              <w:tc>
                <w:tcPr>
                  <w:tcW w:w="555" w:type="pct"/>
                  <w:noWrap w:val="0"/>
                  <w:vAlign w:val="center"/>
                </w:tcPr>
                <w:p w14:paraId="5BC9AFB1">
                  <w:pPr>
                    <w:pStyle w:val="59"/>
                    <w:bidi w:val="0"/>
                    <w:rPr>
                      <w:rFonts w:hint="eastAsia"/>
                      <w:color w:val="000000" w:themeColor="text1"/>
                      <w:sz w:val="22"/>
                      <w:szCs w:val="20"/>
                      <w:highlight w:val="none"/>
                      <w14:textFill>
                        <w14:solidFill>
                          <w14:schemeClr w14:val="tx1"/>
                        </w14:solidFill>
                      </w14:textFill>
                    </w:rPr>
                  </w:pPr>
                  <w:r>
                    <w:rPr>
                      <w:rFonts w:hint="eastAsia"/>
                      <w:color w:val="000000" w:themeColor="text1"/>
                      <w:sz w:val="22"/>
                      <w:szCs w:val="20"/>
                      <w:highlight w:val="none"/>
                      <w:lang w:val="en-US" w:eastAsia="zh-CN"/>
                      <w14:textFill>
                        <w14:solidFill>
                          <w14:schemeClr w14:val="tx1"/>
                        </w14:solidFill>
                      </w14:textFill>
                    </w:rPr>
                    <w:t>55</w:t>
                  </w:r>
                </w:p>
              </w:tc>
              <w:tc>
                <w:tcPr>
                  <w:tcW w:w="538" w:type="pct"/>
                  <w:noWrap w:val="0"/>
                  <w:vAlign w:val="center"/>
                </w:tcPr>
                <w:p w14:paraId="591C19CE">
                  <w:pPr>
                    <w:pStyle w:val="59"/>
                    <w:bidi w:val="0"/>
                    <w:rPr>
                      <w:rFonts w:hint="default"/>
                      <w:color w:val="auto"/>
                      <w:sz w:val="22"/>
                      <w:szCs w:val="20"/>
                      <w:highlight w:val="none"/>
                    </w:rPr>
                  </w:pPr>
                  <w:r>
                    <w:rPr>
                      <w:rFonts w:hint="eastAsia"/>
                      <w:color w:val="auto"/>
                      <w:sz w:val="22"/>
                      <w:szCs w:val="20"/>
                      <w:highlight w:val="none"/>
                    </w:rPr>
                    <w:t>达标</w:t>
                  </w:r>
                </w:p>
              </w:tc>
            </w:tr>
          </w:tbl>
          <w:p w14:paraId="23CE1C6B">
            <w:pPr>
              <w:pStyle w:val="112"/>
              <w:keepLines w:val="0"/>
              <w:pageBreakBefore w:val="0"/>
              <w:widowControl w:val="0"/>
              <w:kinsoku/>
              <w:overflowPunct/>
              <w:topLinePunct w:val="0"/>
              <w:bidi w:val="0"/>
              <w:rPr>
                <w:rFonts w:hint="eastAsia"/>
                <w:color w:val="auto"/>
                <w:sz w:val="24"/>
                <w:szCs w:val="24"/>
                <w:highlight w:val="none"/>
              </w:rPr>
            </w:pPr>
            <w:r>
              <w:rPr>
                <w:rFonts w:hint="eastAsia"/>
                <w:color w:val="auto"/>
                <w:sz w:val="24"/>
                <w:szCs w:val="24"/>
                <w:highlight w:val="none"/>
                <w:lang w:val="en-US" w:eastAsia="zh-CN"/>
              </w:rPr>
              <w:t>综上所述</w:t>
            </w:r>
            <w:r>
              <w:rPr>
                <w:rFonts w:hint="default"/>
                <w:color w:val="auto"/>
                <w:sz w:val="24"/>
                <w:szCs w:val="24"/>
                <w:highlight w:val="none"/>
                <w:lang w:eastAsia="zh-CN"/>
              </w:rPr>
              <w:t>，</w:t>
            </w:r>
            <w:r>
              <w:rPr>
                <w:rFonts w:hint="eastAsia"/>
                <w:color w:val="auto"/>
                <w:sz w:val="24"/>
                <w:szCs w:val="24"/>
                <w:highlight w:val="none"/>
                <w:lang w:eastAsia="zh-CN"/>
              </w:rPr>
              <w:t>本项目</w:t>
            </w:r>
            <w:r>
              <w:rPr>
                <w:rFonts w:hint="default"/>
                <w:color w:val="auto"/>
                <w:sz w:val="24"/>
                <w:szCs w:val="24"/>
                <w:highlight w:val="none"/>
                <w:lang w:eastAsia="zh-CN"/>
              </w:rPr>
              <w:t>噪声经</w:t>
            </w:r>
            <w:r>
              <w:rPr>
                <w:rFonts w:hint="eastAsia"/>
                <w:color w:val="auto"/>
                <w:sz w:val="24"/>
                <w:szCs w:val="24"/>
                <w:highlight w:val="none"/>
                <w:lang w:val="en-US" w:eastAsia="zh-CN"/>
              </w:rPr>
              <w:t>采取措施</w:t>
            </w:r>
            <w:r>
              <w:rPr>
                <w:rFonts w:hint="default"/>
                <w:color w:val="auto"/>
                <w:sz w:val="24"/>
                <w:szCs w:val="24"/>
                <w:highlight w:val="none"/>
                <w:lang w:eastAsia="zh-CN"/>
              </w:rPr>
              <w:t>衰减后，</w:t>
            </w:r>
            <w:r>
              <w:rPr>
                <w:rFonts w:hint="eastAsia"/>
                <w:color w:val="auto"/>
                <w:sz w:val="24"/>
                <w:szCs w:val="24"/>
                <w:highlight w:val="none"/>
              </w:rPr>
              <w:t>厂界噪声可以满足《工业企业厂界环境噪声排放标准》（GB12348-2008）</w:t>
            </w:r>
            <w:r>
              <w:rPr>
                <w:rFonts w:hint="eastAsia"/>
                <w:color w:val="auto"/>
                <w:sz w:val="24"/>
                <w:szCs w:val="24"/>
                <w:highlight w:val="none"/>
                <w:lang w:val="en-US" w:eastAsia="zh-CN"/>
              </w:rPr>
              <w:t>3</w:t>
            </w:r>
            <w:r>
              <w:rPr>
                <w:rFonts w:hint="eastAsia"/>
                <w:color w:val="auto"/>
                <w:sz w:val="24"/>
                <w:szCs w:val="24"/>
                <w:highlight w:val="none"/>
              </w:rPr>
              <w:t>类</w:t>
            </w:r>
            <w:r>
              <w:rPr>
                <w:rFonts w:hint="eastAsia"/>
                <w:color w:val="auto"/>
                <w:sz w:val="24"/>
                <w:szCs w:val="24"/>
                <w:highlight w:val="none"/>
                <w:lang w:val="en-US" w:eastAsia="zh-CN"/>
              </w:rPr>
              <w:t>和4类</w:t>
            </w:r>
            <w:r>
              <w:rPr>
                <w:rFonts w:hint="eastAsia"/>
                <w:color w:val="auto"/>
                <w:sz w:val="24"/>
                <w:szCs w:val="24"/>
                <w:highlight w:val="none"/>
              </w:rPr>
              <w:t>标准限值要求（昼间6</w:t>
            </w:r>
            <w:r>
              <w:rPr>
                <w:rFonts w:hint="eastAsia"/>
                <w:color w:val="auto"/>
                <w:sz w:val="24"/>
                <w:szCs w:val="24"/>
                <w:highlight w:val="none"/>
                <w:lang w:val="en-US" w:eastAsia="zh-CN"/>
              </w:rPr>
              <w:t>5/70</w:t>
            </w:r>
            <w:r>
              <w:rPr>
                <w:rFonts w:hint="eastAsia"/>
                <w:color w:val="auto"/>
                <w:sz w:val="24"/>
                <w:szCs w:val="24"/>
                <w:highlight w:val="none"/>
              </w:rPr>
              <w:t>dB（A）、夜间5</w:t>
            </w:r>
            <w:r>
              <w:rPr>
                <w:rFonts w:hint="eastAsia"/>
                <w:color w:val="auto"/>
                <w:sz w:val="24"/>
                <w:szCs w:val="24"/>
                <w:highlight w:val="none"/>
                <w:lang w:val="en-US" w:eastAsia="zh-CN"/>
              </w:rPr>
              <w:t>5</w:t>
            </w:r>
            <w:r>
              <w:rPr>
                <w:rFonts w:hint="eastAsia"/>
                <w:color w:val="auto"/>
                <w:sz w:val="24"/>
                <w:szCs w:val="24"/>
                <w:highlight w:val="none"/>
              </w:rPr>
              <w:t>dB（A））。</w:t>
            </w:r>
          </w:p>
          <w:p w14:paraId="309C8535">
            <w:pPr>
              <w:pStyle w:val="91"/>
              <w:numPr>
                <w:ilvl w:val="0"/>
                <w:numId w:val="0"/>
              </w:numPr>
              <w:bidi w:val="0"/>
              <w:jc w:val="center"/>
              <w:rPr>
                <w:rFonts w:hint="eastAsia"/>
                <w:color w:val="auto"/>
                <w:highlight w:val="none"/>
                <w:lang w:val="en-US" w:eastAsia="zh-CN"/>
              </w:rPr>
            </w:pPr>
            <w:r>
              <w:rPr>
                <w:rFonts w:hint="eastAsia"/>
                <w:color w:val="auto"/>
                <w:highlight w:val="none"/>
                <w:lang w:val="en-US" w:eastAsia="zh-CN"/>
              </w:rPr>
              <w:t xml:space="preserve"> 表4-8  声环境保护目标噪声预测一览表（dB(A)）</w:t>
            </w:r>
          </w:p>
          <w:tbl>
            <w:tblPr>
              <w:tblStyle w:val="3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5"/>
              <w:gridCol w:w="809"/>
              <w:gridCol w:w="1080"/>
              <w:gridCol w:w="1010"/>
              <w:gridCol w:w="975"/>
              <w:gridCol w:w="1231"/>
              <w:gridCol w:w="1080"/>
              <w:gridCol w:w="1282"/>
            </w:tblGrid>
            <w:tr w14:paraId="45D9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jc w:val="center"/>
              </w:trPr>
              <w:tc>
                <w:tcPr>
                  <w:tcW w:w="593" w:type="pct"/>
                  <w:tcBorders>
                    <w:tl2br w:val="nil"/>
                    <w:tr2bl w:val="nil"/>
                  </w:tcBorders>
                  <w:vAlign w:val="center"/>
                </w:tcPr>
                <w:p w14:paraId="76F58485">
                  <w:pPr>
                    <w:pStyle w:val="102"/>
                    <w:bidi w:val="0"/>
                    <w:rPr>
                      <w:rFonts w:hint="eastAsia"/>
                      <w:color w:val="auto"/>
                      <w:highlight w:val="none"/>
                      <w:lang w:val="en-US" w:eastAsia="zh-CN"/>
                    </w:rPr>
                  </w:pPr>
                  <w:r>
                    <w:rPr>
                      <w:rFonts w:hint="eastAsia"/>
                      <w:color w:val="auto"/>
                      <w:highlight w:val="none"/>
                      <w:lang w:val="en-US" w:eastAsia="zh-CN"/>
                    </w:rPr>
                    <w:t>声环境保护目标名称</w:t>
                  </w:r>
                </w:p>
              </w:tc>
              <w:tc>
                <w:tcPr>
                  <w:tcW w:w="477" w:type="pct"/>
                  <w:tcBorders>
                    <w:tl2br w:val="nil"/>
                    <w:tr2bl w:val="nil"/>
                  </w:tcBorders>
                  <w:vAlign w:val="center"/>
                </w:tcPr>
                <w:p w14:paraId="7CAE44AF">
                  <w:pPr>
                    <w:pStyle w:val="102"/>
                    <w:bidi w:val="0"/>
                    <w:rPr>
                      <w:rFonts w:hint="eastAsia"/>
                      <w:color w:val="auto"/>
                      <w:highlight w:val="none"/>
                      <w:lang w:val="en-US" w:eastAsia="zh-CN"/>
                    </w:rPr>
                  </w:pPr>
                  <w:r>
                    <w:rPr>
                      <w:rFonts w:hint="eastAsia"/>
                      <w:color w:val="auto"/>
                      <w:highlight w:val="none"/>
                      <w:lang w:val="en-US" w:eastAsia="zh-CN"/>
                    </w:rPr>
                    <w:t>时段</w:t>
                  </w:r>
                </w:p>
              </w:tc>
              <w:tc>
                <w:tcPr>
                  <w:tcW w:w="637" w:type="pct"/>
                  <w:tcBorders>
                    <w:tl2br w:val="nil"/>
                    <w:tr2bl w:val="nil"/>
                  </w:tcBorders>
                  <w:vAlign w:val="center"/>
                </w:tcPr>
                <w:p w14:paraId="265C33C8">
                  <w:pPr>
                    <w:pStyle w:val="102"/>
                    <w:bidi w:val="0"/>
                    <w:rPr>
                      <w:rFonts w:hint="eastAsia"/>
                      <w:color w:val="auto"/>
                      <w:highlight w:val="none"/>
                      <w:lang w:val="en-US" w:eastAsia="zh-CN"/>
                    </w:rPr>
                  </w:pPr>
                  <w:r>
                    <w:rPr>
                      <w:rFonts w:hint="eastAsia"/>
                      <w:color w:val="auto"/>
                      <w:highlight w:val="none"/>
                      <w:lang w:val="en-US" w:eastAsia="zh-CN"/>
                    </w:rPr>
                    <w:t>噪声现状值</w:t>
                  </w:r>
                </w:p>
              </w:tc>
              <w:tc>
                <w:tcPr>
                  <w:tcW w:w="596" w:type="pct"/>
                  <w:tcBorders>
                    <w:tl2br w:val="nil"/>
                    <w:tr2bl w:val="nil"/>
                  </w:tcBorders>
                  <w:vAlign w:val="center"/>
                </w:tcPr>
                <w:p w14:paraId="3A80339E">
                  <w:pPr>
                    <w:pStyle w:val="102"/>
                    <w:bidi w:val="0"/>
                    <w:rPr>
                      <w:rFonts w:hint="eastAsia" w:ascii="Times New Roman" w:hAnsi="Times New Roman" w:eastAsia="宋体" w:cs="Times New Roman"/>
                      <w:b/>
                      <w:bCs/>
                      <w:color w:val="auto"/>
                      <w:kern w:val="2"/>
                      <w:sz w:val="21"/>
                      <w:szCs w:val="21"/>
                      <w:highlight w:val="none"/>
                      <w:lang w:val="en-US" w:eastAsia="zh-CN" w:bidi="ar-SA"/>
                    </w:rPr>
                  </w:pPr>
                  <w:r>
                    <w:rPr>
                      <w:rFonts w:hint="eastAsia"/>
                      <w:color w:val="auto"/>
                      <w:highlight w:val="none"/>
                      <w:lang w:val="en-US" w:eastAsia="zh-CN"/>
                    </w:rPr>
                    <w:t>噪声贡献值</w:t>
                  </w:r>
                </w:p>
              </w:tc>
              <w:tc>
                <w:tcPr>
                  <w:tcW w:w="575" w:type="pct"/>
                  <w:tcBorders>
                    <w:tl2br w:val="nil"/>
                    <w:tr2bl w:val="nil"/>
                  </w:tcBorders>
                  <w:vAlign w:val="center"/>
                </w:tcPr>
                <w:p w14:paraId="429CEE8A">
                  <w:pPr>
                    <w:pStyle w:val="102"/>
                    <w:bidi w:val="0"/>
                    <w:rPr>
                      <w:rFonts w:hint="eastAsia" w:ascii="Times New Roman" w:hAnsi="Times New Roman" w:eastAsia="宋体" w:cs="Times New Roman"/>
                      <w:b/>
                      <w:bCs/>
                      <w:color w:val="auto"/>
                      <w:kern w:val="2"/>
                      <w:sz w:val="21"/>
                      <w:szCs w:val="21"/>
                      <w:highlight w:val="none"/>
                      <w:lang w:val="en-US" w:eastAsia="zh-CN" w:bidi="ar-SA"/>
                    </w:rPr>
                  </w:pPr>
                  <w:r>
                    <w:rPr>
                      <w:rFonts w:hint="eastAsia"/>
                      <w:color w:val="auto"/>
                      <w:highlight w:val="none"/>
                      <w:lang w:val="en-US" w:eastAsia="zh-CN"/>
                    </w:rPr>
                    <w:t>噪声预测值</w:t>
                  </w:r>
                </w:p>
              </w:tc>
              <w:tc>
                <w:tcPr>
                  <w:tcW w:w="726" w:type="pct"/>
                  <w:tcBorders>
                    <w:tl2br w:val="nil"/>
                    <w:tr2bl w:val="nil"/>
                  </w:tcBorders>
                  <w:vAlign w:val="center"/>
                </w:tcPr>
                <w:p w14:paraId="35AE90BA">
                  <w:pPr>
                    <w:pStyle w:val="102"/>
                    <w:bidi w:val="0"/>
                    <w:rPr>
                      <w:rFonts w:hint="eastAsia" w:ascii="Times New Roman" w:hAnsi="Times New Roman" w:eastAsia="宋体" w:cs="Times New Roman"/>
                      <w:b/>
                      <w:bCs/>
                      <w:color w:val="auto"/>
                      <w:kern w:val="2"/>
                      <w:sz w:val="21"/>
                      <w:szCs w:val="21"/>
                      <w:highlight w:val="none"/>
                      <w:lang w:val="en-US" w:eastAsia="zh-CN" w:bidi="ar-SA"/>
                    </w:rPr>
                  </w:pPr>
                  <w:r>
                    <w:rPr>
                      <w:rFonts w:hint="eastAsia"/>
                      <w:color w:val="auto"/>
                      <w:highlight w:val="none"/>
                      <w:lang w:val="en-US" w:eastAsia="zh-CN"/>
                    </w:rPr>
                    <w:t>较现状增量</w:t>
                  </w:r>
                </w:p>
              </w:tc>
              <w:tc>
                <w:tcPr>
                  <w:tcW w:w="637" w:type="pct"/>
                  <w:tcBorders>
                    <w:tl2br w:val="nil"/>
                    <w:tr2bl w:val="nil"/>
                  </w:tcBorders>
                  <w:vAlign w:val="center"/>
                </w:tcPr>
                <w:p w14:paraId="6628E286">
                  <w:pPr>
                    <w:pStyle w:val="102"/>
                    <w:bidi w:val="0"/>
                    <w:rPr>
                      <w:rFonts w:hint="eastAsia"/>
                      <w:color w:val="auto"/>
                      <w:highlight w:val="none"/>
                      <w:lang w:val="en-US" w:eastAsia="zh-CN"/>
                    </w:rPr>
                  </w:pPr>
                  <w:r>
                    <w:rPr>
                      <w:rFonts w:hint="eastAsia"/>
                      <w:color w:val="auto"/>
                      <w:highlight w:val="none"/>
                      <w:lang w:val="en-US" w:eastAsia="zh-CN"/>
                    </w:rPr>
                    <w:t>噪声标准</w:t>
                  </w:r>
                </w:p>
              </w:tc>
              <w:tc>
                <w:tcPr>
                  <w:tcW w:w="756" w:type="pct"/>
                  <w:tcBorders>
                    <w:tl2br w:val="nil"/>
                    <w:tr2bl w:val="nil"/>
                  </w:tcBorders>
                  <w:vAlign w:val="center"/>
                </w:tcPr>
                <w:p w14:paraId="0FBED666">
                  <w:pPr>
                    <w:pStyle w:val="102"/>
                    <w:bidi w:val="0"/>
                    <w:rPr>
                      <w:rFonts w:hint="eastAsia"/>
                      <w:color w:val="auto"/>
                      <w:highlight w:val="none"/>
                      <w:lang w:val="en-US" w:eastAsia="zh-CN"/>
                    </w:rPr>
                  </w:pPr>
                  <w:r>
                    <w:rPr>
                      <w:rFonts w:hint="eastAsia"/>
                      <w:color w:val="auto"/>
                      <w:highlight w:val="none"/>
                      <w:lang w:val="en-US" w:eastAsia="zh-CN"/>
                    </w:rPr>
                    <w:t>超标和达标情况</w:t>
                  </w:r>
                </w:p>
              </w:tc>
            </w:tr>
            <w:tr w14:paraId="498B5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593" w:type="pct"/>
                  <w:vMerge w:val="restart"/>
                  <w:tcBorders>
                    <w:tl2br w:val="nil"/>
                    <w:tr2bl w:val="nil"/>
                  </w:tcBorders>
                  <w:vAlign w:val="center"/>
                </w:tcPr>
                <w:p w14:paraId="561D113D">
                  <w:pPr>
                    <w:pStyle w:val="103"/>
                    <w:bidi w:val="0"/>
                    <w:jc w:val="center"/>
                    <w:rPr>
                      <w:rFonts w:hint="default"/>
                      <w:color w:val="auto"/>
                      <w:highlight w:val="none"/>
                      <w:lang w:val="en-US" w:eastAsia="zh-CN"/>
                    </w:rPr>
                  </w:pPr>
                  <w:r>
                    <w:rPr>
                      <w:rFonts w:hint="eastAsia"/>
                      <w:color w:val="auto"/>
                      <w:highlight w:val="none"/>
                      <w:lang w:val="en-US" w:eastAsia="zh-CN"/>
                    </w:rPr>
                    <w:t>厂东侧岳霍口最近村住户</w:t>
                  </w:r>
                </w:p>
              </w:tc>
              <w:tc>
                <w:tcPr>
                  <w:tcW w:w="477" w:type="pct"/>
                  <w:tcBorders>
                    <w:tl2br w:val="nil"/>
                    <w:tr2bl w:val="nil"/>
                  </w:tcBorders>
                  <w:vAlign w:val="center"/>
                </w:tcPr>
                <w:p w14:paraId="5E7AD50F">
                  <w:pPr>
                    <w:pStyle w:val="103"/>
                    <w:bidi w:val="0"/>
                    <w:jc w:val="center"/>
                    <w:rPr>
                      <w:rFonts w:hint="eastAsia"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昼</w:t>
                  </w:r>
                </w:p>
              </w:tc>
              <w:tc>
                <w:tcPr>
                  <w:tcW w:w="637" w:type="pct"/>
                  <w:tcBorders>
                    <w:tl2br w:val="nil"/>
                    <w:tr2bl w:val="nil"/>
                  </w:tcBorders>
                  <w:vAlign w:val="center"/>
                </w:tcPr>
                <w:p w14:paraId="0D2AFEB2">
                  <w:pPr>
                    <w:pStyle w:val="103"/>
                    <w:bidi w:val="0"/>
                    <w:jc w:val="center"/>
                    <w:rPr>
                      <w:rFonts w:hint="default"/>
                      <w:color w:val="auto"/>
                      <w:highlight w:val="none"/>
                      <w:lang w:val="en-US" w:eastAsia="zh-CN"/>
                    </w:rPr>
                  </w:pPr>
                  <w:r>
                    <w:rPr>
                      <w:rFonts w:hint="eastAsia"/>
                      <w:color w:val="auto"/>
                      <w:highlight w:val="none"/>
                      <w:lang w:val="en-US" w:eastAsia="zh-CN"/>
                    </w:rPr>
                    <w:t>52</w:t>
                  </w:r>
                </w:p>
              </w:tc>
              <w:tc>
                <w:tcPr>
                  <w:tcW w:w="596" w:type="pct"/>
                  <w:tcBorders>
                    <w:tl2br w:val="nil"/>
                    <w:tr2bl w:val="nil"/>
                  </w:tcBorders>
                  <w:vAlign w:val="center"/>
                </w:tcPr>
                <w:p w14:paraId="09781A72">
                  <w:pPr>
                    <w:pStyle w:val="103"/>
                    <w:bidi w:val="0"/>
                    <w:jc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47.45</w:t>
                  </w:r>
                </w:p>
              </w:tc>
              <w:tc>
                <w:tcPr>
                  <w:tcW w:w="575" w:type="pct"/>
                  <w:tcBorders>
                    <w:tl2br w:val="nil"/>
                    <w:tr2bl w:val="nil"/>
                  </w:tcBorders>
                  <w:vAlign w:val="center"/>
                </w:tcPr>
                <w:p w14:paraId="6561CD02">
                  <w:pPr>
                    <w:pStyle w:val="103"/>
                    <w:bidi w:val="0"/>
                    <w:jc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53.3</w:t>
                  </w:r>
                </w:p>
              </w:tc>
              <w:tc>
                <w:tcPr>
                  <w:tcW w:w="726" w:type="pct"/>
                  <w:tcBorders>
                    <w:tl2br w:val="nil"/>
                    <w:tr2bl w:val="nil"/>
                  </w:tcBorders>
                  <w:vAlign w:val="center"/>
                </w:tcPr>
                <w:p w14:paraId="5F4D9595">
                  <w:pPr>
                    <w:pStyle w:val="103"/>
                    <w:bidi w:val="0"/>
                    <w:jc w:val="center"/>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w:t>
                  </w:r>
                  <w:r>
                    <w:rPr>
                      <w:rFonts w:hint="eastAsia" w:cs="Times New Roman"/>
                      <w:color w:val="auto"/>
                      <w:highlight w:val="none"/>
                      <w:lang w:val="en-US" w:eastAsia="zh-CN"/>
                    </w:rPr>
                    <w:t>1.3</w:t>
                  </w:r>
                </w:p>
              </w:tc>
              <w:tc>
                <w:tcPr>
                  <w:tcW w:w="637" w:type="pct"/>
                  <w:tcBorders>
                    <w:tl2br w:val="nil"/>
                    <w:tr2bl w:val="nil"/>
                  </w:tcBorders>
                  <w:vAlign w:val="center"/>
                </w:tcPr>
                <w:p w14:paraId="30690DB2">
                  <w:pPr>
                    <w:pStyle w:val="103"/>
                    <w:bidi w:val="0"/>
                    <w:jc w:val="center"/>
                    <w:rPr>
                      <w:rFonts w:hint="eastAsia" w:ascii="Times New Roman" w:hAnsi="Times New Roman" w:eastAsia="宋体" w:cs="Times New Roman"/>
                      <w:color w:val="auto"/>
                      <w:highlight w:val="none"/>
                      <w:lang w:val="en-US" w:eastAsia="zh-CN"/>
                    </w:rPr>
                  </w:pPr>
                  <w:r>
                    <w:rPr>
                      <w:rFonts w:hint="eastAsia"/>
                      <w:color w:val="auto"/>
                      <w:highlight w:val="none"/>
                      <w:lang w:val="en-US" w:eastAsia="zh-CN"/>
                    </w:rPr>
                    <w:t>55</w:t>
                  </w:r>
                </w:p>
              </w:tc>
              <w:tc>
                <w:tcPr>
                  <w:tcW w:w="756" w:type="pct"/>
                  <w:tcBorders>
                    <w:tl2br w:val="nil"/>
                    <w:tr2bl w:val="nil"/>
                  </w:tcBorders>
                  <w:vAlign w:val="center"/>
                </w:tcPr>
                <w:p w14:paraId="63A0A930">
                  <w:pPr>
                    <w:pStyle w:val="103"/>
                    <w:bidi w:val="0"/>
                    <w:jc w:val="cente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达标</w:t>
                  </w:r>
                </w:p>
              </w:tc>
            </w:tr>
            <w:tr w14:paraId="7CB0B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93" w:type="pct"/>
                  <w:vMerge w:val="continue"/>
                  <w:tcBorders>
                    <w:tl2br w:val="nil"/>
                    <w:tr2bl w:val="nil"/>
                  </w:tcBorders>
                  <w:vAlign w:val="center"/>
                </w:tcPr>
                <w:p w14:paraId="25D002CD">
                  <w:pPr>
                    <w:pStyle w:val="103"/>
                    <w:bidi w:val="0"/>
                    <w:jc w:val="center"/>
                    <w:rPr>
                      <w:rFonts w:hint="eastAsia"/>
                      <w:color w:val="auto"/>
                      <w:highlight w:val="none"/>
                      <w:lang w:val="en-US" w:eastAsia="zh-CN"/>
                    </w:rPr>
                  </w:pPr>
                </w:p>
              </w:tc>
              <w:tc>
                <w:tcPr>
                  <w:tcW w:w="477" w:type="pct"/>
                  <w:tcBorders>
                    <w:tl2br w:val="nil"/>
                    <w:tr2bl w:val="nil"/>
                  </w:tcBorders>
                  <w:vAlign w:val="center"/>
                </w:tcPr>
                <w:p w14:paraId="3108F2AA">
                  <w:pPr>
                    <w:pStyle w:val="103"/>
                    <w:bidi w:val="0"/>
                    <w:jc w:val="center"/>
                    <w:rPr>
                      <w:rFonts w:hint="eastAsia"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夜</w:t>
                  </w:r>
                </w:p>
              </w:tc>
              <w:tc>
                <w:tcPr>
                  <w:tcW w:w="637" w:type="pct"/>
                  <w:tcBorders>
                    <w:tl2br w:val="nil"/>
                    <w:tr2bl w:val="nil"/>
                  </w:tcBorders>
                  <w:vAlign w:val="center"/>
                </w:tcPr>
                <w:p w14:paraId="355149D5">
                  <w:pPr>
                    <w:pStyle w:val="103"/>
                    <w:bidi w:val="0"/>
                    <w:jc w:val="center"/>
                    <w:rPr>
                      <w:rFonts w:hint="default"/>
                      <w:color w:val="auto"/>
                      <w:highlight w:val="none"/>
                      <w:lang w:val="en-US" w:eastAsia="zh-CN"/>
                    </w:rPr>
                  </w:pPr>
                  <w:r>
                    <w:rPr>
                      <w:rFonts w:hint="eastAsia"/>
                      <w:color w:val="auto"/>
                      <w:highlight w:val="none"/>
                      <w:lang w:val="en-US" w:eastAsia="zh-CN"/>
                    </w:rPr>
                    <w:t>43</w:t>
                  </w:r>
                </w:p>
              </w:tc>
              <w:tc>
                <w:tcPr>
                  <w:tcW w:w="596" w:type="pct"/>
                  <w:tcBorders>
                    <w:tl2br w:val="nil"/>
                    <w:tr2bl w:val="nil"/>
                  </w:tcBorders>
                  <w:vAlign w:val="center"/>
                </w:tcPr>
                <w:p w14:paraId="75513D23">
                  <w:pPr>
                    <w:pStyle w:val="103"/>
                    <w:bidi w:val="0"/>
                    <w:jc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w:t>
                  </w:r>
                </w:p>
              </w:tc>
              <w:tc>
                <w:tcPr>
                  <w:tcW w:w="575" w:type="pct"/>
                  <w:tcBorders>
                    <w:tl2br w:val="nil"/>
                    <w:tr2bl w:val="nil"/>
                  </w:tcBorders>
                  <w:vAlign w:val="center"/>
                </w:tcPr>
                <w:p w14:paraId="77BD1C9F">
                  <w:pPr>
                    <w:pStyle w:val="103"/>
                    <w:bidi w:val="0"/>
                    <w:jc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43</w:t>
                  </w:r>
                </w:p>
              </w:tc>
              <w:tc>
                <w:tcPr>
                  <w:tcW w:w="726" w:type="pct"/>
                  <w:tcBorders>
                    <w:tl2br w:val="nil"/>
                    <w:tr2bl w:val="nil"/>
                  </w:tcBorders>
                  <w:vAlign w:val="center"/>
                </w:tcPr>
                <w:p w14:paraId="2EABD3B3">
                  <w:pPr>
                    <w:pStyle w:val="103"/>
                    <w:bidi w:val="0"/>
                    <w:jc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0</w:t>
                  </w:r>
                </w:p>
              </w:tc>
              <w:tc>
                <w:tcPr>
                  <w:tcW w:w="637" w:type="pct"/>
                  <w:tcBorders>
                    <w:tl2br w:val="nil"/>
                    <w:tr2bl w:val="nil"/>
                  </w:tcBorders>
                  <w:vAlign w:val="center"/>
                </w:tcPr>
                <w:p w14:paraId="13EA79B5">
                  <w:pPr>
                    <w:pStyle w:val="103"/>
                    <w:bidi w:val="0"/>
                    <w:jc w:val="center"/>
                    <w:rPr>
                      <w:rFonts w:hint="eastAsia" w:ascii="Times New Roman" w:hAnsi="Times New Roman" w:eastAsia="宋体" w:cs="Times New Roman"/>
                      <w:color w:val="auto"/>
                      <w:highlight w:val="none"/>
                      <w:lang w:val="en-US" w:eastAsia="zh-CN"/>
                    </w:rPr>
                  </w:pPr>
                  <w:r>
                    <w:rPr>
                      <w:rFonts w:hint="eastAsia"/>
                      <w:color w:val="auto"/>
                      <w:highlight w:val="none"/>
                      <w:lang w:val="en-US" w:eastAsia="zh-CN"/>
                    </w:rPr>
                    <w:t>45</w:t>
                  </w:r>
                </w:p>
              </w:tc>
              <w:tc>
                <w:tcPr>
                  <w:tcW w:w="756" w:type="pct"/>
                  <w:tcBorders>
                    <w:tl2br w:val="nil"/>
                    <w:tr2bl w:val="nil"/>
                  </w:tcBorders>
                  <w:vAlign w:val="center"/>
                </w:tcPr>
                <w:p w14:paraId="4215814D">
                  <w:pPr>
                    <w:pStyle w:val="103"/>
                    <w:bidi w:val="0"/>
                    <w:jc w:val="cente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达标</w:t>
                  </w:r>
                </w:p>
              </w:tc>
            </w:tr>
          </w:tbl>
          <w:p w14:paraId="15C1B901">
            <w:pPr>
              <w:pStyle w:val="112"/>
              <w:keepLines w:val="0"/>
              <w:pageBreakBefore w:val="0"/>
              <w:widowControl w:val="0"/>
              <w:kinsoku/>
              <w:overflowPunct/>
              <w:topLinePunct w:val="0"/>
              <w:bidi w:val="0"/>
              <w:rPr>
                <w:rFonts w:hint="default"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根据上表，厂界东侧声环境保护目标岳霍口村</w:t>
            </w:r>
            <w:r>
              <w:rPr>
                <w:rFonts w:hint="eastAsia" w:cs="Times New Roman"/>
                <w:color w:val="auto"/>
                <w:kern w:val="2"/>
                <w:sz w:val="24"/>
                <w:szCs w:val="24"/>
                <w:highlight w:val="none"/>
                <w:lang w:val="en-US" w:eastAsia="zh-CN" w:bidi="ar-SA"/>
              </w:rPr>
              <w:t>50m范围内最近住户</w:t>
            </w:r>
            <w:r>
              <w:rPr>
                <w:rFonts w:hint="eastAsia" w:ascii="Times New Roman" w:hAnsi="Times New Roman" w:eastAsia="宋体" w:cs="Times New Roman"/>
                <w:color w:val="auto"/>
                <w:kern w:val="2"/>
                <w:sz w:val="24"/>
                <w:szCs w:val="24"/>
                <w:highlight w:val="none"/>
                <w:lang w:val="en-US" w:eastAsia="zh-CN" w:bidi="ar-SA"/>
              </w:rPr>
              <w:t>噪声满足《声环境质量标准》（GB3096-2008）</w:t>
            </w:r>
            <w:r>
              <w:rPr>
                <w:rFonts w:hint="eastAsia" w:cs="Times New Roman"/>
                <w:color w:val="auto"/>
                <w:kern w:val="2"/>
                <w:sz w:val="24"/>
                <w:szCs w:val="24"/>
                <w:highlight w:val="none"/>
                <w:lang w:val="en-US" w:eastAsia="zh-CN" w:bidi="ar-SA"/>
              </w:rPr>
              <w:t>1</w:t>
            </w:r>
            <w:r>
              <w:rPr>
                <w:rFonts w:hint="eastAsia" w:ascii="Times New Roman" w:hAnsi="Times New Roman" w:eastAsia="宋体" w:cs="Times New Roman"/>
                <w:color w:val="auto"/>
                <w:kern w:val="2"/>
                <w:sz w:val="24"/>
                <w:szCs w:val="24"/>
                <w:highlight w:val="none"/>
                <w:lang w:val="en-US" w:eastAsia="zh-CN" w:bidi="ar-SA"/>
              </w:rPr>
              <w:t>类标准要求</w:t>
            </w:r>
            <w:r>
              <w:rPr>
                <w:rFonts w:hint="eastAsia" w:cs="Times New Roman"/>
                <w:color w:val="auto"/>
                <w:kern w:val="2"/>
                <w:sz w:val="24"/>
                <w:szCs w:val="24"/>
                <w:highlight w:val="none"/>
                <w:lang w:val="en-US" w:eastAsia="zh-CN" w:bidi="ar-SA"/>
              </w:rPr>
              <w:t>昼间：55dB（A）、夜间：45dB（A），则其他住户亦满足要求。</w:t>
            </w:r>
          </w:p>
          <w:p w14:paraId="64E1EF7C">
            <w:pPr>
              <w:widowControl/>
              <w:adjustRightInd w:val="0"/>
              <w:snapToGrid w:val="0"/>
              <w:spacing w:line="360" w:lineRule="auto"/>
              <w:ind w:firstLine="482" w:firstLineChars="200"/>
              <w:rPr>
                <w:b/>
                <w:bCs/>
                <w:color w:val="auto"/>
                <w:sz w:val="24"/>
                <w:highlight w:val="none"/>
              </w:rPr>
            </w:pPr>
            <w:r>
              <w:rPr>
                <w:b/>
                <w:bCs/>
                <w:color w:val="auto"/>
                <w:sz w:val="24"/>
                <w:highlight w:val="none"/>
              </w:rPr>
              <w:t>3、监测计划</w:t>
            </w:r>
          </w:p>
          <w:p w14:paraId="293C2347">
            <w:pPr>
              <w:snapToGrid w:val="0"/>
              <w:spacing w:line="360" w:lineRule="auto"/>
              <w:ind w:firstLine="480" w:firstLineChars="200"/>
              <w:rPr>
                <w:b/>
                <w:bCs/>
                <w:color w:val="auto"/>
                <w:sz w:val="24"/>
                <w:highlight w:val="none"/>
              </w:rPr>
            </w:pPr>
            <w:r>
              <w:rPr>
                <w:color w:val="auto"/>
                <w:sz w:val="24"/>
                <w:highlight w:val="none"/>
              </w:rPr>
              <w:t>本企业</w:t>
            </w:r>
            <w:r>
              <w:rPr>
                <w:rFonts w:hint="eastAsia"/>
                <w:color w:val="auto"/>
                <w:sz w:val="24"/>
                <w:highlight w:val="none"/>
              </w:rPr>
              <w:t>为</w:t>
            </w:r>
            <w:r>
              <w:rPr>
                <w:color w:val="auto"/>
                <w:sz w:val="24"/>
                <w:highlight w:val="none"/>
              </w:rPr>
              <w:t>非重点排污单位</w:t>
            </w:r>
            <w:r>
              <w:rPr>
                <w:rFonts w:hint="eastAsia"/>
                <w:color w:val="auto"/>
                <w:sz w:val="24"/>
                <w:highlight w:val="none"/>
                <w:lang w:eastAsia="zh-CN"/>
              </w:rPr>
              <w:t>，</w:t>
            </w:r>
            <w:r>
              <w:rPr>
                <w:rFonts w:hint="eastAsia"/>
                <w:bCs/>
                <w:color w:val="auto"/>
                <w:kern w:val="0"/>
                <w:sz w:val="24"/>
                <w:highlight w:val="none"/>
              </w:rPr>
              <w:t>项目</w:t>
            </w:r>
            <w:r>
              <w:rPr>
                <w:bCs/>
                <w:color w:val="auto"/>
                <w:kern w:val="0"/>
                <w:sz w:val="24"/>
                <w:highlight w:val="none"/>
              </w:rPr>
              <w:t>噪声监测计划见</w:t>
            </w:r>
            <w:r>
              <w:rPr>
                <w:rFonts w:hint="eastAsia"/>
                <w:bCs/>
                <w:color w:val="auto"/>
                <w:kern w:val="0"/>
                <w:sz w:val="24"/>
                <w:highlight w:val="none"/>
                <w:lang w:val="en-US" w:eastAsia="zh-CN"/>
              </w:rPr>
              <w:t>下</w:t>
            </w:r>
            <w:r>
              <w:rPr>
                <w:bCs/>
                <w:color w:val="auto"/>
                <w:kern w:val="0"/>
                <w:sz w:val="24"/>
                <w:highlight w:val="none"/>
              </w:rPr>
              <w:t>表。</w:t>
            </w:r>
          </w:p>
          <w:p w14:paraId="284951C5">
            <w:pPr>
              <w:pStyle w:val="3"/>
              <w:spacing w:line="360" w:lineRule="auto"/>
              <w:ind w:firstLine="422"/>
              <w:jc w:val="center"/>
              <w:rPr>
                <w:rFonts w:ascii="Times New Roman" w:hAnsi="Times New Roman"/>
                <w:bCs w:val="0"/>
                <w:color w:val="auto"/>
                <w:sz w:val="24"/>
                <w:szCs w:val="24"/>
                <w:highlight w:val="none"/>
              </w:rPr>
            </w:pPr>
            <w:r>
              <w:rPr>
                <w:rFonts w:ascii="Times New Roman" w:hAnsi="Times New Roman"/>
                <w:b/>
                <w:color w:val="auto"/>
                <w:sz w:val="24"/>
                <w:szCs w:val="24"/>
                <w:highlight w:val="none"/>
              </w:rPr>
              <w:t>表</w:t>
            </w:r>
            <w:r>
              <w:rPr>
                <w:rFonts w:hint="eastAsia" w:ascii="Times New Roman" w:hAnsi="Times New Roman"/>
                <w:b/>
                <w:color w:val="auto"/>
                <w:sz w:val="24"/>
                <w:szCs w:val="24"/>
                <w:highlight w:val="none"/>
                <w:lang w:val="en-US" w:eastAsia="zh-CN"/>
              </w:rPr>
              <w:t>4-9</w:t>
            </w:r>
            <w:r>
              <w:rPr>
                <w:rFonts w:ascii="Times New Roman" w:hAnsi="Times New Roman"/>
                <w:b/>
                <w:color w:val="auto"/>
                <w:sz w:val="24"/>
                <w:szCs w:val="24"/>
                <w:highlight w:val="none"/>
              </w:rPr>
              <w:t xml:space="preserve">  </w:t>
            </w:r>
            <w:r>
              <w:rPr>
                <w:rFonts w:hint="eastAsia" w:ascii="Times New Roman" w:hAnsi="Times New Roman"/>
                <w:b/>
                <w:color w:val="auto"/>
                <w:sz w:val="24"/>
                <w:szCs w:val="24"/>
                <w:highlight w:val="none"/>
              </w:rPr>
              <w:t>项目</w:t>
            </w:r>
            <w:r>
              <w:rPr>
                <w:rFonts w:ascii="Times New Roman" w:hAnsi="Times New Roman"/>
                <w:b/>
                <w:color w:val="auto"/>
                <w:sz w:val="24"/>
                <w:szCs w:val="24"/>
                <w:highlight w:val="none"/>
              </w:rPr>
              <w:t>噪声监测方案</w:t>
            </w:r>
          </w:p>
          <w:tbl>
            <w:tblPr>
              <w:tblStyle w:val="36"/>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5"/>
              <w:gridCol w:w="1322"/>
              <w:gridCol w:w="1511"/>
              <w:gridCol w:w="1151"/>
              <w:gridCol w:w="3713"/>
            </w:tblGrid>
            <w:tr w14:paraId="4379E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57" w:type="pct"/>
                  <w:noWrap w:val="0"/>
                  <w:vAlign w:val="center"/>
                </w:tcPr>
                <w:p w14:paraId="7BE40F0B">
                  <w:pPr>
                    <w:pStyle w:val="34"/>
                    <w:spacing w:line="240" w:lineRule="exact"/>
                    <w:ind w:firstLine="0" w:firstLineChars="0"/>
                    <w:jc w:val="center"/>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类别</w:t>
                  </w:r>
                </w:p>
              </w:tc>
              <w:tc>
                <w:tcPr>
                  <w:tcW w:w="780" w:type="pct"/>
                  <w:noWrap w:val="0"/>
                  <w:vAlign w:val="center"/>
                </w:tcPr>
                <w:p w14:paraId="4D932D91">
                  <w:pPr>
                    <w:pStyle w:val="34"/>
                    <w:spacing w:line="240" w:lineRule="exact"/>
                    <w:ind w:firstLine="0" w:firstLineChars="0"/>
                    <w:jc w:val="center"/>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监测点位</w:t>
                  </w:r>
                </w:p>
              </w:tc>
              <w:tc>
                <w:tcPr>
                  <w:tcW w:w="891" w:type="pct"/>
                  <w:noWrap w:val="0"/>
                  <w:vAlign w:val="center"/>
                </w:tcPr>
                <w:p w14:paraId="393466D6">
                  <w:pPr>
                    <w:pStyle w:val="34"/>
                    <w:spacing w:line="240" w:lineRule="exact"/>
                    <w:ind w:firstLine="0" w:firstLineChars="0"/>
                    <w:jc w:val="center"/>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监测指标</w:t>
                  </w:r>
                </w:p>
              </w:tc>
              <w:tc>
                <w:tcPr>
                  <w:tcW w:w="679" w:type="pct"/>
                  <w:noWrap w:val="0"/>
                  <w:vAlign w:val="center"/>
                </w:tcPr>
                <w:p w14:paraId="35DAF8A6">
                  <w:pPr>
                    <w:pStyle w:val="34"/>
                    <w:spacing w:line="240" w:lineRule="exact"/>
                    <w:ind w:firstLine="0" w:firstLineChars="0"/>
                    <w:jc w:val="center"/>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监测频次</w:t>
                  </w:r>
                </w:p>
              </w:tc>
              <w:tc>
                <w:tcPr>
                  <w:tcW w:w="2190" w:type="pct"/>
                  <w:noWrap w:val="0"/>
                  <w:vAlign w:val="center"/>
                </w:tcPr>
                <w:p w14:paraId="095774C5">
                  <w:pPr>
                    <w:pStyle w:val="34"/>
                    <w:spacing w:line="240" w:lineRule="exact"/>
                    <w:ind w:firstLine="0" w:firstLineChars="0"/>
                    <w:jc w:val="center"/>
                    <w:rPr>
                      <w:rFonts w:ascii="Times New Roman" w:hAnsi="Times New Roman" w:cs="Times New Roman"/>
                      <w:b/>
                      <w:bCs/>
                      <w:color w:val="auto"/>
                      <w:sz w:val="21"/>
                      <w:szCs w:val="21"/>
                      <w:highlight w:val="none"/>
                    </w:rPr>
                  </w:pPr>
                  <w:r>
                    <w:rPr>
                      <w:rFonts w:ascii="Times New Roman" w:hAnsi="Times New Roman" w:cs="Times New Roman"/>
                      <w:b/>
                      <w:bCs/>
                      <w:color w:val="auto"/>
                      <w:sz w:val="21"/>
                      <w:szCs w:val="21"/>
                      <w:highlight w:val="none"/>
                    </w:rPr>
                    <w:t>执行标准</w:t>
                  </w:r>
                </w:p>
              </w:tc>
            </w:tr>
            <w:tr w14:paraId="0895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7" w:type="pct"/>
                  <w:vMerge w:val="restart"/>
                  <w:noWrap w:val="0"/>
                  <w:vAlign w:val="center"/>
                </w:tcPr>
                <w:p w14:paraId="43164B41">
                  <w:pPr>
                    <w:pStyle w:val="34"/>
                    <w:spacing w:line="240" w:lineRule="exact"/>
                    <w:ind w:firstLine="0" w:firstLineChars="0"/>
                    <w:jc w:val="center"/>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噪声</w:t>
                  </w:r>
                </w:p>
              </w:tc>
              <w:tc>
                <w:tcPr>
                  <w:tcW w:w="780" w:type="pct"/>
                  <w:noWrap w:val="0"/>
                  <w:vAlign w:val="center"/>
                </w:tcPr>
                <w:p w14:paraId="32653405">
                  <w:pPr>
                    <w:pStyle w:val="34"/>
                    <w:spacing w:line="240" w:lineRule="exact"/>
                    <w:ind w:firstLine="0" w:firstLineChars="0"/>
                    <w:jc w:val="center"/>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厂界外1米</w:t>
                  </w:r>
                </w:p>
              </w:tc>
              <w:tc>
                <w:tcPr>
                  <w:tcW w:w="891" w:type="pct"/>
                  <w:vMerge w:val="restart"/>
                  <w:noWrap w:val="0"/>
                  <w:vAlign w:val="center"/>
                </w:tcPr>
                <w:p w14:paraId="5BEB9BC5">
                  <w:pPr>
                    <w:pStyle w:val="34"/>
                    <w:spacing w:line="240" w:lineRule="exact"/>
                    <w:ind w:firstLine="0" w:firstLineChars="0"/>
                    <w:jc w:val="center"/>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等效连续A声级</w:t>
                  </w:r>
                </w:p>
              </w:tc>
              <w:tc>
                <w:tcPr>
                  <w:tcW w:w="679" w:type="pct"/>
                  <w:vMerge w:val="restart"/>
                  <w:noWrap w:val="0"/>
                  <w:vAlign w:val="center"/>
                </w:tcPr>
                <w:p w14:paraId="4A4CE3D3">
                  <w:pPr>
                    <w:pStyle w:val="34"/>
                    <w:spacing w:line="240" w:lineRule="exact"/>
                    <w:ind w:firstLine="0" w:firstLineChars="0"/>
                    <w:jc w:val="center"/>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1</w:t>
                  </w:r>
                  <w:r>
                    <w:rPr>
                      <w:rFonts w:ascii="Times New Roman" w:hAnsi="Times New Roman" w:cs="Times New Roman"/>
                      <w:color w:val="auto"/>
                      <w:sz w:val="21"/>
                      <w:szCs w:val="21"/>
                      <w:highlight w:val="none"/>
                    </w:rPr>
                    <w:t>次</w:t>
                  </w:r>
                  <w:r>
                    <w:rPr>
                      <w:rFonts w:hint="eastAsia" w:ascii="Times New Roman" w:hAnsi="Times New Roman" w:cs="Times New Roman"/>
                      <w:color w:val="auto"/>
                      <w:sz w:val="21"/>
                      <w:szCs w:val="21"/>
                      <w:highlight w:val="none"/>
                    </w:rPr>
                    <w:t>/</w:t>
                  </w:r>
                  <w:r>
                    <w:rPr>
                      <w:rFonts w:ascii="Times New Roman" w:hAnsi="Times New Roman" w:cs="Times New Roman"/>
                      <w:color w:val="auto"/>
                      <w:sz w:val="21"/>
                      <w:szCs w:val="21"/>
                      <w:highlight w:val="none"/>
                    </w:rPr>
                    <w:t>季</w:t>
                  </w:r>
                </w:p>
              </w:tc>
              <w:tc>
                <w:tcPr>
                  <w:tcW w:w="2190" w:type="pct"/>
                  <w:noWrap w:val="0"/>
                  <w:vAlign w:val="center"/>
                </w:tcPr>
                <w:p w14:paraId="751C98B2">
                  <w:pPr>
                    <w:pStyle w:val="34"/>
                    <w:spacing w:line="240" w:lineRule="exact"/>
                    <w:ind w:firstLine="0" w:firstLineChars="0"/>
                    <w:jc w:val="center"/>
                    <w:rPr>
                      <w:rFonts w:ascii="Times New Roman" w:hAnsi="Times New Roman" w:cs="Times New Roman"/>
                      <w:color w:val="auto"/>
                      <w:sz w:val="21"/>
                      <w:szCs w:val="21"/>
                      <w:highlight w:val="none"/>
                    </w:rPr>
                  </w:pPr>
                  <w:r>
                    <w:rPr>
                      <w:rFonts w:ascii="Times New Roman" w:hAnsi="Times New Roman" w:cs="Times New Roman"/>
                      <w:color w:val="auto"/>
                      <w:sz w:val="21"/>
                      <w:szCs w:val="21"/>
                      <w:highlight w:val="none"/>
                    </w:rPr>
                    <w:t>《工业企业厂界环境噪声排放标准》（GB12348-2008）中</w:t>
                  </w:r>
                  <w:r>
                    <w:rPr>
                      <w:rFonts w:hint="eastAsia" w:ascii="Times New Roman" w:hAnsi="Times New Roman" w:cs="Times New Roman"/>
                      <w:color w:val="auto"/>
                      <w:sz w:val="21"/>
                      <w:szCs w:val="21"/>
                      <w:highlight w:val="none"/>
                      <w:lang w:val="en-US" w:eastAsia="zh-CN"/>
                    </w:rPr>
                    <w:t>3</w:t>
                  </w:r>
                  <w:r>
                    <w:rPr>
                      <w:rFonts w:ascii="Times New Roman" w:hAnsi="Times New Roman" w:cs="Times New Roman"/>
                      <w:color w:val="auto"/>
                      <w:sz w:val="21"/>
                      <w:szCs w:val="21"/>
                      <w:highlight w:val="none"/>
                    </w:rPr>
                    <w:t>类</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4类</w:t>
                  </w:r>
                  <w:r>
                    <w:rPr>
                      <w:rFonts w:ascii="Times New Roman" w:hAnsi="Times New Roman" w:cs="Times New Roman"/>
                      <w:color w:val="auto"/>
                      <w:sz w:val="21"/>
                      <w:szCs w:val="21"/>
                      <w:highlight w:val="none"/>
                    </w:rPr>
                    <w:t>标准</w:t>
                  </w:r>
                </w:p>
              </w:tc>
            </w:tr>
            <w:tr w14:paraId="7B537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7" w:type="pct"/>
                  <w:vMerge w:val="continue"/>
                  <w:noWrap w:val="0"/>
                  <w:vAlign w:val="center"/>
                </w:tcPr>
                <w:p w14:paraId="6363050C">
                  <w:pPr>
                    <w:pStyle w:val="34"/>
                    <w:spacing w:line="240" w:lineRule="exact"/>
                    <w:ind w:firstLine="0" w:firstLineChars="0"/>
                    <w:jc w:val="center"/>
                    <w:rPr>
                      <w:rFonts w:ascii="Times New Roman" w:hAnsi="Times New Roman" w:cs="Times New Roman"/>
                      <w:color w:val="auto"/>
                      <w:sz w:val="21"/>
                      <w:szCs w:val="21"/>
                      <w:highlight w:val="none"/>
                    </w:rPr>
                  </w:pPr>
                </w:p>
              </w:tc>
              <w:tc>
                <w:tcPr>
                  <w:tcW w:w="780" w:type="pct"/>
                  <w:noWrap w:val="0"/>
                  <w:vAlign w:val="center"/>
                </w:tcPr>
                <w:p w14:paraId="0A6223E9">
                  <w:pPr>
                    <w:pStyle w:val="34"/>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最近敏感点</w:t>
                  </w:r>
                </w:p>
              </w:tc>
              <w:tc>
                <w:tcPr>
                  <w:tcW w:w="891" w:type="pct"/>
                  <w:vMerge w:val="continue"/>
                  <w:noWrap w:val="0"/>
                  <w:vAlign w:val="center"/>
                </w:tcPr>
                <w:p w14:paraId="0C767122">
                  <w:pPr>
                    <w:pStyle w:val="34"/>
                    <w:spacing w:line="240" w:lineRule="exact"/>
                    <w:ind w:firstLine="0" w:firstLineChars="0"/>
                    <w:jc w:val="center"/>
                    <w:rPr>
                      <w:rFonts w:ascii="Times New Roman" w:hAnsi="Times New Roman" w:cs="Times New Roman"/>
                      <w:color w:val="auto"/>
                      <w:sz w:val="21"/>
                      <w:szCs w:val="21"/>
                      <w:highlight w:val="none"/>
                    </w:rPr>
                  </w:pPr>
                </w:p>
              </w:tc>
              <w:tc>
                <w:tcPr>
                  <w:tcW w:w="679" w:type="pct"/>
                  <w:vMerge w:val="continue"/>
                  <w:noWrap w:val="0"/>
                  <w:vAlign w:val="center"/>
                </w:tcPr>
                <w:p w14:paraId="4935076C">
                  <w:pPr>
                    <w:pStyle w:val="34"/>
                    <w:spacing w:line="240" w:lineRule="exact"/>
                    <w:ind w:firstLine="0" w:firstLineChars="0"/>
                    <w:jc w:val="center"/>
                    <w:rPr>
                      <w:rFonts w:hint="eastAsia" w:ascii="Times New Roman" w:hAnsi="Times New Roman" w:cs="Times New Roman"/>
                      <w:color w:val="auto"/>
                      <w:sz w:val="21"/>
                      <w:szCs w:val="21"/>
                      <w:highlight w:val="none"/>
                    </w:rPr>
                  </w:pPr>
                </w:p>
              </w:tc>
              <w:tc>
                <w:tcPr>
                  <w:tcW w:w="2190" w:type="pct"/>
                  <w:noWrap w:val="0"/>
                  <w:vAlign w:val="center"/>
                </w:tcPr>
                <w:p w14:paraId="41327710">
                  <w:pPr>
                    <w:pStyle w:val="34"/>
                    <w:spacing w:line="240" w:lineRule="exact"/>
                    <w:ind w:firstLine="0" w:firstLineChars="0"/>
                    <w:jc w:val="center"/>
                    <w:rPr>
                      <w:rFonts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《声环境质量标准》（GB3096-2008）1类标准</w:t>
                  </w:r>
                </w:p>
              </w:tc>
            </w:tr>
          </w:tbl>
          <w:p w14:paraId="7BA46E82">
            <w:pPr>
              <w:tabs>
                <w:tab w:val="left" w:pos="8647"/>
              </w:tabs>
              <w:spacing w:line="360" w:lineRule="auto"/>
              <w:outlineLvl w:val="3"/>
              <w:rPr>
                <w:rFonts w:hint="eastAsia" w:ascii="Times New Roman" w:hAnsi="Times New Roman" w:eastAsia="宋体" w:cs="Times New Roman"/>
                <w:b/>
                <w:bCs/>
                <w:color w:val="auto"/>
                <w:kern w:val="2"/>
                <w:sz w:val="24"/>
                <w:szCs w:val="24"/>
                <w:highlight w:val="none"/>
                <w:lang w:val="en-US" w:eastAsia="zh-CN" w:bidi="ar-SA"/>
              </w:rPr>
            </w:pPr>
          </w:p>
          <w:p w14:paraId="4CA059EE">
            <w:pPr>
              <w:tabs>
                <w:tab w:val="left" w:pos="8647"/>
              </w:tabs>
              <w:spacing w:line="360" w:lineRule="auto"/>
              <w:outlineLvl w:val="3"/>
              <w:rPr>
                <w:rFonts w:hint="default" w:eastAsia="仿宋"/>
                <w:color w:val="000000" w:themeColor="text1"/>
                <w:sz w:val="24"/>
                <w:highlight w:val="none"/>
                <w:lang w:val="en-US"/>
                <w14:textFill>
                  <w14:solidFill>
                    <w14:schemeClr w14:val="tx1"/>
                  </w14:solidFill>
                </w14:textFill>
              </w:rPr>
            </w:pPr>
            <w:r>
              <w:rPr>
                <w:rFonts w:hint="eastAsia"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t>四、固体废弃物污染防治及排放情况</w:t>
            </w:r>
          </w:p>
          <w:p w14:paraId="4C0E5A59">
            <w:pPr>
              <w:pStyle w:val="28"/>
              <w:numPr>
                <w:ilvl w:val="0"/>
                <w:numId w:val="12"/>
              </w:numPr>
              <w:spacing w:line="360" w:lineRule="auto"/>
              <w:ind w:firstLine="48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一般废物产生情况</w:t>
            </w:r>
          </w:p>
          <w:p w14:paraId="1F0BD18B">
            <w:pPr>
              <w:pStyle w:val="28"/>
              <w:spacing w:line="360" w:lineRule="auto"/>
              <w:ind w:firstLine="480"/>
              <w:rPr>
                <w:rFonts w:hint="eastAsia"/>
                <w:color w:val="auto"/>
                <w:sz w:val="24"/>
                <w:highlight w:val="none"/>
              </w:rPr>
            </w:pPr>
            <w:r>
              <w:rPr>
                <w:rFonts w:hint="eastAsia"/>
                <w:color w:val="auto"/>
                <w:sz w:val="24"/>
                <w:highlight w:val="none"/>
              </w:rPr>
              <w:t>依据工件携带情况，清洗过程中产生铁屑情况为30天清理一次各个水槽，产生量约为</w:t>
            </w:r>
            <w:r>
              <w:rPr>
                <w:rFonts w:hint="eastAsia"/>
                <w:color w:val="auto"/>
                <w:sz w:val="24"/>
                <w:highlight w:val="none"/>
                <w:lang w:val="en-US" w:eastAsia="zh-CN"/>
              </w:rPr>
              <w:t>5.88kg</w:t>
            </w:r>
            <w:r>
              <w:rPr>
                <w:rFonts w:hint="eastAsia"/>
                <w:color w:val="auto"/>
                <w:sz w:val="24"/>
                <w:highlight w:val="none"/>
              </w:rPr>
              <w:t>/次，年产生量为</w:t>
            </w:r>
            <w:r>
              <w:rPr>
                <w:rFonts w:hint="eastAsia"/>
                <w:color w:val="auto"/>
                <w:sz w:val="24"/>
                <w:highlight w:val="none"/>
                <w:lang w:val="en-US" w:eastAsia="zh-CN"/>
              </w:rPr>
              <w:t>58.8kg</w:t>
            </w:r>
            <w:r>
              <w:rPr>
                <w:rFonts w:hint="eastAsia"/>
                <w:color w:val="auto"/>
                <w:sz w:val="24"/>
                <w:highlight w:val="none"/>
              </w:rPr>
              <w:t>/a，回用到中频电炉。技改项目重油垢清洗剂、多功能防锈剂使用量分别为</w:t>
            </w:r>
            <w:r>
              <w:rPr>
                <w:rFonts w:hint="eastAsia"/>
                <w:color w:val="000000" w:themeColor="text1"/>
                <w:sz w:val="24"/>
                <w:highlight w:val="none"/>
                <w14:textFill>
                  <w14:solidFill>
                    <w14:schemeClr w14:val="tx1"/>
                  </w14:solidFill>
                </w14:textFill>
              </w:rPr>
              <w:t>1.9t/a、1.6t/a</w:t>
            </w:r>
            <w:r>
              <w:rPr>
                <w:rFonts w:hint="eastAsia"/>
                <w:color w:val="auto"/>
                <w:sz w:val="24"/>
                <w:highlight w:val="none"/>
              </w:rPr>
              <w:t>，包装为25kg/桶，桶的重量约为2kg/个，</w:t>
            </w:r>
            <w:r>
              <w:rPr>
                <w:rFonts w:hint="eastAsia"/>
                <w:color w:val="auto"/>
                <w:sz w:val="24"/>
                <w:highlight w:val="none"/>
                <w:lang w:val="en-US" w:eastAsia="zh-CN"/>
              </w:rPr>
              <w:t>重量为0.28t/a。重油垢清洗剂、多功能防锈剂使用时直接将塑料包装和内容物拿出包装桶，在其他专用密封桶中使用，一般情况下不会沾染包装桶。如果包装桶沾染了重油垢清洗剂、多功能防锈剂亦应按危险废物处置，不沾染情况下供应商回收利用。</w:t>
            </w:r>
          </w:p>
          <w:p w14:paraId="05830EBE">
            <w:pPr>
              <w:pStyle w:val="28"/>
              <w:numPr>
                <w:ilvl w:val="0"/>
                <w:numId w:val="12"/>
              </w:numPr>
              <w:spacing w:line="360" w:lineRule="auto"/>
              <w:ind w:firstLine="480"/>
              <w:rPr>
                <w:rFonts w:hint="eastAsia"/>
                <w:color w:val="auto"/>
                <w:sz w:val="24"/>
                <w:highlight w:val="none"/>
              </w:rPr>
            </w:pPr>
            <w:r>
              <w:rPr>
                <w:rFonts w:hint="eastAsia"/>
                <w:color w:val="auto"/>
                <w:sz w:val="24"/>
                <w:highlight w:val="none"/>
              </w:rPr>
              <w:t>生活垃圾</w:t>
            </w:r>
          </w:p>
          <w:p w14:paraId="60F6B550">
            <w:pPr>
              <w:pStyle w:val="28"/>
              <w:spacing w:line="360" w:lineRule="auto"/>
              <w:ind w:firstLine="480"/>
              <w:rPr>
                <w:rFonts w:hint="eastAsia"/>
                <w:color w:val="auto"/>
                <w:sz w:val="24"/>
                <w:highlight w:val="none"/>
              </w:rPr>
            </w:pPr>
            <w:r>
              <w:rPr>
                <w:rFonts w:hint="eastAsia"/>
                <w:color w:val="auto"/>
                <w:sz w:val="24"/>
                <w:highlight w:val="none"/>
              </w:rPr>
              <w:t>技改项目不新增人员，故无生活垃圾产生。</w:t>
            </w:r>
          </w:p>
          <w:p w14:paraId="4F38E435">
            <w:pPr>
              <w:pStyle w:val="28"/>
              <w:numPr>
                <w:ilvl w:val="0"/>
                <w:numId w:val="12"/>
              </w:numPr>
              <w:spacing w:line="360" w:lineRule="auto"/>
              <w:ind w:firstLine="480"/>
              <w:rPr>
                <w:rFonts w:hint="eastAsia"/>
                <w:color w:val="auto"/>
                <w:sz w:val="24"/>
                <w:highlight w:val="none"/>
              </w:rPr>
            </w:pPr>
            <w:r>
              <w:rPr>
                <w:rFonts w:hint="eastAsia"/>
                <w:color w:val="auto"/>
                <w:sz w:val="24"/>
                <w:highlight w:val="none"/>
              </w:rPr>
              <w:t>危险废物产生情况</w:t>
            </w:r>
          </w:p>
          <w:p w14:paraId="3C1784D2">
            <w:pPr>
              <w:pStyle w:val="28"/>
              <w:spacing w:line="360" w:lineRule="auto"/>
              <w:ind w:firstLine="480"/>
              <w:rPr>
                <w:rFonts w:hint="eastAsia"/>
                <w:color w:val="auto"/>
                <w:sz w:val="24"/>
                <w:highlight w:val="none"/>
              </w:rPr>
            </w:pPr>
            <w:r>
              <w:rPr>
                <w:rFonts w:hint="eastAsia"/>
                <w:color w:val="auto"/>
                <w:sz w:val="24"/>
                <w:highlight w:val="none"/>
              </w:rPr>
              <w:t>预脱脂、主脱脂水槽带有隔油装置</w:t>
            </w:r>
            <w:r>
              <w:rPr>
                <w:rFonts w:hint="eastAsia"/>
                <w:color w:val="000000" w:themeColor="text1"/>
                <w:sz w:val="24"/>
                <w:highlight w:val="none"/>
                <w14:textFill>
                  <w14:solidFill>
                    <w14:schemeClr w14:val="tx1"/>
                  </w14:solidFill>
                </w14:textFill>
              </w:rPr>
              <w:t>，废油的产生量为</w:t>
            </w:r>
            <w:r>
              <w:rPr>
                <w:rFonts w:hint="eastAsia"/>
                <w:color w:val="000000" w:themeColor="text1"/>
                <w:sz w:val="24"/>
                <w:highlight w:val="none"/>
                <w:lang w:eastAsia="zh-CN"/>
                <w14:textFill>
                  <w14:solidFill>
                    <w14:schemeClr w14:val="tx1"/>
                  </w14:solidFill>
                </w14:textFill>
              </w:rPr>
              <w:t>0.01425</w:t>
            </w:r>
            <w:r>
              <w:rPr>
                <w:rFonts w:hint="eastAsia"/>
                <w:color w:val="000000" w:themeColor="text1"/>
                <w:sz w:val="24"/>
                <w:highlight w:val="none"/>
                <w14:textFill>
                  <w14:solidFill>
                    <w14:schemeClr w14:val="tx1"/>
                  </w14:solidFill>
                </w14:textFill>
              </w:rPr>
              <w:t>t/a，</w:t>
            </w:r>
            <w:r>
              <w:rPr>
                <w:rFonts w:hint="eastAsia"/>
                <w:color w:val="auto"/>
                <w:sz w:val="24"/>
                <w:highlight w:val="none"/>
              </w:rPr>
              <w:t xml:space="preserve">属于危险废物。废物类别为HW08废矿物油与含矿物油废物、废物代码900-201-08 </w:t>
            </w:r>
            <w:r>
              <w:rPr>
                <w:rFonts w:hint="eastAsia"/>
                <w:color w:val="auto"/>
                <w:sz w:val="24"/>
                <w:highlight w:val="none"/>
                <w:lang w:eastAsia="zh-CN"/>
              </w:rPr>
              <w:t>；</w:t>
            </w:r>
            <w:r>
              <w:rPr>
                <w:rFonts w:hint="eastAsia"/>
                <w:color w:val="auto"/>
                <w:sz w:val="24"/>
                <w:highlight w:val="none"/>
              </w:rPr>
              <w:t>清洗金属零部件过程中产生的废弃煤油、柴油、汽油及其他由石油和煤炼制生产的溶剂油危险特性为“T，I”。</w:t>
            </w:r>
          </w:p>
          <w:p w14:paraId="7699FF37">
            <w:pPr>
              <w:pStyle w:val="28"/>
              <w:spacing w:line="360" w:lineRule="auto"/>
              <w:ind w:firstLine="480"/>
              <w:rPr>
                <w:color w:val="auto"/>
                <w:sz w:val="24"/>
                <w:highlight w:val="none"/>
              </w:rPr>
            </w:pPr>
            <w:r>
              <w:rPr>
                <w:rFonts w:hint="eastAsia"/>
                <w:color w:val="auto"/>
                <w:sz w:val="24"/>
                <w:highlight w:val="none"/>
              </w:rPr>
              <w:t>集污沟产生的絮凝剂沉淀</w:t>
            </w:r>
            <w:r>
              <w:rPr>
                <w:rFonts w:hint="eastAsia"/>
                <w:color w:val="auto"/>
                <w:sz w:val="24"/>
                <w:highlight w:val="none"/>
                <w:lang w:val="en-US" w:eastAsia="zh-CN"/>
              </w:rPr>
              <w:t>物</w:t>
            </w:r>
            <w:r>
              <w:rPr>
                <w:rFonts w:hint="eastAsia"/>
                <w:color w:val="auto"/>
                <w:sz w:val="24"/>
                <w:highlight w:val="none"/>
              </w:rPr>
              <w:t>，主要物质为石油类等杂质，产生量为0.02t/a。废物类别HW49 其他废物，废物代码为 900-041-49，危险特性为“T/In ”。</w:t>
            </w:r>
          </w:p>
          <w:p w14:paraId="4B12D72E">
            <w:pPr>
              <w:pStyle w:val="28"/>
              <w:spacing w:line="360" w:lineRule="auto"/>
              <w:ind w:firstLine="480"/>
              <w:rPr>
                <w:color w:val="auto"/>
                <w:sz w:val="24"/>
                <w:highlight w:val="none"/>
              </w:rPr>
            </w:pPr>
            <w:r>
              <w:rPr>
                <w:rFonts w:hint="eastAsia"/>
                <w:color w:val="auto"/>
                <w:sz w:val="24"/>
                <w:highlight w:val="none"/>
              </w:rPr>
              <w:t>重油垢清洗剂中</w:t>
            </w:r>
            <w:r>
              <w:rPr>
                <w:rFonts w:hint="eastAsia"/>
                <w:color w:val="auto"/>
                <w:sz w:val="24"/>
                <w:highlight w:val="none"/>
                <w:lang w:val="en-US" w:eastAsia="zh-CN"/>
              </w:rPr>
              <w:t>乙烯醚</w:t>
            </w:r>
            <w:r>
              <w:rPr>
                <w:rFonts w:hint="eastAsia"/>
                <w:color w:val="auto"/>
                <w:sz w:val="24"/>
                <w:highlight w:val="none"/>
              </w:rPr>
              <w:t>为环境风险物质，多功能防锈剂成分中脂肪胺列入《危险化学品目录》</w:t>
            </w:r>
            <w:r>
              <w:rPr>
                <w:rFonts w:hint="eastAsia"/>
                <w:color w:val="auto"/>
                <w:sz w:val="24"/>
                <w:highlight w:val="none"/>
                <w:lang w:val="en-US" w:eastAsia="zh-CN"/>
              </w:rPr>
              <w:t>(</w:t>
            </w:r>
            <w:r>
              <w:rPr>
                <w:rFonts w:hint="eastAsia"/>
                <w:color w:val="auto"/>
                <w:sz w:val="24"/>
                <w:highlight w:val="none"/>
              </w:rPr>
              <w:t>2022版）中。沾染重油垢清洗剂、多功能防锈剂</w:t>
            </w:r>
            <w:r>
              <w:rPr>
                <w:rFonts w:hint="eastAsia"/>
                <w:color w:val="auto"/>
                <w:sz w:val="24"/>
                <w:highlight w:val="none"/>
                <w:lang w:val="en-US" w:eastAsia="zh-CN"/>
              </w:rPr>
              <w:t>内衬袋</w:t>
            </w:r>
            <w:r>
              <w:rPr>
                <w:rFonts w:hint="eastAsia"/>
                <w:color w:val="auto"/>
                <w:sz w:val="24"/>
                <w:highlight w:val="none"/>
              </w:rPr>
              <w:t>按危险废物管理</w:t>
            </w:r>
            <w:r>
              <w:rPr>
                <w:rFonts w:hint="eastAsia"/>
                <w:color w:val="auto"/>
                <w:sz w:val="24"/>
                <w:highlight w:val="none"/>
                <w:lang w:eastAsia="zh-CN"/>
              </w:rPr>
              <w:t>，</w:t>
            </w:r>
            <w:r>
              <w:rPr>
                <w:rFonts w:hint="eastAsia"/>
                <w:color w:val="auto"/>
                <w:sz w:val="24"/>
                <w:highlight w:val="none"/>
                <w:lang w:val="en-US" w:eastAsia="zh-CN"/>
              </w:rPr>
              <w:t>依据</w:t>
            </w:r>
            <w:r>
              <w:rPr>
                <w:rFonts w:hint="eastAsia"/>
                <w:color w:val="auto"/>
                <w:sz w:val="24"/>
                <w:highlight w:val="none"/>
              </w:rPr>
              <w:t>《国家危险废物名录（202</w:t>
            </w:r>
            <w:r>
              <w:rPr>
                <w:rFonts w:hint="eastAsia"/>
                <w:color w:val="auto"/>
                <w:sz w:val="24"/>
                <w:highlight w:val="none"/>
                <w:lang w:val="en-US" w:eastAsia="zh-CN"/>
              </w:rPr>
              <w:t>5</w:t>
            </w:r>
            <w:r>
              <w:rPr>
                <w:rFonts w:hint="eastAsia"/>
                <w:color w:val="auto"/>
                <w:sz w:val="24"/>
                <w:highlight w:val="none"/>
              </w:rPr>
              <w:t>年版）》，废物类别HW49 其他废物，废物代码为 900-041-49，危险特性为“T/In”。其内衬塑料袋，重量为0.1kg/个，年塑料包装为140个，产生量为0.014t/a。</w:t>
            </w:r>
          </w:p>
          <w:p w14:paraId="15FE3951">
            <w:pPr>
              <w:pStyle w:val="28"/>
              <w:spacing w:line="360" w:lineRule="auto"/>
              <w:ind w:firstLine="480"/>
              <w:rPr>
                <w:color w:val="auto"/>
                <w:sz w:val="24"/>
                <w:highlight w:val="none"/>
              </w:rPr>
            </w:pPr>
            <w:r>
              <w:rPr>
                <w:rFonts w:hint="eastAsia"/>
                <w:color w:val="auto"/>
                <w:sz w:val="24"/>
                <w:highlight w:val="none"/>
              </w:rPr>
              <w:t>技改项目固体废物产生及处置情况、危险废物基本情况见下表。</w:t>
            </w:r>
          </w:p>
          <w:p w14:paraId="582DCD27">
            <w:pPr>
              <w:spacing w:line="360" w:lineRule="auto"/>
              <w:jc w:val="center"/>
              <w:rPr>
                <w:rFonts w:hint="eastAsia"/>
                <w:b/>
                <w:bCs/>
                <w:color w:val="auto"/>
                <w:sz w:val="24"/>
                <w:highlight w:val="none"/>
              </w:rPr>
            </w:pPr>
            <w:r>
              <w:rPr>
                <w:rFonts w:hint="eastAsia"/>
                <w:b/>
                <w:bCs/>
                <w:color w:val="auto"/>
                <w:sz w:val="24"/>
                <w:highlight w:val="none"/>
              </w:rPr>
              <w:t>表4-</w:t>
            </w:r>
            <w:r>
              <w:rPr>
                <w:rFonts w:hint="eastAsia"/>
                <w:b/>
                <w:bCs/>
                <w:color w:val="auto"/>
                <w:sz w:val="24"/>
                <w:highlight w:val="none"/>
                <w:lang w:val="en-US" w:eastAsia="zh-CN"/>
              </w:rPr>
              <w:t>10</w:t>
            </w:r>
            <w:r>
              <w:rPr>
                <w:rFonts w:hint="eastAsia"/>
                <w:b/>
                <w:bCs/>
                <w:color w:val="auto"/>
                <w:sz w:val="24"/>
                <w:highlight w:val="none"/>
              </w:rPr>
              <w:t xml:space="preserve"> 技改工程固体废物产生及治理情况</w:t>
            </w:r>
          </w:p>
          <w:tbl>
            <w:tblPr>
              <w:tblStyle w:val="3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15"/>
              <w:gridCol w:w="1180"/>
              <w:gridCol w:w="1553"/>
              <w:gridCol w:w="1073"/>
              <w:gridCol w:w="1167"/>
              <w:gridCol w:w="1584"/>
            </w:tblGrid>
            <w:tr w14:paraId="0DEFF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7" w:hRule="atLeast"/>
                <w:jc w:val="center"/>
              </w:trPr>
              <w:tc>
                <w:tcPr>
                  <w:tcW w:w="1129" w:type="pct"/>
                  <w:noWrap w:val="0"/>
                  <w:vAlign w:val="center"/>
                </w:tcPr>
                <w:p w14:paraId="0173F2F7">
                  <w:pPr>
                    <w:tabs>
                      <w:tab w:val="left" w:pos="2070"/>
                    </w:tabs>
                    <w:spacing w:line="240" w:lineRule="exact"/>
                    <w:jc w:val="center"/>
                    <w:rPr>
                      <w:b/>
                      <w:bCs/>
                      <w:color w:val="auto"/>
                      <w:szCs w:val="21"/>
                      <w:highlight w:val="none"/>
                    </w:rPr>
                  </w:pPr>
                  <w:r>
                    <w:rPr>
                      <w:b/>
                      <w:bCs/>
                      <w:color w:val="auto"/>
                      <w:szCs w:val="21"/>
                      <w:highlight w:val="none"/>
                    </w:rPr>
                    <w:t>工序</w:t>
                  </w:r>
                </w:p>
                <w:p w14:paraId="01BCE19E">
                  <w:pPr>
                    <w:tabs>
                      <w:tab w:val="left" w:pos="2070"/>
                    </w:tabs>
                    <w:spacing w:line="240" w:lineRule="exact"/>
                    <w:jc w:val="center"/>
                    <w:rPr>
                      <w:b/>
                      <w:bCs/>
                      <w:color w:val="auto"/>
                      <w:szCs w:val="21"/>
                      <w:highlight w:val="none"/>
                    </w:rPr>
                  </w:pPr>
                  <w:r>
                    <w:rPr>
                      <w:b/>
                      <w:bCs/>
                      <w:color w:val="auto"/>
                      <w:szCs w:val="21"/>
                      <w:highlight w:val="none"/>
                    </w:rPr>
                    <w:t>/生产线</w:t>
                  </w:r>
                </w:p>
              </w:tc>
              <w:tc>
                <w:tcPr>
                  <w:tcW w:w="696" w:type="pct"/>
                  <w:noWrap w:val="0"/>
                  <w:vAlign w:val="center"/>
                </w:tcPr>
                <w:p w14:paraId="2DE9D16A">
                  <w:pPr>
                    <w:tabs>
                      <w:tab w:val="left" w:pos="2070"/>
                    </w:tabs>
                    <w:spacing w:line="240" w:lineRule="exact"/>
                    <w:jc w:val="center"/>
                    <w:rPr>
                      <w:b/>
                      <w:bCs/>
                      <w:color w:val="auto"/>
                      <w:szCs w:val="21"/>
                      <w:highlight w:val="none"/>
                    </w:rPr>
                  </w:pPr>
                  <w:r>
                    <w:rPr>
                      <w:b/>
                      <w:bCs/>
                      <w:color w:val="auto"/>
                      <w:szCs w:val="21"/>
                      <w:highlight w:val="none"/>
                    </w:rPr>
                    <w:t>固体废物</w:t>
                  </w:r>
                </w:p>
                <w:p w14:paraId="5AF41FBB">
                  <w:pPr>
                    <w:tabs>
                      <w:tab w:val="left" w:pos="2070"/>
                    </w:tabs>
                    <w:spacing w:line="240" w:lineRule="exact"/>
                    <w:jc w:val="center"/>
                    <w:rPr>
                      <w:b/>
                      <w:bCs/>
                      <w:color w:val="auto"/>
                      <w:szCs w:val="21"/>
                      <w:highlight w:val="none"/>
                    </w:rPr>
                  </w:pPr>
                  <w:r>
                    <w:rPr>
                      <w:b/>
                      <w:bCs/>
                      <w:color w:val="auto"/>
                      <w:szCs w:val="21"/>
                      <w:highlight w:val="none"/>
                    </w:rPr>
                    <w:t>名称</w:t>
                  </w:r>
                </w:p>
              </w:tc>
              <w:tc>
                <w:tcPr>
                  <w:tcW w:w="916" w:type="pct"/>
                  <w:noWrap w:val="0"/>
                  <w:vAlign w:val="center"/>
                </w:tcPr>
                <w:p w14:paraId="15463399">
                  <w:pPr>
                    <w:tabs>
                      <w:tab w:val="left" w:pos="2070"/>
                    </w:tabs>
                    <w:spacing w:line="240" w:lineRule="exact"/>
                    <w:jc w:val="center"/>
                    <w:rPr>
                      <w:b/>
                      <w:bCs/>
                      <w:color w:val="auto"/>
                      <w:szCs w:val="21"/>
                      <w:highlight w:val="none"/>
                    </w:rPr>
                  </w:pPr>
                  <w:r>
                    <w:rPr>
                      <w:b/>
                      <w:bCs/>
                      <w:color w:val="auto"/>
                      <w:szCs w:val="21"/>
                      <w:highlight w:val="none"/>
                    </w:rPr>
                    <w:t>固废属性</w:t>
                  </w:r>
                </w:p>
              </w:tc>
              <w:tc>
                <w:tcPr>
                  <w:tcW w:w="633" w:type="pct"/>
                  <w:noWrap w:val="0"/>
                  <w:vAlign w:val="center"/>
                </w:tcPr>
                <w:p w14:paraId="4709CC94">
                  <w:pPr>
                    <w:tabs>
                      <w:tab w:val="left" w:pos="2070"/>
                    </w:tabs>
                    <w:spacing w:line="240" w:lineRule="exact"/>
                    <w:jc w:val="center"/>
                    <w:rPr>
                      <w:b/>
                      <w:bCs/>
                      <w:color w:val="auto"/>
                      <w:szCs w:val="21"/>
                      <w:highlight w:val="none"/>
                    </w:rPr>
                  </w:pPr>
                  <w:r>
                    <w:rPr>
                      <w:rFonts w:hint="eastAsia"/>
                      <w:b/>
                      <w:bCs/>
                      <w:color w:val="auto"/>
                      <w:szCs w:val="21"/>
                      <w:highlight w:val="none"/>
                    </w:rPr>
                    <w:t>物理性状</w:t>
                  </w:r>
                </w:p>
              </w:tc>
              <w:tc>
                <w:tcPr>
                  <w:tcW w:w="688" w:type="pct"/>
                  <w:noWrap w:val="0"/>
                  <w:vAlign w:val="center"/>
                </w:tcPr>
                <w:p w14:paraId="76417461">
                  <w:pPr>
                    <w:tabs>
                      <w:tab w:val="left" w:pos="2070"/>
                    </w:tabs>
                    <w:spacing w:line="240" w:lineRule="exact"/>
                    <w:jc w:val="center"/>
                    <w:rPr>
                      <w:b/>
                      <w:bCs/>
                      <w:color w:val="auto"/>
                      <w:szCs w:val="21"/>
                      <w:highlight w:val="none"/>
                    </w:rPr>
                  </w:pPr>
                  <w:r>
                    <w:rPr>
                      <w:b/>
                      <w:bCs/>
                      <w:color w:val="auto"/>
                      <w:szCs w:val="21"/>
                      <w:highlight w:val="none"/>
                    </w:rPr>
                    <w:t>产生量</w:t>
                  </w:r>
                </w:p>
                <w:p w14:paraId="1499F91E">
                  <w:pPr>
                    <w:tabs>
                      <w:tab w:val="left" w:pos="2070"/>
                    </w:tabs>
                    <w:spacing w:line="240" w:lineRule="exact"/>
                    <w:jc w:val="center"/>
                    <w:rPr>
                      <w:b/>
                      <w:bCs/>
                      <w:color w:val="auto"/>
                      <w:szCs w:val="21"/>
                      <w:highlight w:val="none"/>
                    </w:rPr>
                  </w:pPr>
                  <w:r>
                    <w:rPr>
                      <w:b/>
                      <w:bCs/>
                      <w:color w:val="auto"/>
                      <w:szCs w:val="21"/>
                      <w:highlight w:val="none"/>
                    </w:rPr>
                    <w:t>（t/a）</w:t>
                  </w:r>
                </w:p>
              </w:tc>
              <w:tc>
                <w:tcPr>
                  <w:tcW w:w="934" w:type="pct"/>
                  <w:noWrap w:val="0"/>
                  <w:vAlign w:val="center"/>
                </w:tcPr>
                <w:p w14:paraId="59738634">
                  <w:pPr>
                    <w:tabs>
                      <w:tab w:val="left" w:pos="2070"/>
                    </w:tabs>
                    <w:spacing w:line="240" w:lineRule="exact"/>
                    <w:jc w:val="center"/>
                    <w:rPr>
                      <w:b/>
                      <w:bCs/>
                      <w:color w:val="auto"/>
                      <w:szCs w:val="21"/>
                      <w:highlight w:val="none"/>
                    </w:rPr>
                  </w:pPr>
                  <w:r>
                    <w:rPr>
                      <w:b/>
                      <w:bCs/>
                      <w:color w:val="auto"/>
                      <w:szCs w:val="21"/>
                      <w:highlight w:val="none"/>
                    </w:rPr>
                    <w:t>最终去向</w:t>
                  </w:r>
                </w:p>
              </w:tc>
            </w:tr>
            <w:tr w14:paraId="00FB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0" w:hRule="atLeast"/>
                <w:jc w:val="center"/>
              </w:trPr>
              <w:tc>
                <w:tcPr>
                  <w:tcW w:w="1129" w:type="pct"/>
                  <w:noWrap w:val="0"/>
                  <w:vAlign w:val="center"/>
                </w:tcPr>
                <w:p w14:paraId="5A72031A">
                  <w:pPr>
                    <w:widowControl/>
                    <w:spacing w:line="240" w:lineRule="exact"/>
                    <w:jc w:val="center"/>
                    <w:rPr>
                      <w:color w:val="auto"/>
                      <w:szCs w:val="21"/>
                      <w:highlight w:val="none"/>
                    </w:rPr>
                  </w:pPr>
                  <w:r>
                    <w:rPr>
                      <w:rFonts w:hint="eastAsia"/>
                      <w:color w:val="auto"/>
                      <w:szCs w:val="21"/>
                      <w:highlight w:val="none"/>
                    </w:rPr>
                    <w:t>水槽过滤装置</w:t>
                  </w:r>
                </w:p>
              </w:tc>
              <w:tc>
                <w:tcPr>
                  <w:tcW w:w="696" w:type="pct"/>
                  <w:noWrap w:val="0"/>
                  <w:vAlign w:val="center"/>
                </w:tcPr>
                <w:p w14:paraId="1E8BF992">
                  <w:pPr>
                    <w:widowControl/>
                    <w:spacing w:line="240" w:lineRule="exact"/>
                    <w:jc w:val="center"/>
                    <w:rPr>
                      <w:color w:val="auto"/>
                      <w:kern w:val="0"/>
                      <w:szCs w:val="21"/>
                      <w:highlight w:val="none"/>
                    </w:rPr>
                  </w:pPr>
                  <w:r>
                    <w:rPr>
                      <w:rFonts w:hint="eastAsia"/>
                      <w:color w:val="auto"/>
                      <w:szCs w:val="21"/>
                      <w:highlight w:val="none"/>
                    </w:rPr>
                    <w:t>铁屑等</w:t>
                  </w:r>
                </w:p>
              </w:tc>
              <w:tc>
                <w:tcPr>
                  <w:tcW w:w="916" w:type="pct"/>
                  <w:noWrap w:val="0"/>
                  <w:vAlign w:val="center"/>
                </w:tcPr>
                <w:p w14:paraId="1ECD2449">
                  <w:pPr>
                    <w:spacing w:line="240" w:lineRule="exact"/>
                    <w:jc w:val="center"/>
                    <w:rPr>
                      <w:rFonts w:hint="eastAsia"/>
                      <w:color w:val="auto"/>
                      <w:szCs w:val="21"/>
                      <w:highlight w:val="none"/>
                    </w:rPr>
                  </w:pPr>
                  <w:r>
                    <w:rPr>
                      <w:rFonts w:hint="eastAsia"/>
                      <w:color w:val="auto"/>
                      <w:szCs w:val="21"/>
                      <w:highlight w:val="none"/>
                    </w:rPr>
                    <w:t>一般工业固体废物</w:t>
                  </w:r>
                </w:p>
              </w:tc>
              <w:tc>
                <w:tcPr>
                  <w:tcW w:w="633" w:type="pct"/>
                  <w:noWrap w:val="0"/>
                  <w:vAlign w:val="center"/>
                </w:tcPr>
                <w:p w14:paraId="51DE9F32">
                  <w:pPr>
                    <w:spacing w:line="240" w:lineRule="exact"/>
                    <w:jc w:val="center"/>
                    <w:rPr>
                      <w:rFonts w:hint="eastAsia"/>
                      <w:color w:val="auto"/>
                      <w:szCs w:val="21"/>
                      <w:highlight w:val="none"/>
                    </w:rPr>
                  </w:pPr>
                  <w:r>
                    <w:rPr>
                      <w:rFonts w:hint="eastAsia"/>
                      <w:color w:val="auto"/>
                      <w:szCs w:val="21"/>
                      <w:highlight w:val="none"/>
                    </w:rPr>
                    <w:t>固态</w:t>
                  </w:r>
                </w:p>
              </w:tc>
              <w:tc>
                <w:tcPr>
                  <w:tcW w:w="688" w:type="pct"/>
                  <w:noWrap w:val="0"/>
                  <w:vAlign w:val="center"/>
                </w:tcPr>
                <w:p w14:paraId="619481FD">
                  <w:pPr>
                    <w:widowControl/>
                    <w:spacing w:line="240" w:lineRule="exact"/>
                    <w:jc w:val="center"/>
                    <w:rPr>
                      <w:rFonts w:hint="default" w:eastAsia="宋体"/>
                      <w:color w:val="auto"/>
                      <w:kern w:val="0"/>
                      <w:szCs w:val="21"/>
                      <w:highlight w:val="none"/>
                      <w:lang w:val="en-US" w:eastAsia="zh-CN"/>
                    </w:rPr>
                  </w:pPr>
                  <w:r>
                    <w:rPr>
                      <w:rFonts w:hint="eastAsia"/>
                      <w:color w:val="auto"/>
                      <w:kern w:val="0"/>
                      <w:szCs w:val="21"/>
                      <w:highlight w:val="none"/>
                    </w:rPr>
                    <w:t>0.</w:t>
                  </w:r>
                  <w:r>
                    <w:rPr>
                      <w:rFonts w:hint="eastAsia"/>
                      <w:color w:val="auto"/>
                      <w:kern w:val="0"/>
                      <w:szCs w:val="21"/>
                      <w:highlight w:val="none"/>
                      <w:lang w:val="en-US" w:eastAsia="zh-CN"/>
                    </w:rPr>
                    <w:t>0588</w:t>
                  </w:r>
                </w:p>
              </w:tc>
              <w:tc>
                <w:tcPr>
                  <w:tcW w:w="934" w:type="pct"/>
                  <w:noWrap w:val="0"/>
                  <w:vAlign w:val="center"/>
                </w:tcPr>
                <w:p w14:paraId="0F06AAE8">
                  <w:pPr>
                    <w:tabs>
                      <w:tab w:val="left" w:pos="2070"/>
                    </w:tabs>
                    <w:spacing w:line="240" w:lineRule="exact"/>
                    <w:jc w:val="center"/>
                    <w:rPr>
                      <w:color w:val="auto"/>
                      <w:szCs w:val="21"/>
                      <w:highlight w:val="none"/>
                    </w:rPr>
                  </w:pPr>
                  <w:r>
                    <w:rPr>
                      <w:rFonts w:hint="eastAsia"/>
                      <w:color w:val="auto"/>
                      <w:szCs w:val="21"/>
                      <w:highlight w:val="none"/>
                    </w:rPr>
                    <w:t>返回中频电炉回收利用</w:t>
                  </w:r>
                </w:p>
              </w:tc>
            </w:tr>
            <w:tr w14:paraId="65BAB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0" w:hRule="atLeast"/>
                <w:jc w:val="center"/>
              </w:trPr>
              <w:tc>
                <w:tcPr>
                  <w:tcW w:w="1129" w:type="pct"/>
                  <w:noWrap w:val="0"/>
                  <w:vAlign w:val="center"/>
                </w:tcPr>
                <w:p w14:paraId="43D990BD">
                  <w:pPr>
                    <w:widowControl/>
                    <w:spacing w:line="240" w:lineRule="exact"/>
                    <w:jc w:val="center"/>
                    <w:rPr>
                      <w:rFonts w:hint="default" w:eastAsia="宋体"/>
                      <w:color w:val="auto"/>
                      <w:szCs w:val="21"/>
                      <w:highlight w:val="none"/>
                      <w:lang w:val="en-US" w:eastAsia="zh-CN"/>
                    </w:rPr>
                  </w:pPr>
                  <w:r>
                    <w:rPr>
                      <w:rFonts w:hint="eastAsia"/>
                      <w:color w:val="auto"/>
                      <w:szCs w:val="21"/>
                      <w:highlight w:val="none"/>
                      <w:lang w:val="en-US" w:eastAsia="zh-CN"/>
                    </w:rPr>
                    <w:t>清洗剂、防锈剂废包装桶（外桶未沾染）</w:t>
                  </w:r>
                </w:p>
              </w:tc>
              <w:tc>
                <w:tcPr>
                  <w:tcW w:w="696" w:type="pct"/>
                  <w:noWrap w:val="0"/>
                  <w:vAlign w:val="center"/>
                </w:tcPr>
                <w:p w14:paraId="554D6CFB">
                  <w:pPr>
                    <w:widowControl/>
                    <w:spacing w:line="240" w:lineRule="exact"/>
                    <w:jc w:val="center"/>
                    <w:rPr>
                      <w:rFonts w:hint="default" w:eastAsia="宋体"/>
                      <w:color w:val="auto"/>
                      <w:szCs w:val="21"/>
                      <w:highlight w:val="none"/>
                      <w:lang w:val="en-US" w:eastAsia="zh-CN"/>
                    </w:rPr>
                  </w:pPr>
                  <w:r>
                    <w:rPr>
                      <w:rFonts w:hint="eastAsia"/>
                      <w:color w:val="auto"/>
                      <w:szCs w:val="21"/>
                      <w:highlight w:val="none"/>
                      <w:lang w:val="en-US" w:eastAsia="zh-CN"/>
                    </w:rPr>
                    <w:t>废铁/塑料桶</w:t>
                  </w:r>
                </w:p>
              </w:tc>
              <w:tc>
                <w:tcPr>
                  <w:tcW w:w="916" w:type="pct"/>
                  <w:noWrap w:val="0"/>
                  <w:vAlign w:val="center"/>
                </w:tcPr>
                <w:p w14:paraId="6E816FC2">
                  <w:pPr>
                    <w:spacing w:line="240" w:lineRule="exact"/>
                    <w:jc w:val="center"/>
                    <w:rPr>
                      <w:rFonts w:hint="eastAsia"/>
                      <w:color w:val="auto"/>
                      <w:kern w:val="2"/>
                      <w:sz w:val="21"/>
                      <w:szCs w:val="21"/>
                      <w:highlight w:val="none"/>
                      <w:lang w:val="en-US" w:eastAsia="zh-CN" w:bidi="ar-SA"/>
                    </w:rPr>
                  </w:pPr>
                  <w:r>
                    <w:rPr>
                      <w:rFonts w:hint="eastAsia"/>
                      <w:color w:val="auto"/>
                      <w:szCs w:val="21"/>
                      <w:highlight w:val="none"/>
                    </w:rPr>
                    <w:t>一般工业固体废物</w:t>
                  </w:r>
                </w:p>
              </w:tc>
              <w:tc>
                <w:tcPr>
                  <w:tcW w:w="633" w:type="pct"/>
                  <w:noWrap w:val="0"/>
                  <w:vAlign w:val="center"/>
                </w:tcPr>
                <w:p w14:paraId="2893E073">
                  <w:pPr>
                    <w:spacing w:line="240" w:lineRule="exact"/>
                    <w:jc w:val="center"/>
                    <w:rPr>
                      <w:rFonts w:hint="eastAsia"/>
                      <w:color w:val="auto"/>
                      <w:kern w:val="2"/>
                      <w:sz w:val="21"/>
                      <w:szCs w:val="21"/>
                      <w:highlight w:val="none"/>
                      <w:lang w:val="en-US" w:eastAsia="zh-CN" w:bidi="ar-SA"/>
                    </w:rPr>
                  </w:pPr>
                  <w:r>
                    <w:rPr>
                      <w:rFonts w:hint="eastAsia"/>
                      <w:color w:val="auto"/>
                      <w:szCs w:val="21"/>
                      <w:highlight w:val="none"/>
                    </w:rPr>
                    <w:t>固态</w:t>
                  </w:r>
                </w:p>
              </w:tc>
              <w:tc>
                <w:tcPr>
                  <w:tcW w:w="688" w:type="pct"/>
                  <w:noWrap w:val="0"/>
                  <w:vAlign w:val="center"/>
                </w:tcPr>
                <w:p w14:paraId="2FE814B6">
                  <w:pPr>
                    <w:widowControl/>
                    <w:spacing w:line="240" w:lineRule="exact"/>
                    <w:jc w:val="center"/>
                    <w:rPr>
                      <w:rFonts w:hint="default"/>
                      <w:color w:val="auto"/>
                      <w:kern w:val="0"/>
                      <w:sz w:val="21"/>
                      <w:szCs w:val="21"/>
                      <w:highlight w:val="none"/>
                      <w:lang w:val="en-US" w:eastAsia="zh-CN" w:bidi="ar-SA"/>
                    </w:rPr>
                  </w:pPr>
                  <w:r>
                    <w:rPr>
                      <w:rFonts w:hint="eastAsia"/>
                      <w:color w:val="auto"/>
                      <w:kern w:val="0"/>
                      <w:sz w:val="21"/>
                      <w:szCs w:val="21"/>
                      <w:highlight w:val="none"/>
                      <w:lang w:val="en-US" w:eastAsia="zh-CN" w:bidi="ar-SA"/>
                    </w:rPr>
                    <w:t>0.280</w:t>
                  </w:r>
                </w:p>
              </w:tc>
              <w:tc>
                <w:tcPr>
                  <w:tcW w:w="934" w:type="pct"/>
                  <w:noWrap w:val="0"/>
                  <w:vAlign w:val="center"/>
                </w:tcPr>
                <w:p w14:paraId="6E362C57">
                  <w:pPr>
                    <w:tabs>
                      <w:tab w:val="left" w:pos="2070"/>
                    </w:tabs>
                    <w:spacing w:line="240" w:lineRule="exact"/>
                    <w:jc w:val="center"/>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供应商回收利用</w:t>
                  </w:r>
                </w:p>
              </w:tc>
            </w:tr>
            <w:tr w14:paraId="59F55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5" w:hRule="atLeast"/>
                <w:jc w:val="center"/>
              </w:trPr>
              <w:tc>
                <w:tcPr>
                  <w:tcW w:w="1129" w:type="pct"/>
                  <w:noWrap w:val="0"/>
                  <w:vAlign w:val="center"/>
                </w:tcPr>
                <w:p w14:paraId="33B61D7C">
                  <w:pPr>
                    <w:widowControl/>
                    <w:spacing w:line="240" w:lineRule="exact"/>
                    <w:jc w:val="center"/>
                    <w:rPr>
                      <w:color w:val="auto"/>
                      <w:szCs w:val="21"/>
                      <w:highlight w:val="none"/>
                    </w:rPr>
                  </w:pPr>
                  <w:r>
                    <w:rPr>
                      <w:rFonts w:hint="eastAsia"/>
                      <w:color w:val="auto"/>
                      <w:szCs w:val="21"/>
                      <w:highlight w:val="none"/>
                    </w:rPr>
                    <w:t>预脱脂、主脱脂隔油装置</w:t>
                  </w:r>
                </w:p>
              </w:tc>
              <w:tc>
                <w:tcPr>
                  <w:tcW w:w="696" w:type="pct"/>
                  <w:noWrap w:val="0"/>
                  <w:vAlign w:val="center"/>
                </w:tcPr>
                <w:p w14:paraId="5D0BE564">
                  <w:pPr>
                    <w:spacing w:line="240" w:lineRule="exact"/>
                    <w:jc w:val="center"/>
                    <w:rPr>
                      <w:color w:val="auto"/>
                      <w:szCs w:val="21"/>
                      <w:highlight w:val="none"/>
                    </w:rPr>
                  </w:pPr>
                  <w:r>
                    <w:rPr>
                      <w:rFonts w:hint="eastAsia"/>
                      <w:color w:val="auto"/>
                      <w:szCs w:val="21"/>
                      <w:highlight w:val="none"/>
                    </w:rPr>
                    <w:t>废矿物油</w:t>
                  </w:r>
                </w:p>
              </w:tc>
              <w:tc>
                <w:tcPr>
                  <w:tcW w:w="916" w:type="pct"/>
                  <w:noWrap w:val="0"/>
                  <w:vAlign w:val="center"/>
                </w:tcPr>
                <w:p w14:paraId="53F21BF6">
                  <w:pPr>
                    <w:spacing w:line="240" w:lineRule="exact"/>
                    <w:jc w:val="center"/>
                    <w:rPr>
                      <w:color w:val="auto"/>
                      <w:szCs w:val="21"/>
                      <w:highlight w:val="none"/>
                    </w:rPr>
                  </w:pPr>
                  <w:r>
                    <w:rPr>
                      <w:rFonts w:hint="eastAsia"/>
                      <w:color w:val="auto"/>
                      <w:szCs w:val="21"/>
                      <w:highlight w:val="none"/>
                    </w:rPr>
                    <w:t>危险废物</w:t>
                  </w:r>
                </w:p>
              </w:tc>
              <w:tc>
                <w:tcPr>
                  <w:tcW w:w="633" w:type="pct"/>
                  <w:noWrap w:val="0"/>
                  <w:vAlign w:val="center"/>
                </w:tcPr>
                <w:p w14:paraId="1630DC44">
                  <w:pPr>
                    <w:spacing w:line="240" w:lineRule="exact"/>
                    <w:jc w:val="center"/>
                    <w:rPr>
                      <w:rFonts w:hint="eastAsia"/>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液态</w:t>
                  </w:r>
                </w:p>
              </w:tc>
              <w:tc>
                <w:tcPr>
                  <w:tcW w:w="688" w:type="pct"/>
                  <w:noWrap w:val="0"/>
                  <w:vAlign w:val="center"/>
                </w:tcPr>
                <w:p w14:paraId="2A0E408B">
                  <w:pPr>
                    <w:widowControl/>
                    <w:spacing w:line="240" w:lineRule="exact"/>
                    <w:jc w:val="center"/>
                    <w:rPr>
                      <w:rFonts w:hint="eastAsia" w:eastAsia="宋体"/>
                      <w:color w:val="000000" w:themeColor="text1"/>
                      <w:kern w:val="0"/>
                      <w:szCs w:val="21"/>
                      <w:highlight w:val="none"/>
                      <w:lang w:val="en-US" w:eastAsia="zh-CN"/>
                      <w14:textFill>
                        <w14:solidFill>
                          <w14:schemeClr w14:val="tx1"/>
                        </w14:solidFill>
                      </w14:textFill>
                    </w:rPr>
                  </w:pPr>
                  <w:r>
                    <w:rPr>
                      <w:rFonts w:hint="eastAsia"/>
                      <w:color w:val="000000" w:themeColor="text1"/>
                      <w:kern w:val="0"/>
                      <w:szCs w:val="21"/>
                      <w:highlight w:val="none"/>
                      <w:lang w:eastAsia="zh-CN"/>
                      <w14:textFill>
                        <w14:solidFill>
                          <w14:schemeClr w14:val="tx1"/>
                        </w14:solidFill>
                      </w14:textFill>
                    </w:rPr>
                    <w:t>0.01425</w:t>
                  </w:r>
                </w:p>
              </w:tc>
              <w:tc>
                <w:tcPr>
                  <w:tcW w:w="934" w:type="pct"/>
                  <w:vMerge w:val="restart"/>
                  <w:noWrap w:val="0"/>
                  <w:vAlign w:val="center"/>
                </w:tcPr>
                <w:p w14:paraId="3F13BF94">
                  <w:pPr>
                    <w:tabs>
                      <w:tab w:val="left" w:pos="2070"/>
                    </w:tabs>
                    <w:spacing w:line="240" w:lineRule="exact"/>
                    <w:jc w:val="center"/>
                    <w:rPr>
                      <w:color w:val="auto"/>
                      <w:szCs w:val="21"/>
                      <w:highlight w:val="none"/>
                    </w:rPr>
                  </w:pPr>
                  <w:r>
                    <w:rPr>
                      <w:rFonts w:hint="eastAsia"/>
                      <w:color w:val="auto"/>
                      <w:szCs w:val="21"/>
                      <w:highlight w:val="none"/>
                    </w:rPr>
                    <w:t>交资质单位处置</w:t>
                  </w:r>
                </w:p>
              </w:tc>
            </w:tr>
            <w:tr w14:paraId="2DC8F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0" w:hRule="atLeast"/>
                <w:jc w:val="center"/>
              </w:trPr>
              <w:tc>
                <w:tcPr>
                  <w:tcW w:w="1129" w:type="pct"/>
                  <w:noWrap w:val="0"/>
                  <w:vAlign w:val="center"/>
                </w:tcPr>
                <w:p w14:paraId="71B474AC">
                  <w:pPr>
                    <w:widowControl/>
                    <w:spacing w:line="240" w:lineRule="exact"/>
                    <w:jc w:val="center"/>
                    <w:rPr>
                      <w:color w:val="auto"/>
                      <w:szCs w:val="21"/>
                      <w:highlight w:val="none"/>
                    </w:rPr>
                  </w:pPr>
                  <w:r>
                    <w:rPr>
                      <w:rFonts w:hint="eastAsia"/>
                      <w:color w:val="auto"/>
                      <w:szCs w:val="21"/>
                      <w:highlight w:val="none"/>
                    </w:rPr>
                    <w:t>水槽集污沟</w:t>
                  </w:r>
                </w:p>
              </w:tc>
              <w:tc>
                <w:tcPr>
                  <w:tcW w:w="696" w:type="pct"/>
                  <w:noWrap w:val="0"/>
                  <w:vAlign w:val="center"/>
                </w:tcPr>
                <w:p w14:paraId="3C5385B7">
                  <w:pPr>
                    <w:spacing w:line="240" w:lineRule="exact"/>
                    <w:jc w:val="center"/>
                    <w:rPr>
                      <w:color w:val="auto"/>
                      <w:szCs w:val="21"/>
                      <w:highlight w:val="none"/>
                    </w:rPr>
                  </w:pPr>
                  <w:r>
                    <w:rPr>
                      <w:rFonts w:hint="eastAsia"/>
                      <w:color w:val="auto"/>
                      <w:szCs w:val="21"/>
                      <w:highlight w:val="none"/>
                    </w:rPr>
                    <w:t>絮凝沉淀物</w:t>
                  </w:r>
                </w:p>
              </w:tc>
              <w:tc>
                <w:tcPr>
                  <w:tcW w:w="916" w:type="pct"/>
                  <w:noWrap w:val="0"/>
                  <w:vAlign w:val="center"/>
                </w:tcPr>
                <w:p w14:paraId="412528C2">
                  <w:pPr>
                    <w:spacing w:line="240" w:lineRule="exact"/>
                    <w:jc w:val="center"/>
                    <w:rPr>
                      <w:rFonts w:hint="eastAsia"/>
                      <w:color w:val="FF0000"/>
                      <w:szCs w:val="21"/>
                      <w:highlight w:val="none"/>
                    </w:rPr>
                  </w:pPr>
                  <w:r>
                    <w:rPr>
                      <w:rFonts w:hint="eastAsia"/>
                      <w:color w:val="000000" w:themeColor="text1"/>
                      <w:szCs w:val="21"/>
                      <w:highlight w:val="none"/>
                      <w14:textFill>
                        <w14:solidFill>
                          <w14:schemeClr w14:val="tx1"/>
                        </w14:solidFill>
                      </w14:textFill>
                    </w:rPr>
                    <w:t>危险废物</w:t>
                  </w:r>
                </w:p>
              </w:tc>
              <w:tc>
                <w:tcPr>
                  <w:tcW w:w="633" w:type="pct"/>
                  <w:noWrap w:val="0"/>
                  <w:vAlign w:val="center"/>
                </w:tcPr>
                <w:p w14:paraId="3492EAAF">
                  <w:pPr>
                    <w:spacing w:line="240" w:lineRule="exact"/>
                    <w:jc w:val="center"/>
                    <w:rPr>
                      <w:rFonts w:hint="default"/>
                      <w:color w:val="000000" w:themeColor="text1"/>
                      <w:szCs w:val="21"/>
                      <w:highlight w:val="none"/>
                      <w:lang w:val="en-US"/>
                      <w14:textFill>
                        <w14:solidFill>
                          <w14:schemeClr w14:val="tx1"/>
                        </w14:solidFill>
                      </w14:textFill>
                    </w:rPr>
                  </w:pPr>
                  <w:r>
                    <w:rPr>
                      <w:rFonts w:hint="eastAsia"/>
                      <w:color w:val="000000" w:themeColor="text1"/>
                      <w:szCs w:val="21"/>
                      <w:highlight w:val="none"/>
                      <w:lang w:val="en-US" w:eastAsia="zh-CN"/>
                      <w14:textFill>
                        <w14:solidFill>
                          <w14:schemeClr w14:val="tx1"/>
                        </w14:solidFill>
                      </w14:textFill>
                    </w:rPr>
                    <w:t>半固态</w:t>
                  </w:r>
                </w:p>
              </w:tc>
              <w:tc>
                <w:tcPr>
                  <w:tcW w:w="688" w:type="pct"/>
                  <w:noWrap w:val="0"/>
                  <w:vAlign w:val="center"/>
                </w:tcPr>
                <w:p w14:paraId="21422574">
                  <w:pPr>
                    <w:widowControl/>
                    <w:spacing w:line="240" w:lineRule="exact"/>
                    <w:jc w:val="center"/>
                    <w:rPr>
                      <w:rFonts w:hint="eastAsia"/>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0.02</w:t>
                  </w:r>
                </w:p>
              </w:tc>
              <w:tc>
                <w:tcPr>
                  <w:tcW w:w="934" w:type="pct"/>
                  <w:vMerge w:val="continue"/>
                  <w:noWrap w:val="0"/>
                  <w:vAlign w:val="center"/>
                </w:tcPr>
                <w:p w14:paraId="33C29EC1">
                  <w:pPr>
                    <w:tabs>
                      <w:tab w:val="left" w:pos="2070"/>
                    </w:tabs>
                    <w:spacing w:line="240" w:lineRule="exact"/>
                    <w:jc w:val="center"/>
                    <w:rPr>
                      <w:rFonts w:hint="eastAsia"/>
                      <w:color w:val="auto"/>
                      <w:szCs w:val="21"/>
                      <w:highlight w:val="none"/>
                    </w:rPr>
                  </w:pPr>
                </w:p>
              </w:tc>
            </w:tr>
            <w:tr w14:paraId="2DCB8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3" w:hRule="atLeast"/>
                <w:jc w:val="center"/>
              </w:trPr>
              <w:tc>
                <w:tcPr>
                  <w:tcW w:w="1129" w:type="pct"/>
                  <w:noWrap w:val="0"/>
                  <w:vAlign w:val="center"/>
                </w:tcPr>
                <w:p w14:paraId="09D7A3AA">
                  <w:pPr>
                    <w:widowControl/>
                    <w:spacing w:line="240" w:lineRule="exact"/>
                    <w:jc w:val="center"/>
                    <w:rPr>
                      <w:rFonts w:hint="eastAsia" w:eastAsia="宋体"/>
                      <w:color w:val="auto"/>
                      <w:szCs w:val="21"/>
                      <w:highlight w:val="none"/>
                      <w:lang w:val="en-US" w:eastAsia="zh-CN"/>
                    </w:rPr>
                  </w:pPr>
                  <w:r>
                    <w:rPr>
                      <w:rFonts w:hint="eastAsia"/>
                      <w:color w:val="auto"/>
                      <w:szCs w:val="21"/>
                      <w:highlight w:val="none"/>
                    </w:rPr>
                    <w:t>清洗防锈预脱脂、主脱脂</w:t>
                  </w:r>
                  <w:r>
                    <w:rPr>
                      <w:rFonts w:hint="eastAsia"/>
                      <w:color w:val="auto"/>
                      <w:szCs w:val="21"/>
                      <w:highlight w:val="none"/>
                      <w:lang w:val="en-US" w:eastAsia="zh-CN"/>
                    </w:rPr>
                    <w:t>内衬袋</w:t>
                  </w:r>
                </w:p>
              </w:tc>
              <w:tc>
                <w:tcPr>
                  <w:tcW w:w="696" w:type="pct"/>
                  <w:noWrap w:val="0"/>
                  <w:vAlign w:val="center"/>
                </w:tcPr>
                <w:p w14:paraId="2D6A2C2C">
                  <w:pPr>
                    <w:spacing w:line="240" w:lineRule="exact"/>
                    <w:jc w:val="center"/>
                    <w:rPr>
                      <w:color w:val="auto"/>
                      <w:szCs w:val="21"/>
                      <w:highlight w:val="none"/>
                    </w:rPr>
                  </w:pPr>
                  <w:r>
                    <w:rPr>
                      <w:rFonts w:hint="eastAsia"/>
                      <w:color w:val="auto"/>
                      <w:szCs w:val="21"/>
                      <w:highlight w:val="none"/>
                    </w:rPr>
                    <w:t>塑料包装</w:t>
                  </w:r>
                </w:p>
              </w:tc>
              <w:tc>
                <w:tcPr>
                  <w:tcW w:w="916" w:type="pct"/>
                  <w:noWrap w:val="0"/>
                  <w:vAlign w:val="center"/>
                </w:tcPr>
                <w:p w14:paraId="52D1EBBB">
                  <w:pPr>
                    <w:spacing w:line="240" w:lineRule="exact"/>
                    <w:jc w:val="center"/>
                    <w:rPr>
                      <w:rFonts w:hint="eastAsia"/>
                      <w:color w:val="auto"/>
                      <w:szCs w:val="21"/>
                      <w:highlight w:val="none"/>
                    </w:rPr>
                  </w:pPr>
                  <w:r>
                    <w:rPr>
                      <w:rFonts w:hint="eastAsia"/>
                      <w:color w:val="auto"/>
                      <w:szCs w:val="21"/>
                      <w:highlight w:val="none"/>
                    </w:rPr>
                    <w:t>危险废物</w:t>
                  </w:r>
                </w:p>
              </w:tc>
              <w:tc>
                <w:tcPr>
                  <w:tcW w:w="633" w:type="pct"/>
                  <w:noWrap w:val="0"/>
                  <w:vAlign w:val="center"/>
                </w:tcPr>
                <w:p w14:paraId="180CF9D2">
                  <w:pPr>
                    <w:spacing w:line="240" w:lineRule="exact"/>
                    <w:jc w:val="center"/>
                    <w:rPr>
                      <w:rFonts w:hint="eastAsia"/>
                      <w:color w:val="auto"/>
                      <w:szCs w:val="21"/>
                      <w:highlight w:val="none"/>
                    </w:rPr>
                  </w:pPr>
                  <w:r>
                    <w:rPr>
                      <w:rFonts w:hint="eastAsia"/>
                      <w:color w:val="auto"/>
                      <w:szCs w:val="21"/>
                      <w:highlight w:val="none"/>
                    </w:rPr>
                    <w:t>固态</w:t>
                  </w:r>
                </w:p>
              </w:tc>
              <w:tc>
                <w:tcPr>
                  <w:tcW w:w="688" w:type="pct"/>
                  <w:noWrap w:val="0"/>
                  <w:vAlign w:val="center"/>
                </w:tcPr>
                <w:p w14:paraId="2B371385">
                  <w:pPr>
                    <w:widowControl/>
                    <w:spacing w:line="240" w:lineRule="exact"/>
                    <w:jc w:val="center"/>
                    <w:rPr>
                      <w:color w:val="auto"/>
                      <w:kern w:val="0"/>
                      <w:szCs w:val="21"/>
                      <w:highlight w:val="none"/>
                    </w:rPr>
                  </w:pPr>
                  <w:r>
                    <w:rPr>
                      <w:rFonts w:hint="eastAsia"/>
                      <w:color w:val="auto"/>
                      <w:kern w:val="0"/>
                      <w:szCs w:val="21"/>
                      <w:highlight w:val="none"/>
                    </w:rPr>
                    <w:t>0.014</w:t>
                  </w:r>
                </w:p>
              </w:tc>
              <w:tc>
                <w:tcPr>
                  <w:tcW w:w="934" w:type="pct"/>
                  <w:vMerge w:val="continue"/>
                  <w:noWrap w:val="0"/>
                  <w:vAlign w:val="center"/>
                </w:tcPr>
                <w:p w14:paraId="4B980A98">
                  <w:pPr>
                    <w:tabs>
                      <w:tab w:val="left" w:pos="2070"/>
                    </w:tabs>
                    <w:spacing w:line="240" w:lineRule="exact"/>
                    <w:jc w:val="center"/>
                    <w:rPr>
                      <w:rFonts w:hint="eastAsia"/>
                      <w:color w:val="auto"/>
                      <w:szCs w:val="21"/>
                      <w:highlight w:val="none"/>
                    </w:rPr>
                  </w:pPr>
                </w:p>
              </w:tc>
            </w:tr>
          </w:tbl>
          <w:p w14:paraId="71310729">
            <w:pPr>
              <w:pStyle w:val="91"/>
              <w:numPr>
                <w:ilvl w:val="0"/>
                <w:numId w:val="0"/>
              </w:numPr>
              <w:spacing w:before="120" w:after="24"/>
              <w:ind w:left="420" w:leftChars="200"/>
              <w:jc w:val="center"/>
              <w:rPr>
                <w:color w:val="auto"/>
                <w:highlight w:val="none"/>
              </w:rPr>
            </w:pPr>
            <w:r>
              <w:rPr>
                <w:color w:val="auto"/>
                <w:highlight w:val="none"/>
              </w:rPr>
              <w:t>表</w:t>
            </w:r>
            <w:r>
              <w:rPr>
                <w:rFonts w:hint="eastAsia"/>
                <w:color w:val="auto"/>
                <w:highlight w:val="none"/>
              </w:rPr>
              <w:t>4-</w:t>
            </w:r>
            <w:r>
              <w:rPr>
                <w:rFonts w:hint="eastAsia"/>
                <w:color w:val="auto"/>
                <w:highlight w:val="none"/>
                <w:lang w:val="en-US" w:eastAsia="zh-CN"/>
              </w:rPr>
              <w:t>11</w:t>
            </w:r>
            <w:r>
              <w:rPr>
                <w:rFonts w:hint="eastAsia"/>
                <w:color w:val="auto"/>
                <w:highlight w:val="none"/>
              </w:rPr>
              <w:t xml:space="preserve">  技改项目</w:t>
            </w:r>
            <w:r>
              <w:rPr>
                <w:color w:val="auto"/>
                <w:highlight w:val="none"/>
              </w:rPr>
              <w:t>危险废物汇总表</w:t>
            </w:r>
          </w:p>
          <w:tbl>
            <w:tblPr>
              <w:tblStyle w:val="3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8"/>
              <w:gridCol w:w="1342"/>
              <w:gridCol w:w="1038"/>
              <w:gridCol w:w="959"/>
              <w:gridCol w:w="461"/>
              <w:gridCol w:w="971"/>
              <w:gridCol w:w="766"/>
              <w:gridCol w:w="1011"/>
              <w:gridCol w:w="854"/>
            </w:tblGrid>
            <w:tr w14:paraId="35A94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631" w:type="pct"/>
                  <w:noWrap w:val="0"/>
                  <w:vAlign w:val="center"/>
                </w:tcPr>
                <w:p w14:paraId="01B2AFED">
                  <w:pPr>
                    <w:pStyle w:val="102"/>
                    <w:spacing w:before="0" w:beforeLines="0" w:after="0" w:afterLines="0" w:line="240" w:lineRule="exact"/>
                    <w:rPr>
                      <w:color w:val="auto"/>
                      <w:highlight w:val="none"/>
                    </w:rPr>
                  </w:pPr>
                  <w:r>
                    <w:rPr>
                      <w:color w:val="auto"/>
                      <w:highlight w:val="none"/>
                    </w:rPr>
                    <w:t>危险废物名称</w:t>
                  </w:r>
                </w:p>
              </w:tc>
              <w:tc>
                <w:tcPr>
                  <w:tcW w:w="792" w:type="pct"/>
                  <w:noWrap w:val="0"/>
                  <w:vAlign w:val="center"/>
                </w:tcPr>
                <w:p w14:paraId="271F9EE9">
                  <w:pPr>
                    <w:pStyle w:val="102"/>
                    <w:spacing w:before="0" w:beforeLines="0" w:after="0" w:afterLines="0" w:line="240" w:lineRule="exact"/>
                    <w:rPr>
                      <w:color w:val="auto"/>
                      <w:highlight w:val="none"/>
                    </w:rPr>
                  </w:pPr>
                  <w:r>
                    <w:rPr>
                      <w:color w:val="auto"/>
                      <w:highlight w:val="none"/>
                    </w:rPr>
                    <w:t>危险废物</w:t>
                  </w:r>
                </w:p>
                <w:p w14:paraId="622B3F39">
                  <w:pPr>
                    <w:pStyle w:val="102"/>
                    <w:spacing w:before="0" w:beforeLines="0" w:after="0" w:afterLines="0" w:line="240" w:lineRule="exact"/>
                    <w:rPr>
                      <w:color w:val="auto"/>
                      <w:highlight w:val="none"/>
                    </w:rPr>
                  </w:pPr>
                  <w:r>
                    <w:rPr>
                      <w:color w:val="auto"/>
                      <w:highlight w:val="none"/>
                    </w:rPr>
                    <w:t>代码</w:t>
                  </w:r>
                </w:p>
              </w:tc>
              <w:tc>
                <w:tcPr>
                  <w:tcW w:w="613" w:type="pct"/>
                  <w:noWrap w:val="0"/>
                  <w:vAlign w:val="center"/>
                </w:tcPr>
                <w:p w14:paraId="105109F0">
                  <w:pPr>
                    <w:pStyle w:val="102"/>
                    <w:spacing w:before="0" w:beforeLines="0" w:after="0" w:afterLines="0" w:line="240" w:lineRule="exact"/>
                    <w:rPr>
                      <w:color w:val="auto"/>
                      <w:highlight w:val="none"/>
                    </w:rPr>
                  </w:pPr>
                  <w:r>
                    <w:rPr>
                      <w:color w:val="auto"/>
                      <w:highlight w:val="none"/>
                    </w:rPr>
                    <w:t>产生量</w:t>
                  </w:r>
                </w:p>
                <w:p w14:paraId="61660B35">
                  <w:pPr>
                    <w:pStyle w:val="102"/>
                    <w:spacing w:before="0" w:beforeLines="0" w:after="0" w:afterLines="0" w:line="240" w:lineRule="exact"/>
                    <w:rPr>
                      <w:color w:val="auto"/>
                      <w:highlight w:val="none"/>
                    </w:rPr>
                  </w:pPr>
                  <w:r>
                    <w:rPr>
                      <w:color w:val="auto"/>
                      <w:highlight w:val="none"/>
                    </w:rPr>
                    <w:t>t/a</w:t>
                  </w:r>
                </w:p>
              </w:tc>
              <w:tc>
                <w:tcPr>
                  <w:tcW w:w="566" w:type="pct"/>
                  <w:noWrap w:val="0"/>
                  <w:vAlign w:val="center"/>
                </w:tcPr>
                <w:p w14:paraId="3828644E">
                  <w:pPr>
                    <w:pStyle w:val="102"/>
                    <w:spacing w:before="0" w:beforeLines="0" w:after="0" w:afterLines="0" w:line="240" w:lineRule="exact"/>
                    <w:rPr>
                      <w:color w:val="auto"/>
                      <w:highlight w:val="none"/>
                    </w:rPr>
                  </w:pPr>
                  <w:r>
                    <w:rPr>
                      <w:color w:val="auto"/>
                      <w:highlight w:val="none"/>
                    </w:rPr>
                    <w:t>产生工序/装置</w:t>
                  </w:r>
                </w:p>
              </w:tc>
              <w:tc>
                <w:tcPr>
                  <w:tcW w:w="272" w:type="pct"/>
                  <w:noWrap w:val="0"/>
                  <w:vAlign w:val="center"/>
                </w:tcPr>
                <w:p w14:paraId="37DFE733">
                  <w:pPr>
                    <w:pStyle w:val="102"/>
                    <w:spacing w:before="0" w:beforeLines="0" w:after="0" w:afterLines="0" w:line="240" w:lineRule="exact"/>
                    <w:rPr>
                      <w:rFonts w:hint="default"/>
                      <w:color w:val="auto"/>
                      <w:highlight w:val="none"/>
                    </w:rPr>
                  </w:pPr>
                  <w:r>
                    <w:rPr>
                      <w:color w:val="auto"/>
                      <w:highlight w:val="none"/>
                    </w:rPr>
                    <w:t>形态</w:t>
                  </w:r>
                </w:p>
              </w:tc>
              <w:tc>
                <w:tcPr>
                  <w:tcW w:w="573" w:type="pct"/>
                  <w:noWrap w:val="0"/>
                  <w:vAlign w:val="center"/>
                </w:tcPr>
                <w:p w14:paraId="09769A6E">
                  <w:pPr>
                    <w:pStyle w:val="102"/>
                    <w:spacing w:before="0" w:beforeLines="0" w:after="0" w:afterLines="0" w:line="240" w:lineRule="exact"/>
                    <w:rPr>
                      <w:color w:val="auto"/>
                      <w:highlight w:val="none"/>
                    </w:rPr>
                  </w:pPr>
                  <w:r>
                    <w:rPr>
                      <w:color w:val="auto"/>
                      <w:highlight w:val="none"/>
                    </w:rPr>
                    <w:t>有害</w:t>
                  </w:r>
                </w:p>
                <w:p w14:paraId="2963174B">
                  <w:pPr>
                    <w:pStyle w:val="102"/>
                    <w:spacing w:before="0" w:beforeLines="0" w:after="0" w:afterLines="0" w:line="240" w:lineRule="exact"/>
                    <w:rPr>
                      <w:color w:val="auto"/>
                      <w:highlight w:val="none"/>
                    </w:rPr>
                  </w:pPr>
                  <w:r>
                    <w:rPr>
                      <w:color w:val="auto"/>
                      <w:highlight w:val="none"/>
                    </w:rPr>
                    <w:t>成份</w:t>
                  </w:r>
                </w:p>
              </w:tc>
              <w:tc>
                <w:tcPr>
                  <w:tcW w:w="452" w:type="pct"/>
                  <w:noWrap w:val="0"/>
                  <w:vAlign w:val="center"/>
                </w:tcPr>
                <w:p w14:paraId="641A39E8">
                  <w:pPr>
                    <w:pStyle w:val="102"/>
                    <w:spacing w:before="0" w:beforeLines="0" w:after="0" w:afterLines="0" w:line="240" w:lineRule="exact"/>
                    <w:rPr>
                      <w:color w:val="auto"/>
                      <w:highlight w:val="none"/>
                    </w:rPr>
                  </w:pPr>
                  <w:r>
                    <w:rPr>
                      <w:color w:val="auto"/>
                      <w:highlight w:val="none"/>
                    </w:rPr>
                    <w:t>产废</w:t>
                  </w:r>
                </w:p>
                <w:p w14:paraId="20BB498C">
                  <w:pPr>
                    <w:pStyle w:val="102"/>
                    <w:spacing w:before="0" w:beforeLines="0" w:after="0" w:afterLines="0" w:line="240" w:lineRule="exact"/>
                    <w:rPr>
                      <w:color w:val="auto"/>
                      <w:highlight w:val="none"/>
                    </w:rPr>
                  </w:pPr>
                  <w:r>
                    <w:rPr>
                      <w:color w:val="auto"/>
                      <w:highlight w:val="none"/>
                    </w:rPr>
                    <w:t>周期</w:t>
                  </w:r>
                </w:p>
              </w:tc>
              <w:tc>
                <w:tcPr>
                  <w:tcW w:w="597" w:type="pct"/>
                  <w:noWrap w:val="0"/>
                  <w:vAlign w:val="center"/>
                </w:tcPr>
                <w:p w14:paraId="7C3082D8">
                  <w:pPr>
                    <w:pStyle w:val="102"/>
                    <w:spacing w:before="0" w:beforeLines="0" w:after="0" w:afterLines="0" w:line="240" w:lineRule="exact"/>
                    <w:rPr>
                      <w:color w:val="auto"/>
                      <w:highlight w:val="none"/>
                    </w:rPr>
                  </w:pPr>
                  <w:r>
                    <w:rPr>
                      <w:color w:val="auto"/>
                      <w:highlight w:val="none"/>
                    </w:rPr>
                    <w:t>危险</w:t>
                  </w:r>
                </w:p>
                <w:p w14:paraId="0BA050F5">
                  <w:pPr>
                    <w:pStyle w:val="102"/>
                    <w:spacing w:before="0" w:beforeLines="0" w:after="0" w:afterLines="0" w:line="240" w:lineRule="exact"/>
                    <w:rPr>
                      <w:color w:val="auto"/>
                      <w:highlight w:val="none"/>
                    </w:rPr>
                  </w:pPr>
                  <w:r>
                    <w:rPr>
                      <w:color w:val="auto"/>
                      <w:highlight w:val="none"/>
                    </w:rPr>
                    <w:t>特性</w:t>
                  </w:r>
                </w:p>
              </w:tc>
              <w:tc>
                <w:tcPr>
                  <w:tcW w:w="498" w:type="pct"/>
                  <w:noWrap w:val="0"/>
                  <w:vAlign w:val="center"/>
                </w:tcPr>
                <w:p w14:paraId="7B68308B">
                  <w:pPr>
                    <w:pStyle w:val="102"/>
                    <w:spacing w:before="0" w:beforeLines="0" w:after="0" w:afterLines="0" w:line="240" w:lineRule="exact"/>
                    <w:rPr>
                      <w:color w:val="auto"/>
                      <w:highlight w:val="none"/>
                    </w:rPr>
                  </w:pPr>
                  <w:r>
                    <w:rPr>
                      <w:color w:val="auto"/>
                      <w:highlight w:val="none"/>
                    </w:rPr>
                    <w:t>污染防治措施</w:t>
                  </w:r>
                </w:p>
              </w:tc>
            </w:tr>
            <w:tr w14:paraId="3A88F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631" w:type="pct"/>
                  <w:noWrap w:val="0"/>
                  <w:vAlign w:val="center"/>
                </w:tcPr>
                <w:p w14:paraId="746DCFDD">
                  <w:pPr>
                    <w:widowControl/>
                    <w:jc w:val="center"/>
                    <w:rPr>
                      <w:color w:val="auto"/>
                      <w:highlight w:val="none"/>
                    </w:rPr>
                  </w:pPr>
                  <w:r>
                    <w:rPr>
                      <w:rFonts w:hint="eastAsia"/>
                      <w:color w:val="auto"/>
                      <w:highlight w:val="none"/>
                    </w:rPr>
                    <w:t>废矿物油</w:t>
                  </w:r>
                </w:p>
              </w:tc>
              <w:tc>
                <w:tcPr>
                  <w:tcW w:w="792" w:type="pct"/>
                  <w:noWrap w:val="0"/>
                  <w:vAlign w:val="center"/>
                </w:tcPr>
                <w:p w14:paraId="267561EC">
                  <w:pPr>
                    <w:pStyle w:val="103"/>
                    <w:spacing w:line="240" w:lineRule="exact"/>
                    <w:rPr>
                      <w:rFonts w:hint="eastAsia"/>
                      <w:color w:val="auto"/>
                      <w:highlight w:val="none"/>
                      <w:lang w:val="en-US"/>
                    </w:rPr>
                  </w:pPr>
                  <w:r>
                    <w:rPr>
                      <w:rFonts w:hint="eastAsia"/>
                      <w:color w:val="auto"/>
                      <w:highlight w:val="none"/>
                      <w:lang w:val="en-US"/>
                    </w:rPr>
                    <w:t>HW08</w:t>
                  </w:r>
                </w:p>
                <w:p w14:paraId="4E24E62C">
                  <w:pPr>
                    <w:pStyle w:val="103"/>
                    <w:spacing w:line="240" w:lineRule="exact"/>
                    <w:rPr>
                      <w:rFonts w:hint="eastAsia"/>
                      <w:color w:val="auto"/>
                      <w:highlight w:val="none"/>
                      <w:lang w:val="en-US"/>
                    </w:rPr>
                  </w:pPr>
                  <w:r>
                    <w:rPr>
                      <w:rFonts w:hint="eastAsia"/>
                      <w:color w:val="auto"/>
                      <w:highlight w:val="none"/>
                      <w:lang w:val="en-US"/>
                    </w:rPr>
                    <w:t>900-201-08</w:t>
                  </w:r>
                </w:p>
              </w:tc>
              <w:tc>
                <w:tcPr>
                  <w:tcW w:w="613" w:type="pct"/>
                  <w:noWrap w:val="0"/>
                  <w:vAlign w:val="center"/>
                </w:tcPr>
                <w:p w14:paraId="45D2F256">
                  <w:pPr>
                    <w:widowControl/>
                    <w:jc w:val="center"/>
                    <w:textAlignment w:val="center"/>
                    <w:rPr>
                      <w:rFonts w:hint="eastAsia" w:eastAsia="宋体"/>
                      <w:color w:val="000000" w:themeColor="text1"/>
                      <w:szCs w:val="21"/>
                      <w:highlight w:val="none"/>
                      <w:lang w:val="en-US" w:eastAsia="zh-CN"/>
                      <w14:textFill>
                        <w14:solidFill>
                          <w14:schemeClr w14:val="tx1"/>
                        </w14:solidFill>
                      </w14:textFill>
                    </w:rPr>
                  </w:pPr>
                  <w:r>
                    <w:rPr>
                      <w:rFonts w:hint="eastAsia"/>
                      <w:color w:val="000000" w:themeColor="text1"/>
                      <w:kern w:val="0"/>
                      <w:szCs w:val="21"/>
                      <w:highlight w:val="none"/>
                      <w:lang w:eastAsia="zh-CN" w:bidi="ar"/>
                      <w14:textFill>
                        <w14:solidFill>
                          <w14:schemeClr w14:val="tx1"/>
                        </w14:solidFill>
                      </w14:textFill>
                    </w:rPr>
                    <w:t>0.01425</w:t>
                  </w:r>
                </w:p>
              </w:tc>
              <w:tc>
                <w:tcPr>
                  <w:tcW w:w="566" w:type="pct"/>
                  <w:noWrap w:val="0"/>
                  <w:vAlign w:val="center"/>
                </w:tcPr>
                <w:p w14:paraId="5B7EC8FF">
                  <w:pPr>
                    <w:pStyle w:val="103"/>
                    <w:spacing w:line="240" w:lineRule="exact"/>
                    <w:rPr>
                      <w:color w:val="000000" w:themeColor="text1"/>
                      <w:highlight w:val="none"/>
                      <w:lang w:val="en-US"/>
                      <w14:textFill>
                        <w14:solidFill>
                          <w14:schemeClr w14:val="tx1"/>
                        </w14:solidFill>
                      </w14:textFill>
                    </w:rPr>
                  </w:pPr>
                  <w:r>
                    <w:rPr>
                      <w:rFonts w:hint="eastAsia"/>
                      <w:color w:val="000000" w:themeColor="text1"/>
                      <w:highlight w:val="none"/>
                      <w:lang w:val="en-US"/>
                      <w14:textFill>
                        <w14:solidFill>
                          <w14:schemeClr w14:val="tx1"/>
                        </w14:solidFill>
                      </w14:textFill>
                    </w:rPr>
                    <w:t>预脱脂、主脱脂隔油装置</w:t>
                  </w:r>
                </w:p>
              </w:tc>
              <w:tc>
                <w:tcPr>
                  <w:tcW w:w="272" w:type="pct"/>
                  <w:noWrap w:val="0"/>
                  <w:vAlign w:val="center"/>
                </w:tcPr>
                <w:p w14:paraId="7C3A4EA7">
                  <w:pPr>
                    <w:pStyle w:val="103"/>
                    <w:spacing w:line="240" w:lineRule="exact"/>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液态</w:t>
                  </w:r>
                </w:p>
              </w:tc>
              <w:tc>
                <w:tcPr>
                  <w:tcW w:w="573" w:type="pct"/>
                  <w:noWrap w:val="0"/>
                  <w:vAlign w:val="center"/>
                </w:tcPr>
                <w:p w14:paraId="283F954E">
                  <w:pPr>
                    <w:pStyle w:val="103"/>
                    <w:spacing w:line="240" w:lineRule="exact"/>
                    <w:rPr>
                      <w:color w:val="auto"/>
                      <w:highlight w:val="none"/>
                      <w:lang w:val="en-US"/>
                    </w:rPr>
                  </w:pPr>
                  <w:r>
                    <w:rPr>
                      <w:rFonts w:hint="eastAsia"/>
                      <w:color w:val="auto"/>
                      <w:highlight w:val="none"/>
                      <w:lang w:val="en-US"/>
                    </w:rPr>
                    <w:t>矿物油等</w:t>
                  </w:r>
                </w:p>
              </w:tc>
              <w:tc>
                <w:tcPr>
                  <w:tcW w:w="452" w:type="pct"/>
                  <w:noWrap w:val="0"/>
                  <w:vAlign w:val="center"/>
                </w:tcPr>
                <w:p w14:paraId="6C3A87F0">
                  <w:pPr>
                    <w:pStyle w:val="103"/>
                    <w:spacing w:line="240" w:lineRule="exact"/>
                    <w:rPr>
                      <w:color w:val="auto"/>
                      <w:highlight w:val="none"/>
                      <w:lang w:val="en-US"/>
                    </w:rPr>
                  </w:pPr>
                  <w:r>
                    <w:rPr>
                      <w:rFonts w:hint="eastAsia"/>
                      <w:color w:val="auto"/>
                      <w:highlight w:val="none"/>
                      <w:lang w:val="en-US"/>
                    </w:rPr>
                    <w:t>1次/30d</w:t>
                  </w:r>
                </w:p>
              </w:tc>
              <w:tc>
                <w:tcPr>
                  <w:tcW w:w="597" w:type="pct"/>
                  <w:noWrap w:val="0"/>
                  <w:vAlign w:val="center"/>
                </w:tcPr>
                <w:p w14:paraId="7B60E66F">
                  <w:pPr>
                    <w:pStyle w:val="103"/>
                    <w:spacing w:line="240" w:lineRule="exact"/>
                    <w:rPr>
                      <w:color w:val="auto"/>
                      <w:highlight w:val="none"/>
                      <w:lang w:val="en-US"/>
                    </w:rPr>
                  </w:pPr>
                  <w:r>
                    <w:rPr>
                      <w:rFonts w:hint="eastAsia"/>
                      <w:color w:val="auto"/>
                      <w:highlight w:val="none"/>
                      <w:lang w:val="en-US"/>
                    </w:rPr>
                    <w:t>T、I</w:t>
                  </w:r>
                </w:p>
              </w:tc>
              <w:tc>
                <w:tcPr>
                  <w:tcW w:w="498" w:type="pct"/>
                  <w:vMerge w:val="restart"/>
                  <w:noWrap w:val="0"/>
                  <w:vAlign w:val="center"/>
                </w:tcPr>
                <w:p w14:paraId="3993CBF5">
                  <w:pPr>
                    <w:pStyle w:val="103"/>
                    <w:spacing w:line="240" w:lineRule="exact"/>
                    <w:rPr>
                      <w:color w:val="auto"/>
                      <w:highlight w:val="none"/>
                      <w:lang w:val="en-US"/>
                    </w:rPr>
                  </w:pPr>
                  <w:r>
                    <w:rPr>
                      <w:rFonts w:hint="eastAsia"/>
                      <w:color w:val="auto"/>
                      <w:highlight w:val="none"/>
                      <w:lang w:val="en-US"/>
                    </w:rPr>
                    <w:t>暂存</w:t>
                  </w:r>
                  <w:r>
                    <w:rPr>
                      <w:rFonts w:hint="eastAsia"/>
                      <w:color w:val="auto"/>
                      <w:highlight w:val="none"/>
                      <w:lang w:val="en-US" w:eastAsia="zh-CN"/>
                    </w:rPr>
                    <w:t>危废间</w:t>
                  </w:r>
                  <w:r>
                    <w:rPr>
                      <w:rFonts w:hint="eastAsia"/>
                      <w:color w:val="auto"/>
                      <w:highlight w:val="none"/>
                      <w:lang w:val="en-US"/>
                    </w:rPr>
                    <w:t>，定期交由有资质单位处置</w:t>
                  </w:r>
                </w:p>
              </w:tc>
            </w:tr>
            <w:tr w14:paraId="1D96F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631" w:type="pct"/>
                  <w:noWrap w:val="0"/>
                  <w:vAlign w:val="center"/>
                </w:tcPr>
                <w:p w14:paraId="3EDEA572">
                  <w:pPr>
                    <w:widowControl/>
                    <w:jc w:val="center"/>
                    <w:rPr>
                      <w:rFonts w:hint="eastAsia"/>
                      <w:color w:val="auto"/>
                      <w:highlight w:val="none"/>
                    </w:rPr>
                  </w:pPr>
                  <w:r>
                    <w:rPr>
                      <w:rFonts w:hint="eastAsia"/>
                      <w:color w:val="auto"/>
                      <w:highlight w:val="none"/>
                    </w:rPr>
                    <w:t>絮凝沉淀物</w:t>
                  </w:r>
                </w:p>
              </w:tc>
              <w:tc>
                <w:tcPr>
                  <w:tcW w:w="792" w:type="pct"/>
                  <w:noWrap w:val="0"/>
                  <w:vAlign w:val="center"/>
                </w:tcPr>
                <w:p w14:paraId="51B68DF8">
                  <w:pPr>
                    <w:pStyle w:val="103"/>
                    <w:spacing w:line="240" w:lineRule="exact"/>
                    <w:rPr>
                      <w:rFonts w:hint="eastAsia"/>
                      <w:color w:val="auto"/>
                      <w:highlight w:val="none"/>
                      <w:lang w:val="en-US"/>
                    </w:rPr>
                  </w:pPr>
                  <w:r>
                    <w:rPr>
                      <w:rFonts w:hint="eastAsia"/>
                      <w:color w:val="auto"/>
                      <w:highlight w:val="none"/>
                      <w:lang w:val="en-US"/>
                    </w:rPr>
                    <w:t xml:space="preserve">HW49 900-041-49 </w:t>
                  </w:r>
                </w:p>
              </w:tc>
              <w:tc>
                <w:tcPr>
                  <w:tcW w:w="613" w:type="pct"/>
                  <w:noWrap w:val="0"/>
                  <w:vAlign w:val="center"/>
                </w:tcPr>
                <w:p w14:paraId="3E6125F2">
                  <w:pPr>
                    <w:pStyle w:val="103"/>
                    <w:spacing w:line="240" w:lineRule="exact"/>
                    <w:rPr>
                      <w:color w:val="000000" w:themeColor="text1"/>
                      <w:highlight w:val="none"/>
                      <w:lang w:val="en-US"/>
                      <w14:textFill>
                        <w14:solidFill>
                          <w14:schemeClr w14:val="tx1"/>
                        </w14:solidFill>
                      </w14:textFill>
                    </w:rPr>
                  </w:pPr>
                  <w:r>
                    <w:rPr>
                      <w:rFonts w:hint="eastAsia"/>
                      <w:color w:val="000000" w:themeColor="text1"/>
                      <w:highlight w:val="none"/>
                      <w:lang w:val="en-US"/>
                      <w14:textFill>
                        <w14:solidFill>
                          <w14:schemeClr w14:val="tx1"/>
                        </w14:solidFill>
                      </w14:textFill>
                    </w:rPr>
                    <w:t>0.02</w:t>
                  </w:r>
                </w:p>
              </w:tc>
              <w:tc>
                <w:tcPr>
                  <w:tcW w:w="566" w:type="pct"/>
                  <w:noWrap w:val="0"/>
                  <w:vAlign w:val="center"/>
                </w:tcPr>
                <w:p w14:paraId="68C3DF41">
                  <w:pPr>
                    <w:pStyle w:val="103"/>
                    <w:spacing w:line="240" w:lineRule="exact"/>
                    <w:rPr>
                      <w:color w:val="000000" w:themeColor="text1"/>
                      <w:highlight w:val="none"/>
                      <w:lang w:val="en-US"/>
                      <w14:textFill>
                        <w14:solidFill>
                          <w14:schemeClr w14:val="tx1"/>
                        </w14:solidFill>
                      </w14:textFill>
                    </w:rPr>
                  </w:pPr>
                  <w:r>
                    <w:rPr>
                      <w:rFonts w:hint="eastAsia"/>
                      <w:color w:val="000000" w:themeColor="text1"/>
                      <w:highlight w:val="none"/>
                      <w:lang w:val="en-US"/>
                      <w14:textFill>
                        <w14:solidFill>
                          <w14:schemeClr w14:val="tx1"/>
                        </w14:solidFill>
                      </w14:textFill>
                    </w:rPr>
                    <w:t>水槽集污沟</w:t>
                  </w:r>
                </w:p>
              </w:tc>
              <w:tc>
                <w:tcPr>
                  <w:tcW w:w="272" w:type="pct"/>
                  <w:noWrap w:val="0"/>
                  <w:vAlign w:val="center"/>
                </w:tcPr>
                <w:p w14:paraId="3BD01E25">
                  <w:pPr>
                    <w:pStyle w:val="103"/>
                    <w:spacing w:line="240" w:lineRule="exact"/>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半固态</w:t>
                  </w:r>
                </w:p>
              </w:tc>
              <w:tc>
                <w:tcPr>
                  <w:tcW w:w="573" w:type="pct"/>
                  <w:noWrap w:val="0"/>
                  <w:vAlign w:val="center"/>
                </w:tcPr>
                <w:p w14:paraId="0FFC9088">
                  <w:pPr>
                    <w:pStyle w:val="103"/>
                    <w:spacing w:line="240" w:lineRule="exact"/>
                    <w:jc w:val="both"/>
                    <w:rPr>
                      <w:rFonts w:hint="eastAsia"/>
                      <w:color w:val="auto"/>
                      <w:highlight w:val="none"/>
                      <w:lang w:val="en-US"/>
                    </w:rPr>
                  </w:pPr>
                  <w:r>
                    <w:rPr>
                      <w:rFonts w:hint="eastAsia"/>
                      <w:color w:val="auto"/>
                      <w:highlight w:val="none"/>
                      <w:lang w:val="en-US" w:eastAsia="zh-CN"/>
                    </w:rPr>
                    <w:t>脂肪胺、乙烯醚</w:t>
                  </w:r>
                  <w:r>
                    <w:rPr>
                      <w:rFonts w:hint="eastAsia"/>
                      <w:color w:val="auto"/>
                      <w:highlight w:val="none"/>
                      <w:lang w:val="en-US"/>
                    </w:rPr>
                    <w:t>等</w:t>
                  </w:r>
                </w:p>
              </w:tc>
              <w:tc>
                <w:tcPr>
                  <w:tcW w:w="452" w:type="pct"/>
                  <w:noWrap w:val="0"/>
                  <w:vAlign w:val="center"/>
                </w:tcPr>
                <w:p w14:paraId="76C8490F">
                  <w:pPr>
                    <w:spacing w:line="240" w:lineRule="exact"/>
                    <w:jc w:val="center"/>
                    <w:rPr>
                      <w:rFonts w:hint="eastAsia"/>
                      <w:color w:val="auto"/>
                      <w:highlight w:val="none"/>
                    </w:rPr>
                  </w:pPr>
                  <w:r>
                    <w:rPr>
                      <w:rFonts w:hint="eastAsia"/>
                      <w:color w:val="auto"/>
                      <w:highlight w:val="none"/>
                    </w:rPr>
                    <w:t>1次/30d</w:t>
                  </w:r>
                </w:p>
              </w:tc>
              <w:tc>
                <w:tcPr>
                  <w:tcW w:w="597" w:type="pct"/>
                  <w:noWrap w:val="0"/>
                  <w:vAlign w:val="center"/>
                </w:tcPr>
                <w:p w14:paraId="32038F82">
                  <w:pPr>
                    <w:spacing w:line="240" w:lineRule="exact"/>
                    <w:ind w:firstLine="240" w:firstLineChars="100"/>
                    <w:rPr>
                      <w:rFonts w:hint="eastAsia"/>
                      <w:color w:val="auto"/>
                      <w:highlight w:val="none"/>
                    </w:rPr>
                  </w:pPr>
                  <w:r>
                    <w:rPr>
                      <w:rFonts w:hint="eastAsia"/>
                      <w:color w:val="auto"/>
                      <w:sz w:val="24"/>
                      <w:highlight w:val="none"/>
                    </w:rPr>
                    <w:t>T/In</w:t>
                  </w:r>
                </w:p>
              </w:tc>
              <w:tc>
                <w:tcPr>
                  <w:tcW w:w="498" w:type="pct"/>
                  <w:vMerge w:val="continue"/>
                  <w:noWrap w:val="0"/>
                  <w:vAlign w:val="center"/>
                </w:tcPr>
                <w:p w14:paraId="5ADCAF88">
                  <w:pPr>
                    <w:pStyle w:val="103"/>
                    <w:spacing w:line="240" w:lineRule="exact"/>
                    <w:rPr>
                      <w:rFonts w:hint="eastAsia"/>
                      <w:color w:val="auto"/>
                      <w:highlight w:val="none"/>
                      <w:lang w:val="en-US"/>
                    </w:rPr>
                  </w:pPr>
                </w:p>
              </w:tc>
            </w:tr>
            <w:tr w14:paraId="50948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jc w:val="center"/>
              </w:trPr>
              <w:tc>
                <w:tcPr>
                  <w:tcW w:w="631" w:type="pct"/>
                  <w:noWrap w:val="0"/>
                  <w:vAlign w:val="center"/>
                </w:tcPr>
                <w:p w14:paraId="152D857E">
                  <w:pPr>
                    <w:widowControl/>
                    <w:jc w:val="center"/>
                    <w:rPr>
                      <w:rFonts w:hint="eastAsia" w:eastAsia="宋体"/>
                      <w:color w:val="auto"/>
                      <w:highlight w:val="none"/>
                      <w:lang w:eastAsia="zh-CN"/>
                    </w:rPr>
                  </w:pPr>
                  <w:r>
                    <w:rPr>
                      <w:rFonts w:hint="eastAsia"/>
                      <w:color w:val="auto"/>
                      <w:highlight w:val="none"/>
                    </w:rPr>
                    <w:t>重油垢清洗剂、多功能防锈剂塑料</w:t>
                  </w:r>
                  <w:r>
                    <w:rPr>
                      <w:rFonts w:hint="eastAsia"/>
                      <w:color w:val="auto"/>
                      <w:highlight w:val="none"/>
                      <w:lang w:val="en-US" w:eastAsia="zh-CN"/>
                    </w:rPr>
                    <w:t>内衬袋</w:t>
                  </w:r>
                </w:p>
              </w:tc>
              <w:tc>
                <w:tcPr>
                  <w:tcW w:w="792" w:type="pct"/>
                  <w:noWrap w:val="0"/>
                  <w:vAlign w:val="center"/>
                </w:tcPr>
                <w:p w14:paraId="50D3A676">
                  <w:pPr>
                    <w:pStyle w:val="103"/>
                    <w:spacing w:line="240" w:lineRule="exact"/>
                    <w:rPr>
                      <w:color w:val="auto"/>
                      <w:highlight w:val="none"/>
                      <w:lang w:val="en-US"/>
                    </w:rPr>
                  </w:pPr>
                  <w:r>
                    <w:rPr>
                      <w:rFonts w:hint="eastAsia"/>
                      <w:color w:val="auto"/>
                      <w:highlight w:val="none"/>
                      <w:lang w:val="en-US"/>
                    </w:rPr>
                    <w:t xml:space="preserve">HW49 900-041-49 </w:t>
                  </w:r>
                </w:p>
              </w:tc>
              <w:tc>
                <w:tcPr>
                  <w:tcW w:w="613" w:type="pct"/>
                  <w:noWrap w:val="0"/>
                  <w:vAlign w:val="center"/>
                </w:tcPr>
                <w:p w14:paraId="1B59D622">
                  <w:pPr>
                    <w:pStyle w:val="103"/>
                    <w:spacing w:line="240" w:lineRule="exact"/>
                    <w:rPr>
                      <w:color w:val="000000" w:themeColor="text1"/>
                      <w:highlight w:val="none"/>
                      <w:lang w:val="en-US"/>
                      <w14:textFill>
                        <w14:solidFill>
                          <w14:schemeClr w14:val="tx1"/>
                        </w14:solidFill>
                      </w14:textFill>
                    </w:rPr>
                  </w:pPr>
                  <w:r>
                    <w:rPr>
                      <w:rFonts w:hint="eastAsia"/>
                      <w:color w:val="000000" w:themeColor="text1"/>
                      <w:szCs w:val="21"/>
                      <w:highlight w:val="none"/>
                      <w:lang w:val="en-US"/>
                      <w14:textFill>
                        <w14:solidFill>
                          <w14:schemeClr w14:val="tx1"/>
                        </w14:solidFill>
                      </w14:textFill>
                    </w:rPr>
                    <w:t>0.014</w:t>
                  </w:r>
                </w:p>
              </w:tc>
              <w:tc>
                <w:tcPr>
                  <w:tcW w:w="566" w:type="pct"/>
                  <w:noWrap w:val="0"/>
                  <w:vAlign w:val="center"/>
                </w:tcPr>
                <w:p w14:paraId="29CBB60C">
                  <w:pPr>
                    <w:pStyle w:val="103"/>
                    <w:spacing w:line="240" w:lineRule="exact"/>
                    <w:rPr>
                      <w:rFonts w:hint="eastAsia"/>
                      <w:color w:val="000000" w:themeColor="text1"/>
                      <w:highlight w:val="none"/>
                      <w:lang w:val="en-US"/>
                      <w14:textFill>
                        <w14:solidFill>
                          <w14:schemeClr w14:val="tx1"/>
                        </w14:solidFill>
                      </w14:textFill>
                    </w:rPr>
                  </w:pPr>
                  <w:r>
                    <w:rPr>
                      <w:rFonts w:hint="eastAsia"/>
                      <w:color w:val="000000" w:themeColor="text1"/>
                      <w:highlight w:val="none"/>
                      <w:lang w:val="en-US"/>
                      <w14:textFill>
                        <w14:solidFill>
                          <w14:schemeClr w14:val="tx1"/>
                        </w14:solidFill>
                      </w14:textFill>
                    </w:rPr>
                    <w:t>预脱脂、主脱脂隔油装置</w:t>
                  </w:r>
                </w:p>
              </w:tc>
              <w:tc>
                <w:tcPr>
                  <w:tcW w:w="272" w:type="pct"/>
                  <w:noWrap w:val="0"/>
                  <w:vAlign w:val="center"/>
                </w:tcPr>
                <w:p w14:paraId="543435DA">
                  <w:pPr>
                    <w:pStyle w:val="103"/>
                    <w:spacing w:line="240" w:lineRule="exact"/>
                    <w:rPr>
                      <w:rFonts w:hint="eastAsia"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14:textFill>
                        <w14:solidFill>
                          <w14:schemeClr w14:val="tx1"/>
                        </w14:solidFill>
                      </w14:textFill>
                    </w:rPr>
                    <w:t>固</w:t>
                  </w:r>
                  <w:r>
                    <w:rPr>
                      <w:rFonts w:hint="eastAsia"/>
                      <w:color w:val="000000" w:themeColor="text1"/>
                      <w:highlight w:val="none"/>
                      <w:lang w:val="en-US" w:eastAsia="zh-CN"/>
                      <w14:textFill>
                        <w14:solidFill>
                          <w14:schemeClr w14:val="tx1"/>
                        </w14:solidFill>
                      </w14:textFill>
                    </w:rPr>
                    <w:t>态</w:t>
                  </w:r>
                </w:p>
              </w:tc>
              <w:tc>
                <w:tcPr>
                  <w:tcW w:w="573" w:type="pct"/>
                  <w:noWrap w:val="0"/>
                  <w:vAlign w:val="center"/>
                </w:tcPr>
                <w:p w14:paraId="0307D459">
                  <w:pPr>
                    <w:pStyle w:val="103"/>
                    <w:spacing w:line="240" w:lineRule="exact"/>
                    <w:rPr>
                      <w:color w:val="auto"/>
                      <w:highlight w:val="none"/>
                      <w:lang w:val="en-US"/>
                    </w:rPr>
                  </w:pPr>
                  <w:r>
                    <w:rPr>
                      <w:rFonts w:hint="eastAsia"/>
                      <w:color w:val="auto"/>
                      <w:highlight w:val="none"/>
                      <w:lang w:val="en-US"/>
                    </w:rPr>
                    <w:t>脂肪胺、乙烯醚等</w:t>
                  </w:r>
                </w:p>
              </w:tc>
              <w:tc>
                <w:tcPr>
                  <w:tcW w:w="452" w:type="pct"/>
                  <w:noWrap w:val="0"/>
                  <w:vAlign w:val="center"/>
                </w:tcPr>
                <w:p w14:paraId="0E6B4BE6">
                  <w:pPr>
                    <w:spacing w:line="240" w:lineRule="exact"/>
                    <w:jc w:val="center"/>
                    <w:rPr>
                      <w:rFonts w:hint="eastAsia"/>
                      <w:color w:val="auto"/>
                      <w:highlight w:val="none"/>
                    </w:rPr>
                  </w:pPr>
                  <w:r>
                    <w:rPr>
                      <w:rFonts w:hint="eastAsia"/>
                      <w:color w:val="auto"/>
                      <w:highlight w:val="none"/>
                    </w:rPr>
                    <w:t>1次/30d</w:t>
                  </w:r>
                </w:p>
              </w:tc>
              <w:tc>
                <w:tcPr>
                  <w:tcW w:w="597" w:type="pct"/>
                  <w:noWrap w:val="0"/>
                  <w:vAlign w:val="center"/>
                </w:tcPr>
                <w:p w14:paraId="79026979">
                  <w:pPr>
                    <w:spacing w:line="240" w:lineRule="exact"/>
                    <w:ind w:firstLine="240" w:firstLineChars="100"/>
                    <w:rPr>
                      <w:rFonts w:hint="eastAsia"/>
                      <w:color w:val="auto"/>
                      <w:highlight w:val="none"/>
                    </w:rPr>
                  </w:pPr>
                  <w:r>
                    <w:rPr>
                      <w:rFonts w:hint="eastAsia"/>
                      <w:color w:val="auto"/>
                      <w:sz w:val="24"/>
                      <w:highlight w:val="none"/>
                    </w:rPr>
                    <w:t>T/In</w:t>
                  </w:r>
                </w:p>
              </w:tc>
              <w:tc>
                <w:tcPr>
                  <w:tcW w:w="498" w:type="pct"/>
                  <w:vMerge w:val="continue"/>
                  <w:noWrap w:val="0"/>
                  <w:vAlign w:val="center"/>
                </w:tcPr>
                <w:p w14:paraId="34DE4174">
                  <w:pPr>
                    <w:pStyle w:val="103"/>
                    <w:spacing w:line="240" w:lineRule="exact"/>
                    <w:rPr>
                      <w:rFonts w:hint="eastAsia"/>
                      <w:color w:val="auto"/>
                      <w:highlight w:val="none"/>
                      <w:lang w:val="en-US"/>
                    </w:rPr>
                  </w:pPr>
                </w:p>
              </w:tc>
            </w:tr>
            <w:tr w14:paraId="7D1EE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jc w:val="center"/>
              </w:trPr>
              <w:tc>
                <w:tcPr>
                  <w:tcW w:w="5000" w:type="pct"/>
                  <w:gridSpan w:val="9"/>
                  <w:noWrap w:val="0"/>
                  <w:vAlign w:val="center"/>
                </w:tcPr>
                <w:p w14:paraId="7C3985B4">
                  <w:pPr>
                    <w:pStyle w:val="103"/>
                    <w:spacing w:line="240" w:lineRule="exact"/>
                    <w:jc w:val="left"/>
                    <w:rPr>
                      <w:color w:val="auto"/>
                      <w:highlight w:val="none"/>
                    </w:rPr>
                  </w:pPr>
                  <w:r>
                    <w:rPr>
                      <w:color w:val="auto"/>
                      <w:highlight w:val="none"/>
                    </w:rPr>
                    <w:t>注：T：毒性；C：腐蚀性；I：易燃性；R：反应性；In：感染性。</w:t>
                  </w:r>
                </w:p>
              </w:tc>
            </w:tr>
          </w:tbl>
          <w:p w14:paraId="54ADA623">
            <w:pPr>
              <w:keepNext w:val="0"/>
              <w:keepLines w:val="0"/>
              <w:pageBreakBefore w:val="0"/>
              <w:widowControl/>
              <w:tabs>
                <w:tab w:val="left" w:pos="8647"/>
              </w:tabs>
              <w:kinsoku/>
              <w:wordWrap/>
              <w:overflowPunct/>
              <w:topLinePunct w:val="0"/>
              <w:autoSpaceDE/>
              <w:autoSpaceDN/>
              <w:bidi w:val="0"/>
              <w:adjustRightInd/>
              <w:snapToGrid/>
              <w:spacing w:before="63" w:beforeLines="20" w:after="63" w:afterLines="20" w:line="360" w:lineRule="auto"/>
              <w:ind w:firstLine="480" w:firstLineChars="200"/>
              <w:jc w:val="left"/>
              <w:textAlignment w:val="auto"/>
              <w:rPr>
                <w:rFonts w:hint="eastAsia"/>
                <w:color w:val="auto"/>
                <w:sz w:val="24"/>
                <w:highlight w:val="none"/>
              </w:rPr>
            </w:pPr>
            <w:r>
              <w:rPr>
                <w:rFonts w:hint="eastAsia"/>
                <w:color w:val="auto"/>
                <w:sz w:val="24"/>
                <w:highlight w:val="none"/>
              </w:rPr>
              <w:t>技改后整体工程固体废物产生情况见下表。</w:t>
            </w:r>
          </w:p>
          <w:p w14:paraId="1D9F4076">
            <w:pPr>
              <w:pStyle w:val="91"/>
              <w:numPr>
                <w:ilvl w:val="0"/>
                <w:numId w:val="0"/>
              </w:numPr>
              <w:jc w:val="center"/>
              <w:rPr>
                <w:color w:val="auto"/>
                <w:highlight w:val="none"/>
              </w:rPr>
            </w:pPr>
            <w:r>
              <w:rPr>
                <w:color w:val="auto"/>
                <w:highlight w:val="none"/>
              </w:rPr>
              <w:t>表</w:t>
            </w:r>
            <w:r>
              <w:rPr>
                <w:rFonts w:hint="eastAsia"/>
                <w:color w:val="auto"/>
                <w:highlight w:val="none"/>
              </w:rPr>
              <w:t>4-</w:t>
            </w:r>
            <w:r>
              <w:rPr>
                <w:rFonts w:hint="eastAsia"/>
                <w:color w:val="auto"/>
                <w:highlight w:val="none"/>
                <w:lang w:val="en-US" w:eastAsia="zh-CN"/>
              </w:rPr>
              <w:t>12</w:t>
            </w:r>
            <w:r>
              <w:rPr>
                <w:rFonts w:hint="eastAsia"/>
                <w:color w:val="auto"/>
                <w:highlight w:val="none"/>
              </w:rPr>
              <w:t xml:space="preserve"> </w:t>
            </w:r>
            <w:r>
              <w:rPr>
                <w:rFonts w:hint="eastAsia"/>
                <w:color w:val="auto"/>
                <w:highlight w:val="none"/>
                <w:lang w:val="en-US" w:eastAsia="zh-CN"/>
              </w:rPr>
              <w:t xml:space="preserve"> </w:t>
            </w:r>
            <w:r>
              <w:rPr>
                <w:rFonts w:hint="eastAsia"/>
                <w:color w:val="auto"/>
                <w:highlight w:val="none"/>
              </w:rPr>
              <w:t>技改后</w:t>
            </w:r>
            <w:r>
              <w:rPr>
                <w:rFonts w:hint="eastAsia"/>
                <w:color w:val="auto"/>
                <w:highlight w:val="none"/>
                <w:lang w:val="en-US" w:eastAsia="zh-CN"/>
              </w:rPr>
              <w:t>全厂</w:t>
            </w:r>
            <w:r>
              <w:rPr>
                <w:rFonts w:hint="eastAsia"/>
                <w:color w:val="auto"/>
                <w:highlight w:val="none"/>
              </w:rPr>
              <w:t>固体废物</w:t>
            </w:r>
            <w:r>
              <w:rPr>
                <w:color w:val="auto"/>
                <w:highlight w:val="none"/>
              </w:rPr>
              <w:t>汇总表</w:t>
            </w:r>
          </w:p>
          <w:tbl>
            <w:tblPr>
              <w:tblStyle w:val="3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6"/>
              <w:gridCol w:w="1638"/>
              <w:gridCol w:w="1184"/>
              <w:gridCol w:w="805"/>
              <w:gridCol w:w="1416"/>
              <w:gridCol w:w="1109"/>
              <w:gridCol w:w="768"/>
              <w:gridCol w:w="984"/>
            </w:tblGrid>
            <w:tr w14:paraId="37280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34" w:type="pct"/>
                  <w:noWrap w:val="0"/>
                  <w:vAlign w:val="center"/>
                </w:tcPr>
                <w:p w14:paraId="6FEACBAD">
                  <w:pPr>
                    <w:pStyle w:val="59"/>
                    <w:keepNext w:val="0"/>
                    <w:keepLines w:val="0"/>
                    <w:pageBreakBefore w:val="0"/>
                    <w:widowControl w:val="0"/>
                    <w:kinsoku/>
                    <w:wordWrap/>
                    <w:overflowPunct/>
                    <w:topLinePunct w:val="0"/>
                    <w:autoSpaceDE/>
                    <w:autoSpaceDN/>
                    <w:bidi w:val="0"/>
                    <w:spacing w:line="240" w:lineRule="auto"/>
                    <w:ind w:left="0" w:leftChars="0" w:firstLine="0" w:firstLineChars="0"/>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序号</w:t>
                  </w:r>
                </w:p>
              </w:tc>
              <w:tc>
                <w:tcPr>
                  <w:tcW w:w="966" w:type="pct"/>
                  <w:noWrap w:val="0"/>
                  <w:vAlign w:val="center"/>
                </w:tcPr>
                <w:p w14:paraId="507C0CD7">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名称</w:t>
                  </w:r>
                </w:p>
              </w:tc>
              <w:tc>
                <w:tcPr>
                  <w:tcW w:w="698" w:type="pct"/>
                  <w:noWrap w:val="0"/>
                  <w:vAlign w:val="center"/>
                </w:tcPr>
                <w:p w14:paraId="74977F53">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rPr>
                  </w:pPr>
                  <w:r>
                    <w:rPr>
                      <w:rFonts w:hint="default" w:ascii="Times New Roman" w:hAnsi="Times New Roman" w:eastAsia="宋体" w:cs="Times New Roman"/>
                      <w:b/>
                      <w:bCs w:val="0"/>
                      <w:color w:val="auto"/>
                      <w:spacing w:val="0"/>
                      <w:w w:val="100"/>
                      <w:kern w:val="2"/>
                      <w:sz w:val="21"/>
                      <w:szCs w:val="21"/>
                      <w:highlight w:val="none"/>
                      <w:lang w:val="en-US" w:eastAsia="zh-CN"/>
                    </w:rPr>
                    <w:t>来源</w:t>
                  </w:r>
                </w:p>
              </w:tc>
              <w:tc>
                <w:tcPr>
                  <w:tcW w:w="475" w:type="pct"/>
                  <w:noWrap w:val="0"/>
                  <w:vAlign w:val="center"/>
                </w:tcPr>
                <w:p w14:paraId="7A6651CB">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bidi="ar-SA"/>
                    </w:rPr>
                  </w:pPr>
                  <w:r>
                    <w:rPr>
                      <w:rFonts w:hint="default" w:ascii="Times New Roman" w:hAnsi="Times New Roman" w:eastAsia="宋体" w:cs="Times New Roman"/>
                      <w:b/>
                      <w:bCs w:val="0"/>
                      <w:color w:val="auto"/>
                      <w:spacing w:val="0"/>
                      <w:w w:val="100"/>
                      <w:kern w:val="2"/>
                      <w:sz w:val="21"/>
                      <w:szCs w:val="21"/>
                      <w:highlight w:val="none"/>
                    </w:rPr>
                    <w:t>固废类型</w:t>
                  </w:r>
                </w:p>
              </w:tc>
              <w:tc>
                <w:tcPr>
                  <w:tcW w:w="835" w:type="pct"/>
                  <w:noWrap w:val="0"/>
                  <w:vAlign w:val="center"/>
                </w:tcPr>
                <w:p w14:paraId="68EDB52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Times New Roman" w:hAnsi="Times New Roman" w:eastAsia="宋体" w:cs="Times New Roman"/>
                      <w:b/>
                      <w:bCs w:val="0"/>
                      <w:color w:val="auto"/>
                      <w:kern w:val="2"/>
                      <w:sz w:val="21"/>
                      <w:szCs w:val="21"/>
                      <w:highlight w:val="none"/>
                      <w:lang w:val="en-US" w:eastAsia="zh-CN" w:bidi="ar-SA"/>
                    </w:rPr>
                  </w:pPr>
                  <w:r>
                    <w:rPr>
                      <w:rFonts w:hint="default" w:ascii="Times New Roman" w:hAnsi="Times New Roman" w:eastAsia="宋体" w:cs="Times New Roman"/>
                      <w:b/>
                      <w:bCs w:val="0"/>
                      <w:color w:val="auto"/>
                      <w:sz w:val="21"/>
                      <w:szCs w:val="21"/>
                      <w:highlight w:val="none"/>
                    </w:rPr>
                    <w:t>废物代码</w:t>
                  </w:r>
                </w:p>
              </w:tc>
              <w:tc>
                <w:tcPr>
                  <w:tcW w:w="654" w:type="pct"/>
                  <w:noWrap w:val="0"/>
                  <w:vAlign w:val="center"/>
                </w:tcPr>
                <w:p w14:paraId="447DF253">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bidi="ar-SA"/>
                    </w:rPr>
                  </w:pPr>
                  <w:r>
                    <w:rPr>
                      <w:rFonts w:hint="default" w:ascii="Times New Roman" w:hAnsi="Times New Roman" w:eastAsia="宋体" w:cs="Times New Roman"/>
                      <w:b/>
                      <w:bCs w:val="0"/>
                      <w:color w:val="auto"/>
                      <w:spacing w:val="0"/>
                      <w:w w:val="100"/>
                      <w:kern w:val="2"/>
                      <w:sz w:val="21"/>
                      <w:szCs w:val="21"/>
                      <w:highlight w:val="none"/>
                    </w:rPr>
                    <w:t>产生量</w:t>
                  </w:r>
                  <w:r>
                    <w:rPr>
                      <w:rFonts w:hint="default" w:ascii="Times New Roman" w:hAnsi="Times New Roman" w:eastAsia="宋体" w:cs="Times New Roman"/>
                      <w:b/>
                      <w:bCs w:val="0"/>
                      <w:color w:val="auto"/>
                      <w:kern w:val="0"/>
                      <w:sz w:val="21"/>
                      <w:szCs w:val="21"/>
                      <w:highlight w:val="none"/>
                      <w:lang w:val="en-US" w:eastAsia="zh-CN"/>
                    </w:rPr>
                    <w:t>（t/a）</w:t>
                  </w:r>
                </w:p>
              </w:tc>
              <w:tc>
                <w:tcPr>
                  <w:tcW w:w="453" w:type="pct"/>
                  <w:noWrap w:val="0"/>
                  <w:vAlign w:val="center"/>
                </w:tcPr>
                <w:p w14:paraId="374DC4DA">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lang w:val="en-US" w:eastAsia="zh-CN"/>
                    </w:rPr>
                  </w:pPr>
                  <w:r>
                    <w:rPr>
                      <w:rFonts w:hint="default" w:ascii="Times New Roman" w:hAnsi="Times New Roman" w:eastAsia="宋体" w:cs="Times New Roman"/>
                      <w:b/>
                      <w:bCs w:val="0"/>
                      <w:color w:val="auto"/>
                      <w:spacing w:val="0"/>
                      <w:w w:val="100"/>
                      <w:kern w:val="2"/>
                      <w:sz w:val="21"/>
                      <w:szCs w:val="21"/>
                      <w:highlight w:val="none"/>
                      <w:lang w:val="en-US" w:eastAsia="zh-CN"/>
                    </w:rPr>
                    <w:t>贮存场所</w:t>
                  </w:r>
                </w:p>
              </w:tc>
              <w:tc>
                <w:tcPr>
                  <w:tcW w:w="580" w:type="pct"/>
                  <w:noWrap w:val="0"/>
                  <w:vAlign w:val="center"/>
                </w:tcPr>
                <w:p w14:paraId="0AB100EE">
                  <w:pPr>
                    <w:pStyle w:val="59"/>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val="0"/>
                      <w:color w:val="auto"/>
                      <w:spacing w:val="0"/>
                      <w:w w:val="100"/>
                      <w:kern w:val="2"/>
                      <w:sz w:val="21"/>
                      <w:szCs w:val="21"/>
                      <w:highlight w:val="none"/>
                    </w:rPr>
                  </w:pPr>
                  <w:r>
                    <w:rPr>
                      <w:rFonts w:hint="default" w:ascii="Times New Roman" w:hAnsi="Times New Roman" w:eastAsia="宋体" w:cs="Times New Roman"/>
                      <w:b/>
                      <w:bCs w:val="0"/>
                      <w:color w:val="auto"/>
                      <w:spacing w:val="0"/>
                      <w:w w:val="100"/>
                      <w:kern w:val="2"/>
                      <w:sz w:val="21"/>
                      <w:szCs w:val="21"/>
                      <w:highlight w:val="none"/>
                    </w:rPr>
                    <w:t>处理处置方式</w:t>
                  </w:r>
                </w:p>
              </w:tc>
            </w:tr>
            <w:tr w14:paraId="10E79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334" w:type="pct"/>
                  <w:noWrap w:val="0"/>
                  <w:vAlign w:val="center"/>
                </w:tcPr>
                <w:p w14:paraId="4B49419A">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w:t>
                  </w:r>
                </w:p>
              </w:tc>
              <w:tc>
                <w:tcPr>
                  <w:tcW w:w="966" w:type="pct"/>
                  <w:noWrap w:val="0"/>
                  <w:vAlign w:val="center"/>
                </w:tcPr>
                <w:p w14:paraId="4FB688A2">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炉渣</w:t>
                  </w:r>
                </w:p>
              </w:tc>
              <w:tc>
                <w:tcPr>
                  <w:tcW w:w="698" w:type="pct"/>
                  <w:noWrap w:val="0"/>
                  <w:vAlign w:val="center"/>
                </w:tcPr>
                <w:p w14:paraId="30FDF5E1">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中频感应电炉</w:t>
                  </w:r>
                </w:p>
              </w:tc>
              <w:tc>
                <w:tcPr>
                  <w:tcW w:w="475" w:type="pct"/>
                  <w:vMerge w:val="restart"/>
                  <w:noWrap w:val="0"/>
                  <w:vAlign w:val="center"/>
                </w:tcPr>
                <w:p w14:paraId="7C49A3B4">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w:t>
                  </w:r>
                </w:p>
                <w:p w14:paraId="54D7B01E">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noWrap w:val="0"/>
                  <w:vAlign w:val="center"/>
                </w:tcPr>
                <w:p w14:paraId="2189D23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339-001-64</w:t>
                  </w:r>
                </w:p>
              </w:tc>
              <w:tc>
                <w:tcPr>
                  <w:tcW w:w="654" w:type="pct"/>
                  <w:noWrap w:val="0"/>
                  <w:vAlign w:val="center"/>
                </w:tcPr>
                <w:p w14:paraId="266B4F03">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271.858</w:t>
                  </w:r>
                </w:p>
              </w:tc>
              <w:tc>
                <w:tcPr>
                  <w:tcW w:w="453" w:type="pct"/>
                  <w:vMerge w:val="restart"/>
                  <w:noWrap w:val="0"/>
                  <w:vAlign w:val="center"/>
                </w:tcPr>
                <w:p w14:paraId="0ABCC1EC">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一般固废储存间</w:t>
                  </w:r>
                </w:p>
                <w:p w14:paraId="307ED887">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restart"/>
                  <w:noWrap w:val="0"/>
                  <w:vAlign w:val="center"/>
                </w:tcPr>
                <w:p w14:paraId="0F7C0D6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收集后外售</w:t>
                  </w:r>
                </w:p>
              </w:tc>
            </w:tr>
            <w:tr w14:paraId="62F5B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 w:hRule="atLeast"/>
                <w:jc w:val="center"/>
              </w:trPr>
              <w:tc>
                <w:tcPr>
                  <w:tcW w:w="334" w:type="pct"/>
                  <w:vAlign w:val="center"/>
                </w:tcPr>
                <w:p w14:paraId="0099B91F">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w:t>
                  </w:r>
                </w:p>
              </w:tc>
              <w:tc>
                <w:tcPr>
                  <w:tcW w:w="966" w:type="pct"/>
                  <w:vAlign w:val="center"/>
                </w:tcPr>
                <w:p w14:paraId="74DE8866">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废砂</w:t>
                  </w:r>
                </w:p>
              </w:tc>
              <w:tc>
                <w:tcPr>
                  <w:tcW w:w="698" w:type="pct"/>
                  <w:vAlign w:val="center"/>
                </w:tcPr>
                <w:p w14:paraId="375BF6A7">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砂处理</w:t>
                  </w:r>
                </w:p>
              </w:tc>
              <w:tc>
                <w:tcPr>
                  <w:tcW w:w="475" w:type="pct"/>
                  <w:vMerge w:val="continue"/>
                  <w:vAlign w:val="center"/>
                </w:tcPr>
                <w:p w14:paraId="1AF68ADE">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vAlign w:val="center"/>
                </w:tcPr>
                <w:p w14:paraId="4708C6E8">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339-002-99</w:t>
                  </w:r>
                </w:p>
              </w:tc>
              <w:tc>
                <w:tcPr>
                  <w:tcW w:w="654" w:type="pct"/>
                  <w:vAlign w:val="center"/>
                </w:tcPr>
                <w:p w14:paraId="65E9A38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15.15</w:t>
                  </w:r>
                </w:p>
              </w:tc>
              <w:tc>
                <w:tcPr>
                  <w:tcW w:w="453" w:type="pct"/>
                  <w:vMerge w:val="continue"/>
                  <w:vAlign w:val="center"/>
                </w:tcPr>
                <w:p w14:paraId="30D27633">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70562D0B">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r>
            <w:tr w14:paraId="1EE5D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334" w:type="pct"/>
                  <w:vAlign w:val="center"/>
                </w:tcPr>
                <w:p w14:paraId="7DFC3332">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w:t>
                  </w:r>
                </w:p>
              </w:tc>
              <w:tc>
                <w:tcPr>
                  <w:tcW w:w="966" w:type="pct"/>
                  <w:vAlign w:val="center"/>
                </w:tcPr>
                <w:p w14:paraId="23A0E39A">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废浇冒口</w:t>
                  </w:r>
                </w:p>
              </w:tc>
              <w:tc>
                <w:tcPr>
                  <w:tcW w:w="698" w:type="pct"/>
                  <w:vAlign w:val="center"/>
                </w:tcPr>
                <w:p w14:paraId="4276D452">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去浇冒口</w:t>
                  </w:r>
                </w:p>
              </w:tc>
              <w:tc>
                <w:tcPr>
                  <w:tcW w:w="475" w:type="pct"/>
                  <w:vMerge w:val="continue"/>
                  <w:vAlign w:val="center"/>
                </w:tcPr>
                <w:p w14:paraId="2F18FB06">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vAlign w:val="center"/>
                </w:tcPr>
                <w:p w14:paraId="5F06D699">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339-001-99</w:t>
                  </w:r>
                </w:p>
              </w:tc>
              <w:tc>
                <w:tcPr>
                  <w:tcW w:w="654" w:type="pct"/>
                  <w:vAlign w:val="center"/>
                </w:tcPr>
                <w:p w14:paraId="57FEB4BC">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12</w:t>
                  </w:r>
                </w:p>
              </w:tc>
              <w:tc>
                <w:tcPr>
                  <w:tcW w:w="453" w:type="pct"/>
                  <w:vMerge w:val="continue"/>
                  <w:vAlign w:val="center"/>
                </w:tcPr>
                <w:p w14:paraId="065CA596">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restart"/>
                  <w:vAlign w:val="center"/>
                </w:tcPr>
                <w:p w14:paraId="354FA98B">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收集后回用</w:t>
                  </w:r>
                </w:p>
              </w:tc>
            </w:tr>
            <w:tr w14:paraId="45DA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334" w:type="pct"/>
                  <w:vAlign w:val="center"/>
                </w:tcPr>
                <w:p w14:paraId="5D726F78">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4</w:t>
                  </w:r>
                </w:p>
              </w:tc>
              <w:tc>
                <w:tcPr>
                  <w:tcW w:w="966" w:type="pct"/>
                  <w:vAlign w:val="center"/>
                </w:tcPr>
                <w:p w14:paraId="5F21D753">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金属边角料</w:t>
                  </w:r>
                </w:p>
              </w:tc>
              <w:tc>
                <w:tcPr>
                  <w:tcW w:w="698" w:type="pct"/>
                  <w:vMerge w:val="restart"/>
                  <w:vAlign w:val="center"/>
                </w:tcPr>
                <w:p w14:paraId="6322FB79">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抛丸清理、机加工</w:t>
                  </w:r>
                </w:p>
              </w:tc>
              <w:tc>
                <w:tcPr>
                  <w:tcW w:w="475" w:type="pct"/>
                  <w:vMerge w:val="continue"/>
                  <w:vAlign w:val="center"/>
                </w:tcPr>
                <w:p w14:paraId="73E5BA8A">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vAlign w:val="center"/>
                </w:tcPr>
                <w:p w14:paraId="7A2B6397">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339-001-54</w:t>
                  </w:r>
                </w:p>
              </w:tc>
              <w:tc>
                <w:tcPr>
                  <w:tcW w:w="654" w:type="pct"/>
                  <w:vMerge w:val="restart"/>
                  <w:vAlign w:val="center"/>
                </w:tcPr>
                <w:p w14:paraId="6926330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992</w:t>
                  </w:r>
                </w:p>
              </w:tc>
              <w:tc>
                <w:tcPr>
                  <w:tcW w:w="453" w:type="pct"/>
                  <w:vMerge w:val="continue"/>
                  <w:vAlign w:val="center"/>
                </w:tcPr>
                <w:p w14:paraId="44D55C8A">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42F00AD7">
                  <w:pPr>
                    <w:keepNext w:val="0"/>
                    <w:keepLines w:val="0"/>
                    <w:pageBreakBefore w:val="0"/>
                    <w:widowControl w:val="0"/>
                    <w:kinsoku/>
                    <w:wordWrap/>
                    <w:overflowPunct/>
                    <w:topLinePunct w:val="0"/>
                    <w:autoSpaceDE w:val="0"/>
                    <w:autoSpaceDN w:val="0"/>
                    <w:bidi w:val="0"/>
                    <w:adjustRightInd w:val="0"/>
                    <w:snapToGrid/>
                    <w:spacing w:line="240" w:lineRule="auto"/>
                    <w:jc w:val="center"/>
                    <w:textAlignment w:val="auto"/>
                    <w:rPr>
                      <w:rFonts w:hint="default" w:ascii="Times New Roman" w:hAnsi="Times New Roman" w:eastAsia="宋体" w:cs="Times New Roman"/>
                      <w:b w:val="0"/>
                      <w:bCs/>
                      <w:color w:val="auto"/>
                      <w:kern w:val="0"/>
                      <w:sz w:val="21"/>
                      <w:szCs w:val="21"/>
                      <w:highlight w:val="none"/>
                      <w:lang w:val="en-US" w:eastAsia="zh-CN" w:bidi="ar-SA"/>
                    </w:rPr>
                  </w:pPr>
                </w:p>
              </w:tc>
            </w:tr>
            <w:tr w14:paraId="4CD7F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334" w:type="pct"/>
                  <w:vAlign w:val="center"/>
                </w:tcPr>
                <w:p w14:paraId="349A8972">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5</w:t>
                  </w:r>
                </w:p>
              </w:tc>
              <w:tc>
                <w:tcPr>
                  <w:tcW w:w="966" w:type="pct"/>
                  <w:vAlign w:val="center"/>
                </w:tcPr>
                <w:p w14:paraId="61B8EC99">
                  <w:pPr>
                    <w:keepNext w:val="0"/>
                    <w:keepLines w:val="0"/>
                    <w:widowControl/>
                    <w:suppressLineNumbers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金属屑、废钢丸</w:t>
                  </w:r>
                </w:p>
              </w:tc>
              <w:tc>
                <w:tcPr>
                  <w:tcW w:w="698" w:type="pct"/>
                  <w:vMerge w:val="continue"/>
                  <w:vAlign w:val="center"/>
                </w:tcPr>
                <w:p w14:paraId="037C45BD">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c>
                <w:tcPr>
                  <w:tcW w:w="475" w:type="pct"/>
                  <w:vMerge w:val="continue"/>
                  <w:vAlign w:val="center"/>
                </w:tcPr>
                <w:p w14:paraId="0BDD452B">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vAlign w:val="center"/>
                </w:tcPr>
                <w:p w14:paraId="5A42B6E4">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339-001-09</w:t>
                  </w:r>
                </w:p>
              </w:tc>
              <w:tc>
                <w:tcPr>
                  <w:tcW w:w="654" w:type="pct"/>
                  <w:vMerge w:val="continue"/>
                  <w:vAlign w:val="center"/>
                </w:tcPr>
                <w:p w14:paraId="1D745DE0">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c>
                <w:tcPr>
                  <w:tcW w:w="453" w:type="pct"/>
                  <w:vMerge w:val="continue"/>
                  <w:vAlign w:val="center"/>
                </w:tcPr>
                <w:p w14:paraId="781D4915">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6630F4F7">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p>
              </w:tc>
            </w:tr>
            <w:tr w14:paraId="67A3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334" w:type="pct"/>
                  <w:vAlign w:val="center"/>
                </w:tcPr>
                <w:p w14:paraId="1BA1721E">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6</w:t>
                  </w:r>
                </w:p>
              </w:tc>
              <w:tc>
                <w:tcPr>
                  <w:tcW w:w="966" w:type="pct"/>
                  <w:vAlign w:val="center"/>
                </w:tcPr>
                <w:p w14:paraId="46A58ECE">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除尘灰</w:t>
                  </w:r>
                </w:p>
              </w:tc>
              <w:tc>
                <w:tcPr>
                  <w:tcW w:w="698" w:type="pct"/>
                  <w:vAlign w:val="center"/>
                </w:tcPr>
                <w:p w14:paraId="74030199">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除尘器</w:t>
                  </w:r>
                </w:p>
              </w:tc>
              <w:tc>
                <w:tcPr>
                  <w:tcW w:w="475" w:type="pct"/>
                  <w:vMerge w:val="continue"/>
                  <w:vAlign w:val="center"/>
                </w:tcPr>
                <w:p w14:paraId="45F88FAC">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835" w:type="pct"/>
                  <w:vAlign w:val="center"/>
                </w:tcPr>
                <w:p w14:paraId="2F22445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339-001-66</w:t>
                  </w:r>
                </w:p>
              </w:tc>
              <w:tc>
                <w:tcPr>
                  <w:tcW w:w="654" w:type="pct"/>
                  <w:vAlign w:val="center"/>
                </w:tcPr>
                <w:p w14:paraId="76B2DB9D">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205.186</w:t>
                  </w:r>
                </w:p>
              </w:tc>
              <w:tc>
                <w:tcPr>
                  <w:tcW w:w="453" w:type="pct"/>
                  <w:vMerge w:val="continue"/>
                  <w:vAlign w:val="center"/>
                </w:tcPr>
                <w:p w14:paraId="56FA1F01">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Align w:val="center"/>
                </w:tcPr>
                <w:p w14:paraId="7CA2C9E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收集后外售</w:t>
                  </w:r>
                </w:p>
              </w:tc>
            </w:tr>
            <w:tr w14:paraId="454BE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34" w:type="pct"/>
                  <w:vAlign w:val="center"/>
                </w:tcPr>
                <w:p w14:paraId="5683CFCB">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7</w:t>
                  </w:r>
                </w:p>
              </w:tc>
              <w:tc>
                <w:tcPr>
                  <w:tcW w:w="966" w:type="pct"/>
                  <w:vAlign w:val="center"/>
                </w:tcPr>
                <w:p w14:paraId="08F808A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生活垃圾</w:t>
                  </w:r>
                </w:p>
              </w:tc>
              <w:tc>
                <w:tcPr>
                  <w:tcW w:w="698" w:type="pct"/>
                  <w:vMerge w:val="restart"/>
                  <w:vAlign w:val="center"/>
                </w:tcPr>
                <w:p w14:paraId="30A54D8E">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员工生活</w:t>
                  </w:r>
                </w:p>
              </w:tc>
              <w:tc>
                <w:tcPr>
                  <w:tcW w:w="475" w:type="pct"/>
                  <w:vAlign w:val="center"/>
                </w:tcPr>
                <w:p w14:paraId="67604DB5">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835" w:type="pct"/>
                  <w:vAlign w:val="center"/>
                </w:tcPr>
                <w:p w14:paraId="34379B3D">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654" w:type="pct"/>
                  <w:vAlign w:val="center"/>
                </w:tcPr>
                <w:p w14:paraId="4F169C69">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7.95</w:t>
                  </w:r>
                </w:p>
              </w:tc>
              <w:tc>
                <w:tcPr>
                  <w:tcW w:w="453" w:type="pct"/>
                  <w:vAlign w:val="center"/>
                </w:tcPr>
                <w:p w14:paraId="4756CCF3">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580" w:type="pct"/>
                  <w:vMerge w:val="restart"/>
                  <w:vAlign w:val="center"/>
                </w:tcPr>
                <w:p w14:paraId="640DE766">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定期由环卫部门清运处理</w:t>
                  </w:r>
                </w:p>
              </w:tc>
            </w:tr>
            <w:tr w14:paraId="5088D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34" w:type="pct"/>
                  <w:vAlign w:val="center"/>
                </w:tcPr>
                <w:p w14:paraId="08FBE591">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8</w:t>
                  </w:r>
                </w:p>
              </w:tc>
              <w:tc>
                <w:tcPr>
                  <w:tcW w:w="966" w:type="pct"/>
                  <w:vAlign w:val="center"/>
                </w:tcPr>
                <w:p w14:paraId="79DF203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化粪池污泥</w:t>
                  </w:r>
                </w:p>
              </w:tc>
              <w:tc>
                <w:tcPr>
                  <w:tcW w:w="698" w:type="pct"/>
                  <w:vMerge w:val="continue"/>
                  <w:vAlign w:val="center"/>
                </w:tcPr>
                <w:p w14:paraId="0C2BE950">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p>
              </w:tc>
              <w:tc>
                <w:tcPr>
                  <w:tcW w:w="475" w:type="pct"/>
                  <w:vAlign w:val="center"/>
                </w:tcPr>
                <w:p w14:paraId="78FD1917">
                  <w:pPr>
                    <w:adjustRightInd w:val="0"/>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835" w:type="pct"/>
                  <w:vAlign w:val="center"/>
                </w:tcPr>
                <w:p w14:paraId="526C84D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w:t>
                  </w:r>
                </w:p>
              </w:tc>
              <w:tc>
                <w:tcPr>
                  <w:tcW w:w="654" w:type="pct"/>
                  <w:vAlign w:val="center"/>
                </w:tcPr>
                <w:p w14:paraId="43C7B6F4">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0.084</w:t>
                  </w:r>
                </w:p>
              </w:tc>
              <w:tc>
                <w:tcPr>
                  <w:tcW w:w="453" w:type="pct"/>
                  <w:vAlign w:val="center"/>
                </w:tcPr>
                <w:p w14:paraId="7C2DCA65">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580" w:type="pct"/>
                  <w:vMerge w:val="continue"/>
                  <w:vAlign w:val="center"/>
                </w:tcPr>
                <w:p w14:paraId="289CF9EF">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15EC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334" w:type="pct"/>
                  <w:vAlign w:val="center"/>
                </w:tcPr>
                <w:p w14:paraId="442F519E">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9</w:t>
                  </w:r>
                </w:p>
              </w:tc>
              <w:tc>
                <w:tcPr>
                  <w:tcW w:w="966" w:type="pct"/>
                  <w:vAlign w:val="center"/>
                </w:tcPr>
                <w:p w14:paraId="1A55BD54">
                  <w:pPr>
                    <w:widowControl/>
                    <w:spacing w:line="240" w:lineRule="exact"/>
                    <w:jc w:val="center"/>
                    <w:rPr>
                      <w:rFonts w:hint="default" w:ascii="Times New Roman" w:hAnsi="Times New Roman" w:eastAsia="宋体" w:cs="Times New Roman"/>
                      <w:color w:val="auto"/>
                      <w:sz w:val="21"/>
                      <w:szCs w:val="21"/>
                      <w:highlight w:val="none"/>
                      <w:lang w:val="en-US" w:eastAsia="zh-CN"/>
                    </w:rPr>
                  </w:pPr>
                  <w:r>
                    <w:rPr>
                      <w:rFonts w:hint="eastAsia"/>
                      <w:color w:val="auto"/>
                      <w:szCs w:val="21"/>
                      <w:highlight w:val="none"/>
                    </w:rPr>
                    <w:t>铁屑等</w:t>
                  </w:r>
                </w:p>
              </w:tc>
              <w:tc>
                <w:tcPr>
                  <w:tcW w:w="698" w:type="pct"/>
                  <w:vAlign w:val="center"/>
                </w:tcPr>
                <w:p w14:paraId="6BC2509F">
                  <w:pPr>
                    <w:widowControl/>
                    <w:spacing w:line="240" w:lineRule="exact"/>
                    <w:jc w:val="center"/>
                    <w:rPr>
                      <w:rFonts w:hint="default" w:ascii="Times New Roman" w:hAnsi="Times New Roman" w:eastAsia="宋体" w:cs="Times New Roman"/>
                      <w:color w:val="auto"/>
                      <w:sz w:val="21"/>
                      <w:szCs w:val="21"/>
                      <w:highlight w:val="none"/>
                      <w:lang w:val="en-US" w:eastAsia="zh-CN"/>
                    </w:rPr>
                  </w:pPr>
                  <w:r>
                    <w:rPr>
                      <w:rFonts w:hint="eastAsia"/>
                      <w:color w:val="auto"/>
                      <w:szCs w:val="21"/>
                      <w:highlight w:val="none"/>
                    </w:rPr>
                    <w:t>水槽过滤装置</w:t>
                  </w:r>
                </w:p>
              </w:tc>
              <w:tc>
                <w:tcPr>
                  <w:tcW w:w="475" w:type="pct"/>
                  <w:vMerge w:val="restart"/>
                  <w:vAlign w:val="center"/>
                </w:tcPr>
                <w:p w14:paraId="5D9E45E7">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w:t>
                  </w:r>
                </w:p>
                <w:p w14:paraId="617C0419">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835" w:type="pct"/>
                  <w:vAlign w:val="center"/>
                </w:tcPr>
                <w:p w14:paraId="4650C8F7">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654" w:type="pct"/>
                  <w:vAlign w:val="center"/>
                </w:tcPr>
                <w:p w14:paraId="5D99A715">
                  <w:pPr>
                    <w:widowControl/>
                    <w:spacing w:line="240" w:lineRule="exact"/>
                    <w:jc w:val="center"/>
                    <w:rPr>
                      <w:rFonts w:hint="default" w:ascii="Times New Roman" w:hAnsi="Times New Roman" w:eastAsia="宋体" w:cs="Times New Roman"/>
                      <w:color w:val="auto"/>
                      <w:sz w:val="21"/>
                      <w:szCs w:val="21"/>
                      <w:highlight w:val="none"/>
                      <w:lang w:val="en-US" w:eastAsia="zh-CN"/>
                    </w:rPr>
                  </w:pPr>
                  <w:r>
                    <w:rPr>
                      <w:rFonts w:hint="eastAsia"/>
                      <w:color w:val="auto"/>
                      <w:kern w:val="0"/>
                      <w:szCs w:val="21"/>
                      <w:highlight w:val="none"/>
                    </w:rPr>
                    <w:t>0.</w:t>
                  </w:r>
                  <w:r>
                    <w:rPr>
                      <w:rFonts w:hint="eastAsia"/>
                      <w:color w:val="auto"/>
                      <w:kern w:val="0"/>
                      <w:szCs w:val="21"/>
                      <w:highlight w:val="none"/>
                      <w:lang w:val="en-US" w:eastAsia="zh-CN"/>
                    </w:rPr>
                    <w:t>0588</w:t>
                  </w:r>
                </w:p>
              </w:tc>
              <w:tc>
                <w:tcPr>
                  <w:tcW w:w="453" w:type="pct"/>
                  <w:vMerge w:val="restart"/>
                  <w:vAlign w:val="center"/>
                </w:tcPr>
                <w:p w14:paraId="30F93603">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一般固废储存间</w:t>
                  </w:r>
                </w:p>
                <w:p w14:paraId="64081958">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Align w:val="center"/>
                </w:tcPr>
                <w:p w14:paraId="1E736E7A">
                  <w:pPr>
                    <w:tabs>
                      <w:tab w:val="left" w:pos="2070"/>
                    </w:tabs>
                    <w:spacing w:line="240" w:lineRule="exact"/>
                    <w:jc w:val="center"/>
                    <w:rPr>
                      <w:rFonts w:hint="default" w:ascii="Times New Roman" w:hAnsi="Times New Roman" w:eastAsia="宋体" w:cs="Times New Roman"/>
                      <w:b w:val="0"/>
                      <w:bCs/>
                      <w:color w:val="auto"/>
                      <w:sz w:val="21"/>
                      <w:szCs w:val="21"/>
                      <w:highlight w:val="none"/>
                    </w:rPr>
                  </w:pPr>
                  <w:r>
                    <w:rPr>
                      <w:rFonts w:hint="eastAsia"/>
                      <w:color w:val="auto"/>
                      <w:szCs w:val="21"/>
                      <w:highlight w:val="none"/>
                    </w:rPr>
                    <w:t>返回中频电炉回用</w:t>
                  </w:r>
                </w:p>
              </w:tc>
            </w:tr>
            <w:tr w14:paraId="18591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334" w:type="pct"/>
                  <w:vAlign w:val="center"/>
                </w:tcPr>
                <w:p w14:paraId="46FBA955">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10</w:t>
                  </w:r>
                </w:p>
              </w:tc>
              <w:tc>
                <w:tcPr>
                  <w:tcW w:w="966" w:type="pct"/>
                  <w:vAlign w:val="center"/>
                </w:tcPr>
                <w:p w14:paraId="40596268">
                  <w:pPr>
                    <w:widowControl/>
                    <w:spacing w:line="240" w:lineRule="exact"/>
                    <w:jc w:val="center"/>
                    <w:rPr>
                      <w:rFonts w:hint="eastAsia"/>
                      <w:color w:val="auto"/>
                      <w:szCs w:val="21"/>
                      <w:highlight w:val="none"/>
                    </w:rPr>
                  </w:pPr>
                  <w:r>
                    <w:rPr>
                      <w:rFonts w:hint="eastAsia"/>
                      <w:color w:val="auto"/>
                      <w:szCs w:val="21"/>
                      <w:highlight w:val="none"/>
                      <w:lang w:val="en-US" w:eastAsia="zh-CN"/>
                    </w:rPr>
                    <w:t>清洗剂、防锈剂废包装桶（未沾染）</w:t>
                  </w:r>
                </w:p>
              </w:tc>
              <w:tc>
                <w:tcPr>
                  <w:tcW w:w="698" w:type="pct"/>
                  <w:vAlign w:val="center"/>
                </w:tcPr>
                <w:p w14:paraId="35C0218E">
                  <w:pPr>
                    <w:widowControl/>
                    <w:spacing w:line="240" w:lineRule="exact"/>
                    <w:jc w:val="center"/>
                    <w:rPr>
                      <w:rFonts w:hint="default" w:ascii="Times New Roman" w:hAnsi="Times New Roman" w:eastAsia="宋体" w:cs="Times New Roman"/>
                      <w:color w:val="auto"/>
                      <w:sz w:val="21"/>
                      <w:szCs w:val="21"/>
                      <w:highlight w:val="none"/>
                      <w:lang w:val="en-US" w:eastAsia="zh-CN"/>
                    </w:rPr>
                  </w:pPr>
                  <w:r>
                    <w:rPr>
                      <w:rFonts w:hint="eastAsia"/>
                      <w:color w:val="auto"/>
                      <w:szCs w:val="21"/>
                      <w:highlight w:val="none"/>
                      <w:lang w:val="en-US" w:eastAsia="zh-CN"/>
                    </w:rPr>
                    <w:t>清洗烘干线原料</w:t>
                  </w:r>
                </w:p>
              </w:tc>
              <w:tc>
                <w:tcPr>
                  <w:tcW w:w="475" w:type="pct"/>
                  <w:vMerge w:val="continue"/>
                  <w:vAlign w:val="center"/>
                </w:tcPr>
                <w:p w14:paraId="671B007A">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835" w:type="pct"/>
                  <w:vAlign w:val="center"/>
                </w:tcPr>
                <w:p w14:paraId="77537026">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654" w:type="pct"/>
                  <w:vAlign w:val="center"/>
                </w:tcPr>
                <w:p w14:paraId="7506459D">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olor w:val="auto"/>
                      <w:kern w:val="0"/>
                      <w:sz w:val="21"/>
                      <w:szCs w:val="21"/>
                      <w:highlight w:val="none"/>
                      <w:lang w:val="en-US" w:eastAsia="zh-CN" w:bidi="ar-SA"/>
                    </w:rPr>
                    <w:t>0.280</w:t>
                  </w:r>
                </w:p>
              </w:tc>
              <w:tc>
                <w:tcPr>
                  <w:tcW w:w="453" w:type="pct"/>
                  <w:vMerge w:val="continue"/>
                  <w:vAlign w:val="center"/>
                </w:tcPr>
                <w:p w14:paraId="0C4E1086">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Align w:val="center"/>
                </w:tcPr>
                <w:p w14:paraId="2CFDA3FD">
                  <w:pPr>
                    <w:tabs>
                      <w:tab w:val="left" w:pos="2070"/>
                    </w:tabs>
                    <w:spacing w:line="240" w:lineRule="exact"/>
                    <w:jc w:val="center"/>
                    <w:rPr>
                      <w:rFonts w:hint="default" w:ascii="Times New Roman" w:hAnsi="Times New Roman" w:eastAsia="宋体" w:cs="Times New Roman"/>
                      <w:b w:val="0"/>
                      <w:bCs/>
                      <w:color w:val="auto"/>
                      <w:sz w:val="21"/>
                      <w:szCs w:val="21"/>
                      <w:highlight w:val="none"/>
                    </w:rPr>
                  </w:pPr>
                  <w:r>
                    <w:rPr>
                      <w:rFonts w:hint="eastAsia"/>
                      <w:color w:val="auto"/>
                      <w:kern w:val="2"/>
                      <w:sz w:val="21"/>
                      <w:szCs w:val="21"/>
                      <w:highlight w:val="none"/>
                      <w:lang w:val="en-US" w:eastAsia="zh-CN" w:bidi="ar-SA"/>
                    </w:rPr>
                    <w:t>供应商回收利用</w:t>
                  </w:r>
                </w:p>
              </w:tc>
            </w:tr>
            <w:tr w14:paraId="3448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334" w:type="pct"/>
                  <w:vAlign w:val="center"/>
                </w:tcPr>
                <w:p w14:paraId="61BEAAA5">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sz w:val="21"/>
                      <w:szCs w:val="21"/>
                      <w:highlight w:val="none"/>
                      <w:lang w:val="en-US" w:eastAsia="zh-CN"/>
                    </w:rPr>
                    <w:t>11</w:t>
                  </w:r>
                </w:p>
              </w:tc>
              <w:tc>
                <w:tcPr>
                  <w:tcW w:w="966" w:type="pct"/>
                  <w:vAlign w:val="center"/>
                </w:tcPr>
                <w:p w14:paraId="5599A319">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漆渣</w:t>
                  </w:r>
                </w:p>
              </w:tc>
              <w:tc>
                <w:tcPr>
                  <w:tcW w:w="698" w:type="pct"/>
                  <w:vMerge w:val="restart"/>
                  <w:vAlign w:val="center"/>
                </w:tcPr>
                <w:p w14:paraId="0F12C1DB">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喷 漆</w:t>
                  </w:r>
                </w:p>
              </w:tc>
              <w:tc>
                <w:tcPr>
                  <w:tcW w:w="475" w:type="pct"/>
                  <w:vMerge w:val="restart"/>
                  <w:vAlign w:val="center"/>
                </w:tcPr>
                <w:p w14:paraId="024F9371">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r>
                    <w:rPr>
                      <w:rFonts w:hint="default" w:ascii="Times New Roman" w:hAnsi="Times New Roman" w:eastAsia="宋体" w:cs="Times New Roman"/>
                      <w:b w:val="0"/>
                      <w:bCs/>
                      <w:color w:val="auto"/>
                      <w:kern w:val="0"/>
                      <w:sz w:val="21"/>
                      <w:szCs w:val="21"/>
                      <w:highlight w:val="none"/>
                      <w:lang w:val="en-US" w:eastAsia="zh-CN"/>
                    </w:rPr>
                    <w:t>危险废物</w:t>
                  </w:r>
                </w:p>
                <w:p w14:paraId="3388CF95">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062AB1D3">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HW12</w:t>
                  </w:r>
                </w:p>
                <w:p w14:paraId="4A4F180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900-252-12</w:t>
                  </w:r>
                </w:p>
              </w:tc>
              <w:tc>
                <w:tcPr>
                  <w:tcW w:w="654" w:type="pct"/>
                  <w:vAlign w:val="center"/>
                </w:tcPr>
                <w:p w14:paraId="26AA6F4D">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0.038</w:t>
                  </w:r>
                </w:p>
              </w:tc>
              <w:tc>
                <w:tcPr>
                  <w:tcW w:w="453" w:type="pct"/>
                  <w:vMerge w:val="restart"/>
                  <w:vAlign w:val="center"/>
                </w:tcPr>
                <w:p w14:paraId="0BC8EBB2">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p w14:paraId="6836987E">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restart"/>
                  <w:vAlign w:val="center"/>
                </w:tcPr>
                <w:p w14:paraId="4B49FB7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kern w:val="0"/>
                      <w:sz w:val="21"/>
                      <w:szCs w:val="21"/>
                      <w:highlight w:val="none"/>
                      <w:lang w:val="en-US" w:eastAsia="zh-CN"/>
                    </w:rPr>
                    <w:t>收集后存放于厂区</w:t>
                  </w:r>
                  <w:r>
                    <w:rPr>
                      <w:rFonts w:hint="default" w:ascii="Times New Roman" w:hAnsi="Times New Roman" w:eastAsia="宋体" w:cs="Times New Roman"/>
                      <w:color w:val="auto"/>
                      <w:sz w:val="21"/>
                      <w:szCs w:val="21"/>
                      <w:highlight w:val="none"/>
                      <w:lang w:val="en-US" w:eastAsia="zh-CN"/>
                    </w:rPr>
                    <w:t>危废间</w:t>
                  </w:r>
                  <w:r>
                    <w:rPr>
                      <w:rFonts w:hint="default" w:ascii="Times New Roman" w:hAnsi="Times New Roman" w:eastAsia="宋体" w:cs="Times New Roman"/>
                      <w:b w:val="0"/>
                      <w:bCs/>
                      <w:color w:val="auto"/>
                      <w:kern w:val="0"/>
                      <w:sz w:val="21"/>
                      <w:szCs w:val="21"/>
                      <w:highlight w:val="none"/>
                      <w:lang w:val="en-US" w:eastAsia="zh-CN"/>
                    </w:rPr>
                    <w:t>，定期交由有资质单位处理</w:t>
                  </w:r>
                </w:p>
              </w:tc>
            </w:tr>
            <w:tr w14:paraId="56462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34" w:type="pct"/>
                  <w:vAlign w:val="center"/>
                </w:tcPr>
                <w:p w14:paraId="49A39E04">
                  <w:pPr>
                    <w:snapToGrid w:val="0"/>
                    <w:spacing w:line="240" w:lineRule="auto"/>
                    <w:jc w:val="center"/>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sz w:val="21"/>
                      <w:szCs w:val="21"/>
                      <w:highlight w:val="none"/>
                      <w:lang w:val="en-US" w:eastAsia="zh-CN"/>
                    </w:rPr>
                    <w:t>12</w:t>
                  </w:r>
                </w:p>
              </w:tc>
              <w:tc>
                <w:tcPr>
                  <w:tcW w:w="966" w:type="pct"/>
                  <w:vAlign w:val="center"/>
                </w:tcPr>
                <w:p w14:paraId="156FC03F">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废漆桶</w:t>
                  </w:r>
                </w:p>
              </w:tc>
              <w:tc>
                <w:tcPr>
                  <w:tcW w:w="698" w:type="pct"/>
                  <w:vMerge w:val="continue"/>
                  <w:vAlign w:val="center"/>
                </w:tcPr>
                <w:p w14:paraId="7DA9A90F">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c>
                <w:tcPr>
                  <w:tcW w:w="475" w:type="pct"/>
                  <w:vMerge w:val="continue"/>
                  <w:vAlign w:val="center"/>
                </w:tcPr>
                <w:p w14:paraId="153A0BC4">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78E96717">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08CE19D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54" w:type="pct"/>
                  <w:vAlign w:val="center"/>
                </w:tcPr>
                <w:p w14:paraId="7FFEEBE3">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0.14</w:t>
                  </w:r>
                </w:p>
              </w:tc>
              <w:tc>
                <w:tcPr>
                  <w:tcW w:w="453" w:type="pct"/>
                  <w:vMerge w:val="continue"/>
                  <w:vAlign w:val="center"/>
                </w:tcPr>
                <w:p w14:paraId="57814E17">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66C72F88">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73A70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34" w:type="pct"/>
                  <w:vAlign w:val="center"/>
                </w:tcPr>
                <w:p w14:paraId="4A7501F9">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13</w:t>
                  </w:r>
                </w:p>
              </w:tc>
              <w:tc>
                <w:tcPr>
                  <w:tcW w:w="966" w:type="pct"/>
                  <w:vAlign w:val="center"/>
                </w:tcPr>
                <w:p w14:paraId="6327A7EE">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w:t>
                  </w:r>
                </w:p>
              </w:tc>
              <w:tc>
                <w:tcPr>
                  <w:tcW w:w="698" w:type="pct"/>
                  <w:vMerge w:val="restart"/>
                  <w:vAlign w:val="center"/>
                </w:tcPr>
                <w:p w14:paraId="456BC6EF">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设备润滑</w:t>
                  </w:r>
                </w:p>
              </w:tc>
              <w:tc>
                <w:tcPr>
                  <w:tcW w:w="475" w:type="pct"/>
                  <w:vMerge w:val="continue"/>
                  <w:vAlign w:val="center"/>
                </w:tcPr>
                <w:p w14:paraId="312DA18E">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6F778315">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37EC961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w:t>
                  </w:r>
                  <w:r>
                    <w:rPr>
                      <w:rFonts w:hint="default" w:ascii="Times New Roman" w:hAnsi="Times New Roman" w:eastAsia="宋体"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rPr>
                    <w:t>-49</w:t>
                  </w:r>
                </w:p>
              </w:tc>
              <w:tc>
                <w:tcPr>
                  <w:tcW w:w="654" w:type="pct"/>
                  <w:vAlign w:val="center"/>
                </w:tcPr>
                <w:p w14:paraId="5D26E843">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453" w:type="pct"/>
                  <w:vMerge w:val="continue"/>
                  <w:vAlign w:val="center"/>
                </w:tcPr>
                <w:p w14:paraId="1B66A864">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5735E46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4F011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34" w:type="pct"/>
                  <w:vAlign w:val="center"/>
                </w:tcPr>
                <w:p w14:paraId="3F9C7BB6">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14</w:t>
                  </w:r>
                </w:p>
              </w:tc>
              <w:tc>
                <w:tcPr>
                  <w:tcW w:w="966" w:type="pct"/>
                  <w:vAlign w:val="center"/>
                </w:tcPr>
                <w:p w14:paraId="430C7624">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废润滑油桶</w:t>
                  </w:r>
                </w:p>
              </w:tc>
              <w:tc>
                <w:tcPr>
                  <w:tcW w:w="698" w:type="pct"/>
                  <w:vMerge w:val="continue"/>
                  <w:vAlign w:val="center"/>
                </w:tcPr>
                <w:p w14:paraId="6B1ADE66">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75" w:type="pct"/>
                  <w:vMerge w:val="continue"/>
                  <w:vAlign w:val="center"/>
                </w:tcPr>
                <w:p w14:paraId="0804E9DE">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409BC457">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125DD15E">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54" w:type="pct"/>
                  <w:vAlign w:val="center"/>
                </w:tcPr>
                <w:p w14:paraId="361C574E">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453" w:type="pct"/>
                  <w:vMerge w:val="continue"/>
                  <w:vAlign w:val="center"/>
                </w:tcPr>
                <w:p w14:paraId="7C4FA243">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4EE253DC">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1C3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334" w:type="pct"/>
                  <w:vAlign w:val="center"/>
                </w:tcPr>
                <w:p w14:paraId="4C0ED54E">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15</w:t>
                  </w:r>
                </w:p>
              </w:tc>
              <w:tc>
                <w:tcPr>
                  <w:tcW w:w="966" w:type="pct"/>
                  <w:vAlign w:val="center"/>
                </w:tcPr>
                <w:p w14:paraId="4D0C4964">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废过滤棉</w:t>
                  </w:r>
                </w:p>
              </w:tc>
              <w:tc>
                <w:tcPr>
                  <w:tcW w:w="698" w:type="pct"/>
                  <w:vMerge w:val="restart"/>
                  <w:vAlign w:val="center"/>
                </w:tcPr>
                <w:p w14:paraId="3268BA11">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喷漆烘干废气处理</w:t>
                  </w:r>
                </w:p>
              </w:tc>
              <w:tc>
                <w:tcPr>
                  <w:tcW w:w="475" w:type="pct"/>
                  <w:vMerge w:val="continue"/>
                  <w:vAlign w:val="center"/>
                </w:tcPr>
                <w:p w14:paraId="35D7D635">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14552BA8">
                  <w:pPr>
                    <w:pStyle w:val="103"/>
                    <w:bidi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49</w:t>
                  </w:r>
                </w:p>
                <w:p w14:paraId="471210E4">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900-041-49</w:t>
                  </w:r>
                </w:p>
              </w:tc>
              <w:tc>
                <w:tcPr>
                  <w:tcW w:w="654" w:type="pct"/>
                  <w:vAlign w:val="center"/>
                </w:tcPr>
                <w:p w14:paraId="3509240A">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0.148</w:t>
                  </w:r>
                </w:p>
              </w:tc>
              <w:tc>
                <w:tcPr>
                  <w:tcW w:w="453" w:type="pct"/>
                  <w:vMerge w:val="continue"/>
                  <w:vAlign w:val="center"/>
                </w:tcPr>
                <w:p w14:paraId="24666068">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67F25969">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2204A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34" w:type="pct"/>
                  <w:vAlign w:val="center"/>
                </w:tcPr>
                <w:p w14:paraId="5FC4AF84">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16</w:t>
                  </w:r>
                </w:p>
              </w:tc>
              <w:tc>
                <w:tcPr>
                  <w:tcW w:w="966" w:type="pct"/>
                  <w:vAlign w:val="center"/>
                </w:tcPr>
                <w:p w14:paraId="33D932FE">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698" w:type="pct"/>
                  <w:vMerge w:val="continue"/>
                  <w:vAlign w:val="center"/>
                </w:tcPr>
                <w:p w14:paraId="251FC22E">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75" w:type="pct"/>
                  <w:vMerge w:val="continue"/>
                  <w:vAlign w:val="center"/>
                </w:tcPr>
                <w:p w14:paraId="1E413D31">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549EAC56">
                  <w:pPr>
                    <w:pStyle w:val="103"/>
                    <w:bidi w:val="0"/>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9</w:t>
                  </w:r>
                </w:p>
                <w:p w14:paraId="7351199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900-039-49</w:t>
                  </w:r>
                </w:p>
              </w:tc>
              <w:tc>
                <w:tcPr>
                  <w:tcW w:w="654" w:type="pct"/>
                  <w:vAlign w:val="center"/>
                </w:tcPr>
                <w:p w14:paraId="42898D5E">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2.6</w:t>
                  </w:r>
                </w:p>
              </w:tc>
              <w:tc>
                <w:tcPr>
                  <w:tcW w:w="453" w:type="pct"/>
                  <w:vMerge w:val="continue"/>
                  <w:vAlign w:val="center"/>
                </w:tcPr>
                <w:p w14:paraId="2531F269">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242F61F5">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0E398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334" w:type="pct"/>
                  <w:vAlign w:val="center"/>
                </w:tcPr>
                <w:p w14:paraId="4C1F7B46">
                  <w:pPr>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17</w:t>
                  </w:r>
                </w:p>
              </w:tc>
              <w:tc>
                <w:tcPr>
                  <w:tcW w:w="966" w:type="pct"/>
                  <w:vAlign w:val="center"/>
                </w:tcPr>
                <w:p w14:paraId="1A9F5A3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废催化剂</w:t>
                  </w:r>
                </w:p>
              </w:tc>
              <w:tc>
                <w:tcPr>
                  <w:tcW w:w="698" w:type="pct"/>
                  <w:vMerge w:val="continue"/>
                  <w:vAlign w:val="center"/>
                </w:tcPr>
                <w:p w14:paraId="4EAB204D">
                  <w:pPr>
                    <w:pStyle w:val="2"/>
                    <w:spacing w:line="240" w:lineRule="auto"/>
                    <w:ind w:firstLine="0" w:firstLineChars="0"/>
                    <w:jc w:val="center"/>
                    <w:rPr>
                      <w:rFonts w:hint="default" w:ascii="Times New Roman" w:hAnsi="Times New Roman" w:eastAsia="宋体" w:cs="Times New Roman"/>
                      <w:b w:val="0"/>
                      <w:bCs/>
                      <w:color w:val="auto"/>
                      <w:kern w:val="2"/>
                      <w:sz w:val="21"/>
                      <w:szCs w:val="21"/>
                      <w:highlight w:val="none"/>
                      <w:lang w:val="en-US" w:eastAsia="zh-CN" w:bidi="ar-SA"/>
                    </w:rPr>
                  </w:pPr>
                </w:p>
              </w:tc>
              <w:tc>
                <w:tcPr>
                  <w:tcW w:w="475" w:type="pct"/>
                  <w:vMerge w:val="continue"/>
                  <w:vAlign w:val="center"/>
                </w:tcPr>
                <w:p w14:paraId="4877CC37">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2468A195">
                  <w:pPr>
                    <w:pStyle w:val="103"/>
                    <w:bidi w:val="0"/>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HW</w:t>
                  </w: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9</w:t>
                  </w:r>
                </w:p>
                <w:p w14:paraId="4F4D6C00">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900-041-49</w:t>
                  </w:r>
                </w:p>
              </w:tc>
              <w:tc>
                <w:tcPr>
                  <w:tcW w:w="654" w:type="pct"/>
                  <w:vAlign w:val="center"/>
                </w:tcPr>
                <w:p w14:paraId="1352900E">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0.004</w:t>
                  </w:r>
                </w:p>
              </w:tc>
              <w:tc>
                <w:tcPr>
                  <w:tcW w:w="453" w:type="pct"/>
                  <w:vMerge w:val="continue"/>
                  <w:vAlign w:val="center"/>
                </w:tcPr>
                <w:p w14:paraId="59087114">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13981009">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13C62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334" w:type="pct"/>
                  <w:vAlign w:val="center"/>
                </w:tcPr>
                <w:p w14:paraId="5A516E67">
                  <w:pPr>
                    <w:snapToGrid w:val="0"/>
                    <w:spacing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18</w:t>
                  </w:r>
                </w:p>
              </w:tc>
              <w:tc>
                <w:tcPr>
                  <w:tcW w:w="966" w:type="pct"/>
                  <w:vAlign w:val="center"/>
                </w:tcPr>
                <w:p w14:paraId="5B22D79F">
                  <w:pPr>
                    <w:widowControl/>
                    <w:jc w:val="center"/>
                    <w:rPr>
                      <w:rFonts w:hint="default" w:ascii="Times New Roman" w:hAnsi="Times New Roman" w:eastAsia="宋体" w:cs="Times New Roman"/>
                      <w:color w:val="auto"/>
                      <w:sz w:val="21"/>
                      <w:szCs w:val="21"/>
                      <w:highlight w:val="none"/>
                      <w:lang w:val="en-US" w:eastAsia="zh-CN"/>
                    </w:rPr>
                  </w:pPr>
                  <w:r>
                    <w:rPr>
                      <w:rFonts w:hint="eastAsia"/>
                      <w:color w:val="auto"/>
                      <w:highlight w:val="none"/>
                    </w:rPr>
                    <w:t>废矿物油</w:t>
                  </w:r>
                </w:p>
              </w:tc>
              <w:tc>
                <w:tcPr>
                  <w:tcW w:w="698" w:type="pct"/>
                  <w:vAlign w:val="center"/>
                </w:tcPr>
                <w:p w14:paraId="2D2E40FE">
                  <w:pPr>
                    <w:pStyle w:val="103"/>
                    <w:spacing w:line="240" w:lineRule="exact"/>
                    <w:rPr>
                      <w:rFonts w:hint="default" w:ascii="Times New Roman" w:hAnsi="Times New Roman" w:eastAsia="宋体" w:cs="Times New Roman"/>
                      <w:b w:val="0"/>
                      <w:bCs/>
                      <w:color w:val="auto"/>
                      <w:kern w:val="2"/>
                      <w:sz w:val="21"/>
                      <w:szCs w:val="21"/>
                      <w:highlight w:val="none"/>
                      <w:lang w:val="en-US" w:eastAsia="zh-CN" w:bidi="ar-SA"/>
                    </w:rPr>
                  </w:pPr>
                  <w:r>
                    <w:rPr>
                      <w:rFonts w:hint="eastAsia"/>
                      <w:color w:val="auto"/>
                      <w:highlight w:val="none"/>
                      <w:lang w:val="en-US"/>
                    </w:rPr>
                    <w:t>预脱脂、主脱脂隔油装置</w:t>
                  </w:r>
                </w:p>
              </w:tc>
              <w:tc>
                <w:tcPr>
                  <w:tcW w:w="475" w:type="pct"/>
                  <w:vMerge w:val="restart"/>
                  <w:vAlign w:val="center"/>
                </w:tcPr>
                <w:p w14:paraId="0238AAFC">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r>
                    <w:rPr>
                      <w:rFonts w:hint="default" w:ascii="Times New Roman" w:hAnsi="Times New Roman" w:eastAsia="宋体" w:cs="Times New Roman"/>
                      <w:b w:val="0"/>
                      <w:bCs/>
                      <w:color w:val="auto"/>
                      <w:kern w:val="0"/>
                      <w:sz w:val="21"/>
                      <w:szCs w:val="21"/>
                      <w:highlight w:val="none"/>
                      <w:lang w:val="en-US" w:eastAsia="zh-CN"/>
                    </w:rPr>
                    <w:t>危险废物</w:t>
                  </w:r>
                </w:p>
                <w:p w14:paraId="52D37B69">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6BFA039E">
                  <w:pPr>
                    <w:pStyle w:val="103"/>
                    <w:spacing w:line="240" w:lineRule="exact"/>
                    <w:rPr>
                      <w:rFonts w:hint="eastAsia"/>
                      <w:color w:val="auto"/>
                      <w:highlight w:val="none"/>
                      <w:lang w:val="en-US"/>
                    </w:rPr>
                  </w:pPr>
                  <w:r>
                    <w:rPr>
                      <w:rFonts w:hint="eastAsia"/>
                      <w:color w:val="auto"/>
                      <w:highlight w:val="none"/>
                      <w:lang w:val="en-US"/>
                    </w:rPr>
                    <w:t>HW08</w:t>
                  </w:r>
                </w:p>
                <w:p w14:paraId="6DF3FCBE">
                  <w:pPr>
                    <w:pStyle w:val="103"/>
                    <w:spacing w:line="240" w:lineRule="exact"/>
                    <w:rPr>
                      <w:rFonts w:hint="default" w:ascii="Times New Roman" w:hAnsi="Times New Roman" w:eastAsia="宋体" w:cs="Times New Roman"/>
                      <w:color w:val="auto"/>
                      <w:sz w:val="21"/>
                      <w:szCs w:val="21"/>
                      <w:highlight w:val="none"/>
                      <w:lang w:val="en-US" w:eastAsia="zh-CN"/>
                    </w:rPr>
                  </w:pPr>
                  <w:r>
                    <w:rPr>
                      <w:rFonts w:hint="eastAsia"/>
                      <w:color w:val="auto"/>
                      <w:highlight w:val="none"/>
                      <w:lang w:val="en-US"/>
                    </w:rPr>
                    <w:t>900-201-08</w:t>
                  </w:r>
                </w:p>
              </w:tc>
              <w:tc>
                <w:tcPr>
                  <w:tcW w:w="654" w:type="pct"/>
                  <w:vAlign w:val="center"/>
                </w:tcPr>
                <w:p w14:paraId="7669B243">
                  <w:pPr>
                    <w:widowControl/>
                    <w:jc w:val="center"/>
                    <w:textAlignment w:val="center"/>
                    <w:rPr>
                      <w:rFonts w:hint="eastAsia" w:ascii="Times New Roman" w:hAnsi="Times New Roman" w:eastAsia="宋体" w:cs="Times New Roman"/>
                      <w:color w:val="auto"/>
                      <w:sz w:val="21"/>
                      <w:szCs w:val="21"/>
                      <w:highlight w:val="none"/>
                      <w:lang w:val="en-US" w:eastAsia="zh-CN"/>
                    </w:rPr>
                  </w:pPr>
                  <w:r>
                    <w:rPr>
                      <w:rFonts w:hint="eastAsia"/>
                      <w:color w:val="auto"/>
                      <w:kern w:val="0"/>
                      <w:szCs w:val="21"/>
                      <w:highlight w:val="none"/>
                      <w:lang w:eastAsia="zh-CN" w:bidi="ar"/>
                    </w:rPr>
                    <w:t>0.01425</w:t>
                  </w:r>
                </w:p>
              </w:tc>
              <w:tc>
                <w:tcPr>
                  <w:tcW w:w="453" w:type="pct"/>
                  <w:vMerge w:val="restart"/>
                  <w:vAlign w:val="center"/>
                </w:tcPr>
                <w:p w14:paraId="2650C798">
                  <w:pPr>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危废间</w:t>
                  </w:r>
                </w:p>
                <w:p w14:paraId="307C5A71">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restart"/>
                  <w:vAlign w:val="center"/>
                </w:tcPr>
                <w:p w14:paraId="0008135E">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kern w:val="0"/>
                      <w:sz w:val="21"/>
                      <w:szCs w:val="21"/>
                      <w:highlight w:val="none"/>
                      <w:lang w:val="en-US" w:eastAsia="zh-CN"/>
                    </w:rPr>
                    <w:t>收集后存放于厂区</w:t>
                  </w:r>
                  <w:r>
                    <w:rPr>
                      <w:rFonts w:hint="default" w:ascii="Times New Roman" w:hAnsi="Times New Roman" w:eastAsia="宋体" w:cs="Times New Roman"/>
                      <w:color w:val="auto"/>
                      <w:sz w:val="21"/>
                      <w:szCs w:val="21"/>
                      <w:highlight w:val="none"/>
                      <w:lang w:val="en-US" w:eastAsia="zh-CN"/>
                    </w:rPr>
                    <w:t>危废间</w:t>
                  </w:r>
                  <w:r>
                    <w:rPr>
                      <w:rFonts w:hint="default" w:ascii="Times New Roman" w:hAnsi="Times New Roman" w:eastAsia="宋体" w:cs="Times New Roman"/>
                      <w:b w:val="0"/>
                      <w:bCs/>
                      <w:color w:val="auto"/>
                      <w:kern w:val="0"/>
                      <w:sz w:val="21"/>
                      <w:szCs w:val="21"/>
                      <w:highlight w:val="none"/>
                      <w:lang w:val="en-US" w:eastAsia="zh-CN"/>
                    </w:rPr>
                    <w:t>，定期交由有资质单位处理</w:t>
                  </w:r>
                </w:p>
              </w:tc>
            </w:tr>
            <w:tr w14:paraId="76ECF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334" w:type="pct"/>
                  <w:vAlign w:val="center"/>
                </w:tcPr>
                <w:p w14:paraId="4E035038">
                  <w:pPr>
                    <w:snapToGrid w:val="0"/>
                    <w:spacing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19</w:t>
                  </w:r>
                </w:p>
              </w:tc>
              <w:tc>
                <w:tcPr>
                  <w:tcW w:w="966" w:type="pct"/>
                  <w:vAlign w:val="center"/>
                </w:tcPr>
                <w:p w14:paraId="3F83C798">
                  <w:pPr>
                    <w:widowControl/>
                    <w:jc w:val="center"/>
                    <w:rPr>
                      <w:rFonts w:hint="default" w:ascii="Times New Roman" w:hAnsi="Times New Roman" w:eastAsia="宋体" w:cs="Times New Roman"/>
                      <w:color w:val="auto"/>
                      <w:sz w:val="21"/>
                      <w:szCs w:val="21"/>
                      <w:highlight w:val="none"/>
                      <w:lang w:val="en-US" w:eastAsia="zh-CN"/>
                    </w:rPr>
                  </w:pPr>
                  <w:r>
                    <w:rPr>
                      <w:rFonts w:hint="eastAsia"/>
                      <w:color w:val="auto"/>
                      <w:highlight w:val="none"/>
                    </w:rPr>
                    <w:t>集污沟</w:t>
                  </w:r>
                  <w:r>
                    <w:rPr>
                      <w:rFonts w:hint="eastAsia"/>
                      <w:color w:val="auto"/>
                      <w:szCs w:val="21"/>
                      <w:highlight w:val="none"/>
                    </w:rPr>
                    <w:t>沉淀物</w:t>
                  </w:r>
                </w:p>
              </w:tc>
              <w:tc>
                <w:tcPr>
                  <w:tcW w:w="698" w:type="pct"/>
                  <w:vAlign w:val="center"/>
                </w:tcPr>
                <w:p w14:paraId="5C5C7AD7">
                  <w:pPr>
                    <w:pStyle w:val="103"/>
                    <w:spacing w:line="240" w:lineRule="exact"/>
                    <w:rPr>
                      <w:rFonts w:hint="default" w:ascii="Times New Roman" w:hAnsi="Times New Roman" w:eastAsia="宋体" w:cs="Times New Roman"/>
                      <w:b w:val="0"/>
                      <w:bCs/>
                      <w:color w:val="auto"/>
                      <w:kern w:val="2"/>
                      <w:sz w:val="21"/>
                      <w:szCs w:val="21"/>
                      <w:highlight w:val="none"/>
                      <w:lang w:val="en-US" w:eastAsia="zh-CN" w:bidi="ar-SA"/>
                    </w:rPr>
                  </w:pPr>
                  <w:r>
                    <w:rPr>
                      <w:rFonts w:hint="eastAsia"/>
                      <w:color w:val="auto"/>
                      <w:highlight w:val="none"/>
                      <w:lang w:val="en-US"/>
                    </w:rPr>
                    <w:t>水槽集污沟</w:t>
                  </w:r>
                </w:p>
              </w:tc>
              <w:tc>
                <w:tcPr>
                  <w:tcW w:w="475" w:type="pct"/>
                  <w:vMerge w:val="continue"/>
                  <w:vAlign w:val="center"/>
                </w:tcPr>
                <w:p w14:paraId="103B9F4D">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1D250BDC">
                  <w:pPr>
                    <w:pStyle w:val="103"/>
                    <w:spacing w:line="240" w:lineRule="exact"/>
                    <w:rPr>
                      <w:rFonts w:hint="default" w:ascii="Times New Roman" w:hAnsi="Times New Roman" w:eastAsia="宋体" w:cs="Times New Roman"/>
                      <w:color w:val="auto"/>
                      <w:sz w:val="21"/>
                      <w:szCs w:val="21"/>
                      <w:highlight w:val="none"/>
                      <w:lang w:val="en-US" w:eastAsia="zh-CN"/>
                    </w:rPr>
                  </w:pPr>
                  <w:r>
                    <w:rPr>
                      <w:rFonts w:hint="eastAsia"/>
                      <w:color w:val="auto"/>
                      <w:highlight w:val="none"/>
                      <w:lang w:val="en-US"/>
                    </w:rPr>
                    <w:t xml:space="preserve">HW49 900-041-49 </w:t>
                  </w:r>
                </w:p>
              </w:tc>
              <w:tc>
                <w:tcPr>
                  <w:tcW w:w="654" w:type="pct"/>
                  <w:vAlign w:val="center"/>
                </w:tcPr>
                <w:p w14:paraId="43E95BA4">
                  <w:pPr>
                    <w:pStyle w:val="103"/>
                    <w:spacing w:line="240" w:lineRule="exact"/>
                    <w:rPr>
                      <w:rFonts w:hint="default" w:ascii="Times New Roman" w:hAnsi="Times New Roman" w:eastAsia="宋体" w:cs="Times New Roman"/>
                      <w:color w:val="auto"/>
                      <w:sz w:val="21"/>
                      <w:szCs w:val="21"/>
                      <w:highlight w:val="none"/>
                      <w:lang w:val="en-US" w:eastAsia="zh-CN"/>
                    </w:rPr>
                  </w:pPr>
                  <w:r>
                    <w:rPr>
                      <w:rFonts w:hint="eastAsia"/>
                      <w:color w:val="auto"/>
                      <w:highlight w:val="none"/>
                      <w:lang w:val="en-US"/>
                    </w:rPr>
                    <w:t>0.02</w:t>
                  </w:r>
                </w:p>
              </w:tc>
              <w:tc>
                <w:tcPr>
                  <w:tcW w:w="453" w:type="pct"/>
                  <w:vMerge w:val="continue"/>
                  <w:vAlign w:val="center"/>
                </w:tcPr>
                <w:p w14:paraId="29F05CD0">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77F25E22">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r w14:paraId="6CAFC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334" w:type="pct"/>
                  <w:vAlign w:val="center"/>
                </w:tcPr>
                <w:p w14:paraId="7DADF439">
                  <w:pPr>
                    <w:snapToGrid w:val="0"/>
                    <w:spacing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20</w:t>
                  </w:r>
                </w:p>
              </w:tc>
              <w:tc>
                <w:tcPr>
                  <w:tcW w:w="966" w:type="pct"/>
                  <w:vAlign w:val="center"/>
                </w:tcPr>
                <w:p w14:paraId="73698E25">
                  <w:pPr>
                    <w:widowControl/>
                    <w:jc w:val="center"/>
                    <w:rPr>
                      <w:rFonts w:hint="eastAsia" w:ascii="Times New Roman" w:hAnsi="Times New Roman" w:eastAsia="宋体" w:cs="Times New Roman"/>
                      <w:color w:val="auto"/>
                      <w:sz w:val="21"/>
                      <w:szCs w:val="21"/>
                      <w:highlight w:val="none"/>
                      <w:lang w:val="en-US" w:eastAsia="zh-CN"/>
                    </w:rPr>
                  </w:pPr>
                  <w:r>
                    <w:rPr>
                      <w:rFonts w:hint="eastAsia"/>
                      <w:color w:val="auto"/>
                      <w:highlight w:val="none"/>
                    </w:rPr>
                    <w:t>重油垢清洗剂、多功能防锈剂塑料</w:t>
                  </w:r>
                  <w:r>
                    <w:rPr>
                      <w:rFonts w:hint="eastAsia"/>
                      <w:color w:val="auto"/>
                      <w:highlight w:val="none"/>
                      <w:lang w:val="en-US" w:eastAsia="zh-CN"/>
                    </w:rPr>
                    <w:t>内衬袋</w:t>
                  </w:r>
                </w:p>
              </w:tc>
              <w:tc>
                <w:tcPr>
                  <w:tcW w:w="698" w:type="pct"/>
                  <w:vAlign w:val="center"/>
                </w:tcPr>
                <w:p w14:paraId="6F142674">
                  <w:pPr>
                    <w:pStyle w:val="103"/>
                    <w:spacing w:line="240" w:lineRule="exact"/>
                    <w:rPr>
                      <w:rFonts w:hint="default" w:ascii="Times New Roman" w:hAnsi="Times New Roman" w:eastAsia="宋体" w:cs="Times New Roman"/>
                      <w:b w:val="0"/>
                      <w:bCs/>
                      <w:color w:val="auto"/>
                      <w:kern w:val="2"/>
                      <w:sz w:val="21"/>
                      <w:szCs w:val="21"/>
                      <w:highlight w:val="none"/>
                      <w:lang w:val="en-US" w:eastAsia="zh-CN" w:bidi="ar-SA"/>
                    </w:rPr>
                  </w:pPr>
                  <w:r>
                    <w:rPr>
                      <w:rFonts w:hint="eastAsia"/>
                      <w:color w:val="auto"/>
                      <w:highlight w:val="none"/>
                      <w:lang w:val="en-US" w:eastAsia="zh-CN"/>
                    </w:rPr>
                    <w:t>清洗烘干原料使用</w:t>
                  </w:r>
                </w:p>
              </w:tc>
              <w:tc>
                <w:tcPr>
                  <w:tcW w:w="475" w:type="pct"/>
                  <w:vMerge w:val="continue"/>
                  <w:vAlign w:val="center"/>
                </w:tcPr>
                <w:p w14:paraId="5B912025">
                  <w:pPr>
                    <w:adjustRightInd w:val="0"/>
                    <w:snapToGrid w:val="0"/>
                    <w:spacing w:line="240" w:lineRule="auto"/>
                    <w:jc w:val="center"/>
                    <w:rPr>
                      <w:rFonts w:hint="default" w:ascii="Times New Roman" w:hAnsi="Times New Roman" w:eastAsia="宋体" w:cs="Times New Roman"/>
                      <w:b w:val="0"/>
                      <w:bCs/>
                      <w:color w:val="auto"/>
                      <w:kern w:val="0"/>
                      <w:sz w:val="21"/>
                      <w:szCs w:val="21"/>
                      <w:highlight w:val="none"/>
                      <w:lang w:val="en-US" w:eastAsia="zh-CN"/>
                    </w:rPr>
                  </w:pPr>
                </w:p>
              </w:tc>
              <w:tc>
                <w:tcPr>
                  <w:tcW w:w="835" w:type="pct"/>
                  <w:vAlign w:val="center"/>
                </w:tcPr>
                <w:p w14:paraId="28EA60CF">
                  <w:pPr>
                    <w:pStyle w:val="103"/>
                    <w:spacing w:line="240" w:lineRule="exact"/>
                    <w:rPr>
                      <w:rFonts w:hint="default" w:ascii="Times New Roman" w:hAnsi="Times New Roman" w:eastAsia="宋体" w:cs="Times New Roman"/>
                      <w:color w:val="auto"/>
                      <w:sz w:val="21"/>
                      <w:szCs w:val="21"/>
                      <w:highlight w:val="none"/>
                      <w:lang w:val="en-US" w:eastAsia="zh-CN"/>
                    </w:rPr>
                  </w:pPr>
                  <w:r>
                    <w:rPr>
                      <w:rFonts w:hint="eastAsia"/>
                      <w:color w:val="auto"/>
                      <w:highlight w:val="none"/>
                      <w:lang w:val="en-US"/>
                    </w:rPr>
                    <w:t xml:space="preserve">HW49 900-041-49 </w:t>
                  </w:r>
                </w:p>
              </w:tc>
              <w:tc>
                <w:tcPr>
                  <w:tcW w:w="654" w:type="pct"/>
                  <w:vAlign w:val="center"/>
                </w:tcPr>
                <w:p w14:paraId="523F1CFF">
                  <w:pPr>
                    <w:pStyle w:val="103"/>
                    <w:spacing w:line="240" w:lineRule="exact"/>
                    <w:rPr>
                      <w:rFonts w:hint="default" w:ascii="Times New Roman" w:hAnsi="Times New Roman" w:eastAsia="宋体" w:cs="Times New Roman"/>
                      <w:color w:val="auto"/>
                      <w:sz w:val="21"/>
                      <w:szCs w:val="21"/>
                      <w:highlight w:val="none"/>
                      <w:lang w:val="en-US" w:eastAsia="zh-CN"/>
                    </w:rPr>
                  </w:pPr>
                  <w:r>
                    <w:rPr>
                      <w:rFonts w:hint="eastAsia"/>
                      <w:color w:val="auto"/>
                      <w:szCs w:val="21"/>
                      <w:highlight w:val="none"/>
                      <w:lang w:val="en-US"/>
                    </w:rPr>
                    <w:t>0.014</w:t>
                  </w:r>
                </w:p>
              </w:tc>
              <w:tc>
                <w:tcPr>
                  <w:tcW w:w="453" w:type="pct"/>
                  <w:vMerge w:val="continue"/>
                  <w:vAlign w:val="center"/>
                </w:tcPr>
                <w:p w14:paraId="1F22A8BB">
                  <w:pPr>
                    <w:adjustRightInd w:val="0"/>
                    <w:snapToGrid w:val="0"/>
                    <w:spacing w:line="240" w:lineRule="auto"/>
                    <w:jc w:val="center"/>
                    <w:rPr>
                      <w:rFonts w:hint="default" w:ascii="Times New Roman" w:hAnsi="Times New Roman" w:eastAsia="宋体" w:cs="Times New Roman"/>
                      <w:b w:val="0"/>
                      <w:bCs/>
                      <w:color w:val="auto"/>
                      <w:sz w:val="21"/>
                      <w:szCs w:val="21"/>
                      <w:highlight w:val="none"/>
                      <w:lang w:val="en-US" w:eastAsia="zh-CN"/>
                    </w:rPr>
                  </w:pPr>
                </w:p>
              </w:tc>
              <w:tc>
                <w:tcPr>
                  <w:tcW w:w="580" w:type="pct"/>
                  <w:vMerge w:val="continue"/>
                  <w:vAlign w:val="center"/>
                </w:tcPr>
                <w:p w14:paraId="7BAB5CA5">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sz w:val="21"/>
                      <w:szCs w:val="21"/>
                      <w:highlight w:val="none"/>
                    </w:rPr>
                  </w:pPr>
                </w:p>
              </w:tc>
            </w:tr>
          </w:tbl>
          <w:p w14:paraId="661C3C9B"/>
          <w:p w14:paraId="1362D129">
            <w:pPr>
              <w:widowControl/>
              <w:tabs>
                <w:tab w:val="left" w:pos="8647"/>
              </w:tabs>
              <w:spacing w:line="360" w:lineRule="auto"/>
              <w:ind w:firstLine="480" w:firstLineChars="200"/>
              <w:jc w:val="left"/>
              <w:rPr>
                <w:rFonts w:hint="eastAsia"/>
                <w:color w:val="auto"/>
                <w:sz w:val="24"/>
                <w:highlight w:val="none"/>
              </w:rPr>
            </w:pPr>
            <w:r>
              <w:rPr>
                <w:rFonts w:hint="eastAsia"/>
                <w:color w:val="auto"/>
                <w:sz w:val="24"/>
                <w:highlight w:val="none"/>
              </w:rPr>
              <w:t>2、环境管理</w:t>
            </w:r>
          </w:p>
          <w:p w14:paraId="4D0E565C">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根据《中华人民共和国固体废物污染环境防治法》（第二次修订）及《危险废物贮存污染控制标准》（GB18597-20</w:t>
            </w:r>
            <w:r>
              <w:rPr>
                <w:color w:val="auto"/>
                <w:sz w:val="24"/>
                <w:szCs w:val="24"/>
                <w:highlight w:val="none"/>
              </w:rPr>
              <w:t>23</w:t>
            </w:r>
            <w:r>
              <w:rPr>
                <w:rFonts w:hint="default"/>
                <w:color w:val="auto"/>
                <w:sz w:val="24"/>
                <w:szCs w:val="24"/>
                <w:highlight w:val="none"/>
              </w:rPr>
              <w:t>）等文件，提出以下要求：</w:t>
            </w:r>
          </w:p>
          <w:p w14:paraId="2F17A8A4">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建设产生、贮存、利用、处置固体废物的项目，应当依法进行环境影响评价，并遵守国家有关建设项目环境保护管理的规定。产生、收集、贮存、 利用、处置固体废物的单位和其他生产经营者，应当采取放扬散、防流失、防渗漏或其他防止污染环境的措施，不得擅自倾倒、堆放、丢弃、遗撒固体废物。禁止任何单位或个人向江河、湖泊、运河、渠道、水库及其最高水位线以下的滩地和岸坡以及法律法规规定的其他地点倾倒、堆放、贮存固体废物。</w:t>
            </w:r>
          </w:p>
          <w:p w14:paraId="7783B183">
            <w:pPr>
              <w:pStyle w:val="28"/>
              <w:spacing w:line="360" w:lineRule="auto"/>
              <w:ind w:firstLine="480"/>
              <w:rPr>
                <w:rFonts w:hint="eastAsia"/>
                <w:color w:val="auto"/>
                <w:sz w:val="24"/>
                <w:highlight w:val="none"/>
              </w:rPr>
            </w:pPr>
            <w:r>
              <w:rPr>
                <w:rFonts w:hint="eastAsia"/>
                <w:color w:val="auto"/>
                <w:sz w:val="24"/>
                <w:highlight w:val="none"/>
              </w:rPr>
              <w:t>（1）一般工业固体废物的管理要求</w:t>
            </w:r>
          </w:p>
          <w:p w14:paraId="6EB9464B">
            <w:pPr>
              <w:pStyle w:val="112"/>
              <w:widowControl w:val="0"/>
              <w:spacing w:before="0" w:beforeLines="0" w:after="0" w:afterLines="0" w:line="360" w:lineRule="auto"/>
              <w:ind w:firstLine="480"/>
              <w:rPr>
                <w:color w:val="auto"/>
                <w:sz w:val="24"/>
                <w:szCs w:val="24"/>
                <w:highlight w:val="none"/>
              </w:rPr>
            </w:pPr>
            <w:r>
              <w:rPr>
                <w:color w:val="auto"/>
                <w:sz w:val="24"/>
                <w:szCs w:val="24"/>
                <w:highlight w:val="none"/>
              </w:rPr>
              <w:t>依据工程分析，技改项目产生固体废物主要为铁屑等固体物质</w:t>
            </w:r>
            <w:r>
              <w:rPr>
                <w:rFonts w:hint="eastAsia"/>
                <w:color w:val="auto"/>
                <w:sz w:val="24"/>
                <w:szCs w:val="24"/>
                <w:highlight w:val="none"/>
                <w:lang w:eastAsia="zh-CN"/>
              </w:rPr>
              <w:t>，</w:t>
            </w:r>
            <w:r>
              <w:rPr>
                <w:color w:val="auto"/>
                <w:sz w:val="24"/>
                <w:szCs w:val="24"/>
                <w:highlight w:val="none"/>
              </w:rPr>
              <w:t>30天收集一次，收集后及时送到中频电炉回收利用，不储存。收集时沥干水分，并使用防漏装置，严谨遗撒。</w:t>
            </w:r>
          </w:p>
          <w:p w14:paraId="13EED78C">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现有项目</w:t>
            </w:r>
            <w:r>
              <w:rPr>
                <w:rFonts w:hint="eastAsia"/>
                <w:color w:val="auto"/>
                <w:sz w:val="24"/>
                <w:szCs w:val="24"/>
                <w:highlight w:val="none"/>
                <w:lang w:val="en-US" w:eastAsia="zh-CN"/>
              </w:rPr>
              <w:t>1#生产车间北侧</w:t>
            </w:r>
            <w:r>
              <w:rPr>
                <w:rFonts w:hint="default"/>
                <w:color w:val="auto"/>
                <w:sz w:val="24"/>
                <w:szCs w:val="24"/>
                <w:highlight w:val="none"/>
              </w:rPr>
              <w:t>设</w:t>
            </w:r>
            <w:r>
              <w:rPr>
                <w:rFonts w:hint="eastAsia"/>
                <w:color w:val="auto"/>
                <w:sz w:val="24"/>
                <w:szCs w:val="24"/>
                <w:highlight w:val="none"/>
                <w:lang w:val="en-US" w:eastAsia="zh-CN"/>
              </w:rPr>
              <w:t>有1</w:t>
            </w:r>
            <w:r>
              <w:rPr>
                <w:rFonts w:hint="default"/>
                <w:color w:val="auto"/>
                <w:sz w:val="24"/>
                <w:szCs w:val="24"/>
                <w:highlight w:val="none"/>
              </w:rPr>
              <w:t>座</w:t>
            </w:r>
            <w:r>
              <w:rPr>
                <w:rFonts w:hint="eastAsia"/>
                <w:color w:val="000000" w:themeColor="text1"/>
                <w:sz w:val="24"/>
                <w:szCs w:val="24"/>
                <w:highlight w:val="none"/>
                <w:lang w:val="en-US" w:eastAsia="zh-CN"/>
                <w14:textFill>
                  <w14:solidFill>
                    <w14:schemeClr w14:val="tx1"/>
                  </w14:solidFill>
                </w14:textFill>
              </w:rPr>
              <w:t>1</w:t>
            </w:r>
            <w:r>
              <w:rPr>
                <w:color w:val="000000" w:themeColor="text1"/>
                <w:sz w:val="24"/>
                <w:szCs w:val="24"/>
                <w:highlight w:val="none"/>
                <w14:textFill>
                  <w14:solidFill>
                    <w14:schemeClr w14:val="tx1"/>
                  </w14:solidFill>
                </w14:textFill>
              </w:rPr>
              <w:t>0</w:t>
            </w:r>
            <w:r>
              <w:rPr>
                <w:rFonts w:hint="default"/>
                <w:color w:val="000000" w:themeColor="text1"/>
                <w:sz w:val="24"/>
                <w:szCs w:val="24"/>
                <w:highlight w:val="none"/>
                <w14:textFill>
                  <w14:solidFill>
                    <w14:schemeClr w14:val="tx1"/>
                  </w14:solidFill>
                </w14:textFill>
              </w:rPr>
              <w:t>m</w:t>
            </w:r>
            <w:r>
              <w:rPr>
                <w:rFonts w:hint="default"/>
                <w:color w:val="000000" w:themeColor="text1"/>
                <w:sz w:val="24"/>
                <w:szCs w:val="24"/>
                <w:highlight w:val="none"/>
                <w:vertAlign w:val="superscript"/>
                <w14:textFill>
                  <w14:solidFill>
                    <w14:schemeClr w14:val="tx1"/>
                  </w14:solidFill>
                </w14:textFill>
              </w:rPr>
              <w:t>2</w:t>
            </w:r>
            <w:r>
              <w:rPr>
                <w:rFonts w:hint="default"/>
                <w:color w:val="auto"/>
                <w:sz w:val="24"/>
                <w:szCs w:val="24"/>
                <w:highlight w:val="none"/>
              </w:rPr>
              <w:t>的一般固废储存间，主要储存生产过程中的各种一般固体废物。项目一般工业固废不会产生渗滤液，一般固废间地面硬化，防止雨水径流进入贮存、处置场内，场内悬挂标识，分区存放，储存区设置满足《一般工业固体废物贮存和填埋污染控制标准》（GB18599-2020）中标准要求。生活垃圾在场内设置密闭桶收集，及时清运。</w:t>
            </w:r>
          </w:p>
          <w:p w14:paraId="29184BBB">
            <w:pPr>
              <w:pStyle w:val="28"/>
              <w:spacing w:line="360" w:lineRule="auto"/>
              <w:ind w:firstLine="480"/>
              <w:rPr>
                <w:rFonts w:hint="eastAsia"/>
                <w:color w:val="auto"/>
                <w:sz w:val="24"/>
                <w:highlight w:val="none"/>
              </w:rPr>
            </w:pPr>
            <w:r>
              <w:rPr>
                <w:rFonts w:hint="eastAsia"/>
                <w:color w:val="auto"/>
                <w:sz w:val="24"/>
                <w:highlight w:val="none"/>
              </w:rPr>
              <w:t>（2）危险废物环境管理</w:t>
            </w:r>
          </w:p>
          <w:p w14:paraId="53330135">
            <w:pPr>
              <w:pStyle w:val="112"/>
              <w:widowControl w:val="0"/>
              <w:spacing w:before="0" w:beforeLines="0" w:after="0" w:afterLines="0" w:line="360" w:lineRule="auto"/>
              <w:ind w:firstLine="480"/>
              <w:rPr>
                <w:rFonts w:hint="default"/>
                <w:color w:val="auto"/>
                <w:sz w:val="24"/>
                <w:szCs w:val="24"/>
                <w:highlight w:val="none"/>
              </w:rPr>
            </w:pPr>
            <w:r>
              <w:rPr>
                <w:rFonts w:hint="eastAsia" w:asciiTheme="minorEastAsia" w:hAnsiTheme="minorEastAsia" w:eastAsiaTheme="minorEastAsia" w:cstheme="minorEastAsia"/>
                <w:color w:val="auto"/>
                <w:sz w:val="24"/>
                <w:szCs w:val="24"/>
                <w:highlight w:val="none"/>
              </w:rPr>
              <w:t>①</w:t>
            </w:r>
            <w:r>
              <w:rPr>
                <w:rFonts w:ascii="Calibri" w:hAnsi="Calibri" w:cs="Calibri"/>
                <w:color w:val="auto"/>
                <w:sz w:val="24"/>
                <w:szCs w:val="24"/>
                <w:highlight w:val="none"/>
              </w:rPr>
              <w:t>依托现有项目危险废物</w:t>
            </w:r>
            <w:r>
              <w:rPr>
                <w:rFonts w:hint="eastAsia" w:ascii="Calibri" w:hAnsi="Calibri" w:cs="Calibri"/>
                <w:color w:val="auto"/>
                <w:sz w:val="24"/>
                <w:szCs w:val="24"/>
                <w:highlight w:val="none"/>
                <w:lang w:eastAsia="zh-CN"/>
              </w:rPr>
              <w:t>贮存点</w:t>
            </w:r>
            <w:r>
              <w:rPr>
                <w:rFonts w:ascii="Calibri" w:hAnsi="Calibri" w:cs="Calibri"/>
                <w:color w:val="auto"/>
                <w:sz w:val="24"/>
                <w:szCs w:val="24"/>
                <w:highlight w:val="none"/>
              </w:rPr>
              <w:t>可行性分析</w:t>
            </w:r>
          </w:p>
          <w:p w14:paraId="16167CB1">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技改项目危险废物暂存依托现有</w:t>
            </w:r>
            <w:r>
              <w:rPr>
                <w:rFonts w:hint="eastAsia"/>
                <w:color w:val="auto"/>
                <w:sz w:val="24"/>
                <w:szCs w:val="24"/>
                <w:highlight w:val="none"/>
                <w:lang w:val="en-US" w:eastAsia="zh-CN"/>
              </w:rPr>
              <w:t>危废间</w:t>
            </w:r>
            <w:r>
              <w:rPr>
                <w:color w:val="auto"/>
                <w:sz w:val="24"/>
                <w:szCs w:val="24"/>
                <w:highlight w:val="none"/>
              </w:rPr>
              <w:t>，</w:t>
            </w:r>
            <w:r>
              <w:rPr>
                <w:rFonts w:hint="eastAsia"/>
                <w:color w:val="auto"/>
                <w:sz w:val="24"/>
                <w:szCs w:val="24"/>
                <w:highlight w:val="none"/>
                <w:lang w:val="en-US" w:eastAsia="zh-CN"/>
              </w:rPr>
              <w:t>现有2#生产车间北侧建有危废间。</w:t>
            </w:r>
            <w:r>
              <w:rPr>
                <w:color w:val="auto"/>
                <w:sz w:val="24"/>
                <w:szCs w:val="24"/>
                <w:highlight w:val="none"/>
              </w:rPr>
              <w:t>技改完成后，全厂危险废物产生情况见表4-</w:t>
            </w:r>
            <w:r>
              <w:rPr>
                <w:rFonts w:hint="eastAsia"/>
                <w:color w:val="auto"/>
                <w:sz w:val="24"/>
                <w:szCs w:val="24"/>
                <w:highlight w:val="none"/>
                <w:lang w:val="en-US" w:eastAsia="zh-CN"/>
              </w:rPr>
              <w:t>12</w:t>
            </w:r>
            <w:r>
              <w:rPr>
                <w:color w:val="auto"/>
                <w:sz w:val="24"/>
                <w:szCs w:val="24"/>
                <w:highlight w:val="none"/>
              </w:rPr>
              <w:t>。</w:t>
            </w:r>
            <w:r>
              <w:rPr>
                <w:rFonts w:hint="eastAsia"/>
                <w:color w:val="000000" w:themeColor="text1"/>
                <w:sz w:val="24"/>
                <w:szCs w:val="24"/>
                <w:highlight w:val="none"/>
                <w:lang w:val="en-US" w:eastAsia="zh-CN"/>
                <w14:textFill>
                  <w14:solidFill>
                    <w14:schemeClr w14:val="tx1"/>
                  </w14:solidFill>
                </w14:textFill>
              </w:rPr>
              <w:t>技改后</w:t>
            </w:r>
            <w:r>
              <w:rPr>
                <w:color w:val="000000" w:themeColor="text1"/>
                <w:sz w:val="24"/>
                <w:szCs w:val="24"/>
                <w:highlight w:val="none"/>
                <w14:textFill>
                  <w14:solidFill>
                    <w14:schemeClr w14:val="tx1"/>
                  </w14:solidFill>
                </w14:textFill>
              </w:rPr>
              <w:t>整体</w:t>
            </w:r>
            <w:r>
              <w:rPr>
                <w:rFonts w:hint="eastAsia"/>
                <w:color w:val="000000" w:themeColor="text1"/>
                <w:sz w:val="24"/>
                <w:szCs w:val="24"/>
                <w:highlight w:val="none"/>
                <w:lang w:val="en-US" w:eastAsia="zh-CN"/>
                <w14:textFill>
                  <w14:solidFill>
                    <w14:schemeClr w14:val="tx1"/>
                  </w14:solidFill>
                </w14:textFill>
              </w:rPr>
              <w:t>危险</w:t>
            </w:r>
            <w:r>
              <w:rPr>
                <w:color w:val="000000" w:themeColor="text1"/>
                <w:sz w:val="24"/>
                <w:szCs w:val="24"/>
                <w:highlight w:val="none"/>
                <w14:textFill>
                  <w14:solidFill>
                    <w14:schemeClr w14:val="tx1"/>
                  </w14:solidFill>
                </w14:textFill>
              </w:rPr>
              <w:t>废物产生量</w:t>
            </w:r>
            <w:r>
              <w:rPr>
                <w:rFonts w:hint="eastAsia"/>
                <w:color w:val="000000" w:themeColor="text1"/>
                <w:sz w:val="24"/>
                <w:szCs w:val="24"/>
                <w:highlight w:val="none"/>
                <w:lang w:val="en-US" w:eastAsia="zh-CN"/>
                <w14:textFill>
                  <w14:solidFill>
                    <w14:schemeClr w14:val="tx1"/>
                  </w14:solidFill>
                </w14:textFill>
              </w:rPr>
              <w:t>约为3</w:t>
            </w:r>
            <w:r>
              <w:rPr>
                <w:color w:val="000000" w:themeColor="text1"/>
                <w:sz w:val="24"/>
                <w:szCs w:val="24"/>
                <w:highlight w:val="none"/>
                <w14:textFill>
                  <w14:solidFill>
                    <w14:schemeClr w14:val="tx1"/>
                  </w14:solidFill>
                </w14:textFill>
              </w:rPr>
              <w:t>t/a，</w:t>
            </w:r>
            <w:r>
              <w:rPr>
                <w:rFonts w:hint="eastAsia"/>
                <w:color w:val="000000" w:themeColor="text1"/>
                <w:sz w:val="24"/>
                <w:szCs w:val="24"/>
                <w:highlight w:val="none"/>
                <w:lang w:val="en-US" w:eastAsia="zh-CN"/>
                <w14:textFill>
                  <w14:solidFill>
                    <w14:schemeClr w14:val="tx1"/>
                  </w14:solidFill>
                </w14:textFill>
              </w:rPr>
              <w:t>危废间10m</w:t>
            </w:r>
            <w:r>
              <w:rPr>
                <w:rFonts w:hint="eastAsia"/>
                <w:color w:val="000000" w:themeColor="text1"/>
                <w:sz w:val="24"/>
                <w:szCs w:val="24"/>
                <w:highlight w:val="none"/>
                <w:vertAlign w:val="superscript"/>
                <w:lang w:val="en-US" w:eastAsia="zh-CN"/>
                <w14:textFill>
                  <w14:solidFill>
                    <w14:schemeClr w14:val="tx1"/>
                  </w14:solidFill>
                </w14:textFill>
              </w:rPr>
              <w:t>2</w:t>
            </w:r>
            <w:r>
              <w:rPr>
                <w:rFonts w:hint="eastAsia"/>
                <w:color w:val="000000" w:themeColor="text1"/>
                <w:sz w:val="24"/>
                <w:szCs w:val="24"/>
                <w:highlight w:val="none"/>
                <w:vertAlign w:val="baseline"/>
                <w:lang w:val="en-US" w:eastAsia="zh-CN"/>
                <w14:textFill>
                  <w14:solidFill>
                    <w14:schemeClr w14:val="tx1"/>
                  </w14:solidFill>
                </w14:textFill>
              </w:rPr>
              <w:t>，最大储存量5t；</w:t>
            </w:r>
            <w:r>
              <w:rPr>
                <w:color w:val="000000" w:themeColor="text1"/>
                <w:sz w:val="24"/>
                <w:szCs w:val="24"/>
                <w:highlight w:val="none"/>
                <w14:textFill>
                  <w14:solidFill>
                    <w14:schemeClr w14:val="tx1"/>
                  </w14:solidFill>
                </w14:textFill>
              </w:rPr>
              <w:t>现有</w:t>
            </w:r>
            <w:r>
              <w:rPr>
                <w:rFonts w:hint="eastAsia"/>
                <w:color w:val="000000" w:themeColor="text1"/>
                <w:sz w:val="24"/>
                <w:szCs w:val="24"/>
                <w:highlight w:val="none"/>
                <w:lang w:val="en-US" w:eastAsia="zh-CN"/>
                <w14:textFill>
                  <w14:solidFill>
                    <w14:schemeClr w14:val="tx1"/>
                  </w14:solidFill>
                </w14:textFill>
              </w:rPr>
              <w:t>危废间</w:t>
            </w:r>
            <w:r>
              <w:rPr>
                <w:color w:val="000000" w:themeColor="text1"/>
                <w:sz w:val="24"/>
                <w:szCs w:val="24"/>
                <w:highlight w:val="none"/>
                <w14:textFill>
                  <w14:solidFill>
                    <w14:schemeClr w14:val="tx1"/>
                  </w14:solidFill>
                </w14:textFill>
              </w:rPr>
              <w:t>能够满足暂存需求。</w:t>
            </w:r>
          </w:p>
          <w:p w14:paraId="2A5C1662">
            <w:pPr>
              <w:pStyle w:val="112"/>
              <w:widowControl w:val="0"/>
              <w:spacing w:before="0" w:beforeLines="0" w:after="0" w:afterLines="0" w:line="360" w:lineRule="auto"/>
              <w:ind w:firstLine="480"/>
              <w:rPr>
                <w:rFonts w:hint="default"/>
                <w:color w:val="auto"/>
                <w:sz w:val="24"/>
                <w:szCs w:val="24"/>
                <w:highlight w:val="none"/>
              </w:rPr>
            </w:pPr>
            <w:r>
              <w:rPr>
                <w:rFonts w:hint="default" w:ascii="Calibri" w:hAnsi="Calibri" w:cs="Calibri"/>
                <w:color w:val="auto"/>
                <w:sz w:val="21"/>
                <w:szCs w:val="21"/>
                <w:highlight w:val="none"/>
              </w:rPr>
              <w:t>②</w:t>
            </w:r>
            <w:r>
              <w:rPr>
                <w:color w:val="auto"/>
                <w:sz w:val="24"/>
                <w:szCs w:val="24"/>
                <w:highlight w:val="none"/>
              </w:rPr>
              <w:t>储存要求</w:t>
            </w:r>
          </w:p>
          <w:p w14:paraId="302332B7">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危险废物在</w:t>
            </w: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储存过程中，不同种类危险废物应分区存放，墙上张贴危废名称，危废包装需完好无破损并系挂危险废物标签，并按照要求填写。设立危险废物贮存管理台账，规范危险废物出入库情况交接记录，记录上须注明危险废物的名称、来源、数量、特性和包装容器的类别、入库日期、存放库位、废物出库日期及接收单位名称，交由具有危险废物处置资质的单位处置。</w:t>
            </w:r>
            <w:r>
              <w:rPr>
                <w:color w:val="auto"/>
                <w:sz w:val="24"/>
                <w:szCs w:val="24"/>
                <w:highlight w:val="none"/>
              </w:rPr>
              <w:t>经对比</w:t>
            </w:r>
            <w:r>
              <w:rPr>
                <w:rFonts w:hint="default"/>
                <w:color w:val="auto"/>
                <w:sz w:val="24"/>
                <w:szCs w:val="24"/>
                <w:highlight w:val="none"/>
              </w:rPr>
              <w:t>项目</w:t>
            </w:r>
            <w:r>
              <w:rPr>
                <w:color w:val="auto"/>
                <w:sz w:val="24"/>
                <w:szCs w:val="24"/>
                <w:highlight w:val="none"/>
              </w:rPr>
              <w:t>危险废物</w:t>
            </w:r>
            <w:r>
              <w:rPr>
                <w:rFonts w:hint="eastAsia"/>
                <w:color w:val="auto"/>
                <w:sz w:val="24"/>
                <w:szCs w:val="24"/>
                <w:highlight w:val="none"/>
                <w:lang w:eastAsia="zh-CN"/>
              </w:rPr>
              <w:t>贮存点</w:t>
            </w:r>
            <w:r>
              <w:rPr>
                <w:color w:val="auto"/>
                <w:sz w:val="24"/>
                <w:szCs w:val="24"/>
                <w:highlight w:val="none"/>
              </w:rPr>
              <w:t>，符合</w:t>
            </w:r>
            <w:r>
              <w:rPr>
                <w:rFonts w:hint="default"/>
                <w:color w:val="auto"/>
                <w:sz w:val="24"/>
                <w:szCs w:val="24"/>
                <w:highlight w:val="none"/>
              </w:rPr>
              <w:t>《危险废物贮存污染控制标准》（GB18597-20</w:t>
            </w:r>
            <w:r>
              <w:rPr>
                <w:color w:val="auto"/>
                <w:sz w:val="24"/>
                <w:szCs w:val="24"/>
                <w:highlight w:val="none"/>
              </w:rPr>
              <w:t>23</w:t>
            </w:r>
            <w:r>
              <w:rPr>
                <w:rFonts w:hint="default"/>
                <w:color w:val="auto"/>
                <w:sz w:val="24"/>
                <w:szCs w:val="24"/>
                <w:highlight w:val="none"/>
              </w:rPr>
              <w:t>）中相关要求，做到</w:t>
            </w:r>
            <w:r>
              <w:rPr>
                <w:color w:val="auto"/>
                <w:sz w:val="24"/>
                <w:szCs w:val="24"/>
                <w:highlight w:val="none"/>
              </w:rPr>
              <w:t>了</w:t>
            </w:r>
            <w:r>
              <w:rPr>
                <w:rFonts w:hint="default"/>
                <w:color w:val="auto"/>
                <w:sz w:val="24"/>
                <w:szCs w:val="24"/>
                <w:highlight w:val="none"/>
              </w:rPr>
              <w:t>防风、防雨、防晒，基础必须防渗，设计堵截</w:t>
            </w:r>
            <w:r>
              <w:rPr>
                <w:color w:val="auto"/>
                <w:sz w:val="24"/>
                <w:szCs w:val="24"/>
                <w:highlight w:val="none"/>
              </w:rPr>
              <w:t>泄漏</w:t>
            </w:r>
            <w:r>
              <w:rPr>
                <w:rFonts w:hint="default"/>
                <w:color w:val="auto"/>
                <w:sz w:val="24"/>
                <w:szCs w:val="24"/>
                <w:highlight w:val="none"/>
              </w:rPr>
              <w:t>的裙角，地面做耐腐蚀、防渗漏处理，渗透系数</w:t>
            </w:r>
            <w:r>
              <w:rPr>
                <w:rFonts w:hint="eastAsia"/>
                <w:color w:val="auto"/>
                <w:sz w:val="24"/>
                <w:szCs w:val="24"/>
                <w:highlight w:val="none"/>
                <w:lang w:val="en-US" w:eastAsia="zh-CN"/>
              </w:rPr>
              <w:t>能</w:t>
            </w:r>
            <w:r>
              <w:rPr>
                <w:rFonts w:hint="default"/>
                <w:color w:val="auto"/>
                <w:sz w:val="24"/>
                <w:szCs w:val="24"/>
                <w:highlight w:val="none"/>
              </w:rPr>
              <w:t>小于1×10</w:t>
            </w:r>
            <w:r>
              <w:rPr>
                <w:rFonts w:hint="default"/>
                <w:color w:val="auto"/>
                <w:sz w:val="24"/>
                <w:szCs w:val="24"/>
                <w:highlight w:val="none"/>
                <w:vertAlign w:val="superscript"/>
              </w:rPr>
              <w:t>-10</w:t>
            </w:r>
            <w:r>
              <w:rPr>
                <w:rFonts w:hint="default"/>
                <w:color w:val="auto"/>
                <w:sz w:val="24"/>
                <w:szCs w:val="24"/>
                <w:highlight w:val="none"/>
              </w:rPr>
              <w:t>cm/s。</w:t>
            </w:r>
          </w:p>
          <w:p w14:paraId="790C2813">
            <w:pPr>
              <w:pStyle w:val="112"/>
              <w:widowControl w:val="0"/>
              <w:spacing w:before="0" w:beforeLines="0" w:after="0" w:afterLines="0" w:line="360" w:lineRule="auto"/>
              <w:ind w:firstLine="480"/>
              <w:rPr>
                <w:rFonts w:hint="default"/>
                <w:color w:val="auto"/>
                <w:sz w:val="24"/>
                <w:szCs w:val="24"/>
                <w:highlight w:val="none"/>
              </w:rPr>
            </w:pPr>
            <w:r>
              <w:rPr>
                <w:rFonts w:hint="eastAsia" w:asciiTheme="minorEastAsia" w:hAnsiTheme="minorEastAsia" w:eastAsiaTheme="minorEastAsia" w:cstheme="minorEastAsia"/>
                <w:color w:val="auto"/>
                <w:sz w:val="24"/>
                <w:szCs w:val="24"/>
                <w:highlight w:val="none"/>
              </w:rPr>
              <w:t>③</w:t>
            </w: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标识要求</w:t>
            </w:r>
          </w:p>
          <w:p w14:paraId="71CA8B4E">
            <w:pPr>
              <w:widowControl/>
              <w:spacing w:line="360" w:lineRule="auto"/>
              <w:ind w:firstLine="480" w:firstLineChars="200"/>
              <w:jc w:val="left"/>
              <w:rPr>
                <w:color w:val="auto"/>
                <w:kern w:val="0"/>
                <w:sz w:val="24"/>
                <w:highlight w:val="none"/>
              </w:rPr>
            </w:pPr>
            <w:r>
              <w:rPr>
                <w:color w:val="auto"/>
                <w:kern w:val="0"/>
                <w:sz w:val="24"/>
                <w:highlight w:val="none"/>
              </w:rPr>
              <w:t>由于项目生产过程中会产生危险废物，按照《危险废物贮存污染控制标准》（GB18597-20</w:t>
            </w:r>
            <w:r>
              <w:rPr>
                <w:rFonts w:hint="eastAsia"/>
                <w:color w:val="auto"/>
                <w:kern w:val="0"/>
                <w:sz w:val="24"/>
                <w:highlight w:val="none"/>
              </w:rPr>
              <w:t>23</w:t>
            </w:r>
            <w:r>
              <w:rPr>
                <w:color w:val="auto"/>
                <w:kern w:val="0"/>
                <w:sz w:val="24"/>
                <w:highlight w:val="none"/>
              </w:rPr>
              <w:t>）</w:t>
            </w:r>
            <w:r>
              <w:rPr>
                <w:rFonts w:hint="eastAsia"/>
                <w:color w:val="auto"/>
                <w:kern w:val="0"/>
                <w:sz w:val="24"/>
                <w:highlight w:val="none"/>
              </w:rPr>
              <w:t>、《</w:t>
            </w:r>
            <w:r>
              <w:rPr>
                <w:color w:val="auto"/>
                <w:kern w:val="0"/>
                <w:sz w:val="24"/>
                <w:highlight w:val="none"/>
              </w:rPr>
              <w:t>危险废物识别标志设置技术规范</w:t>
            </w:r>
            <w:r>
              <w:rPr>
                <w:rFonts w:hint="eastAsia"/>
                <w:color w:val="auto"/>
                <w:kern w:val="0"/>
                <w:sz w:val="24"/>
                <w:highlight w:val="none"/>
              </w:rPr>
              <w:t>》（</w:t>
            </w:r>
            <w:r>
              <w:rPr>
                <w:color w:val="auto"/>
                <w:kern w:val="0"/>
                <w:sz w:val="24"/>
                <w:highlight w:val="none"/>
              </w:rPr>
              <w:t>HJ 1276—2022</w:t>
            </w:r>
            <w:r>
              <w:rPr>
                <w:rFonts w:hint="eastAsia"/>
                <w:color w:val="auto"/>
                <w:kern w:val="0"/>
                <w:sz w:val="24"/>
                <w:highlight w:val="none"/>
              </w:rPr>
              <w:t>）</w:t>
            </w:r>
            <w:r>
              <w:rPr>
                <w:color w:val="auto"/>
                <w:kern w:val="0"/>
                <w:sz w:val="24"/>
                <w:highlight w:val="none"/>
              </w:rPr>
              <w:t>相关规定要求，</w:t>
            </w:r>
            <w:r>
              <w:rPr>
                <w:rFonts w:hint="eastAsia"/>
                <w:color w:val="auto"/>
                <w:kern w:val="0"/>
                <w:sz w:val="24"/>
                <w:highlight w:val="none"/>
              </w:rPr>
              <w:t>危险废物</w:t>
            </w:r>
            <w:r>
              <w:rPr>
                <w:rFonts w:hint="eastAsia"/>
                <w:color w:val="auto"/>
                <w:kern w:val="0"/>
                <w:sz w:val="24"/>
                <w:highlight w:val="none"/>
                <w:lang w:eastAsia="zh-CN"/>
              </w:rPr>
              <w:t>贮存点</w:t>
            </w:r>
            <w:r>
              <w:rPr>
                <w:color w:val="auto"/>
                <w:kern w:val="0"/>
                <w:sz w:val="24"/>
                <w:highlight w:val="none"/>
              </w:rPr>
              <w:t>及危险废物储存容器上需要张贴标签，</w:t>
            </w:r>
            <w:r>
              <w:rPr>
                <w:rFonts w:hint="eastAsia"/>
                <w:color w:val="auto"/>
                <w:kern w:val="0"/>
                <w:sz w:val="24"/>
                <w:highlight w:val="none"/>
              </w:rPr>
              <w:t>总体</w:t>
            </w:r>
            <w:r>
              <w:rPr>
                <w:color w:val="auto"/>
                <w:kern w:val="0"/>
                <w:sz w:val="24"/>
                <w:highlight w:val="none"/>
              </w:rPr>
              <w:t>要求如下：</w:t>
            </w:r>
          </w:p>
          <w:p w14:paraId="6642C962">
            <w:pPr>
              <w:widowControl/>
              <w:numPr>
                <w:ilvl w:val="0"/>
                <w:numId w:val="13"/>
              </w:numPr>
              <w:spacing w:line="360" w:lineRule="auto"/>
              <w:ind w:left="0" w:firstLine="480" w:firstLineChars="200"/>
              <w:jc w:val="left"/>
              <w:rPr>
                <w:color w:val="auto"/>
                <w:kern w:val="0"/>
                <w:sz w:val="24"/>
                <w:highlight w:val="none"/>
              </w:rPr>
            </w:pPr>
            <w:r>
              <w:rPr>
                <w:rFonts w:hint="eastAsia"/>
                <w:color w:val="auto"/>
                <w:kern w:val="0"/>
                <w:sz w:val="24"/>
                <w:highlight w:val="none"/>
              </w:rPr>
              <w:t xml:space="preserve">危险废物识别标志的设置应具有足够的警示性，以提醒相关人员在从事收集、贮存、利用、处置危险废物经营活动时注意防范危险废物的环境风险。 </w:t>
            </w:r>
          </w:p>
          <w:p w14:paraId="51419CDB">
            <w:pPr>
              <w:widowControl/>
              <w:numPr>
                <w:ilvl w:val="0"/>
                <w:numId w:val="13"/>
              </w:numPr>
              <w:spacing w:line="360" w:lineRule="auto"/>
              <w:ind w:left="0" w:firstLine="480" w:firstLineChars="200"/>
              <w:jc w:val="left"/>
              <w:rPr>
                <w:color w:val="auto"/>
                <w:kern w:val="0"/>
                <w:sz w:val="24"/>
                <w:highlight w:val="none"/>
              </w:rPr>
            </w:pPr>
            <w:r>
              <w:rPr>
                <w:rFonts w:hint="eastAsia"/>
                <w:color w:val="auto"/>
                <w:kern w:val="0"/>
                <w:sz w:val="24"/>
                <w:highlight w:val="none"/>
              </w:rPr>
              <w:t xml:space="preserve">危险废物识别标志应设置在醒目的位置，避免被其他固定物体遮挡，并与周边的环境特点相协调。 </w:t>
            </w:r>
          </w:p>
          <w:p w14:paraId="4AF621AB">
            <w:pPr>
              <w:widowControl/>
              <w:numPr>
                <w:ilvl w:val="0"/>
                <w:numId w:val="13"/>
              </w:numPr>
              <w:spacing w:line="360" w:lineRule="auto"/>
              <w:ind w:left="0" w:firstLine="480" w:firstLineChars="200"/>
              <w:jc w:val="left"/>
              <w:rPr>
                <w:color w:val="auto"/>
                <w:kern w:val="0"/>
                <w:sz w:val="24"/>
                <w:highlight w:val="none"/>
              </w:rPr>
            </w:pPr>
            <w:r>
              <w:rPr>
                <w:rFonts w:hint="eastAsia"/>
                <w:color w:val="auto"/>
                <w:kern w:val="0"/>
                <w:sz w:val="24"/>
                <w:highlight w:val="none"/>
              </w:rPr>
              <w:t xml:space="preserve">危险废物识别标志与其他标志宜保持视觉上的分离。危险废物识别标志与其他标志相近设置时，宜确保危险废物识别标志在视觉上的识别和信息的读取不受其他标志的影响。 </w:t>
            </w:r>
          </w:p>
          <w:p w14:paraId="5800970E">
            <w:pPr>
              <w:widowControl/>
              <w:numPr>
                <w:ilvl w:val="0"/>
                <w:numId w:val="13"/>
              </w:numPr>
              <w:spacing w:line="360" w:lineRule="auto"/>
              <w:ind w:left="0" w:firstLine="480" w:firstLineChars="200"/>
              <w:jc w:val="left"/>
              <w:rPr>
                <w:color w:val="auto"/>
                <w:kern w:val="0"/>
                <w:sz w:val="24"/>
                <w:highlight w:val="none"/>
              </w:rPr>
            </w:pPr>
            <w:r>
              <w:rPr>
                <w:rFonts w:hint="eastAsia"/>
                <w:color w:val="auto"/>
                <w:kern w:val="0"/>
                <w:sz w:val="24"/>
                <w:highlight w:val="none"/>
              </w:rPr>
              <w:t xml:space="preserve">同一场所内，同一种类危险废物识别标志的尺寸、设置位置、设置方式和设置高度等宜保持一致。 </w:t>
            </w:r>
          </w:p>
          <w:p w14:paraId="66A7CBC5">
            <w:pPr>
              <w:widowControl/>
              <w:numPr>
                <w:ilvl w:val="0"/>
                <w:numId w:val="13"/>
              </w:numPr>
              <w:spacing w:line="360" w:lineRule="auto"/>
              <w:ind w:left="0" w:firstLine="480" w:firstLineChars="200"/>
              <w:jc w:val="left"/>
              <w:rPr>
                <w:color w:val="auto"/>
                <w:kern w:val="0"/>
                <w:sz w:val="24"/>
                <w:highlight w:val="none"/>
              </w:rPr>
            </w:pPr>
            <w:r>
              <w:rPr>
                <w:rFonts w:hint="eastAsia"/>
                <w:color w:val="auto"/>
                <w:kern w:val="0"/>
                <w:sz w:val="24"/>
                <w:highlight w:val="none"/>
              </w:rPr>
              <w:t xml:space="preserve">危险废物识别标志的设置除应满足本标准的要求外，还应执行国家安全生产、消防等有关法律、法规和标准的要求。 </w:t>
            </w:r>
          </w:p>
          <w:p w14:paraId="3E33F983">
            <w:pPr>
              <w:widowControl/>
              <w:spacing w:line="360" w:lineRule="auto"/>
              <w:ind w:firstLine="480" w:firstLineChars="200"/>
              <w:jc w:val="left"/>
              <w:rPr>
                <w:color w:val="auto"/>
                <w:kern w:val="0"/>
                <w:sz w:val="24"/>
                <w:highlight w:val="none"/>
              </w:rPr>
            </w:pPr>
            <w:r>
              <w:rPr>
                <w:rFonts w:hint="eastAsia"/>
                <w:color w:val="auto"/>
                <w:kern w:val="0"/>
                <w:sz w:val="24"/>
                <w:highlight w:val="none"/>
              </w:rPr>
              <w:t>标签、贮存、分区等严格按照《</w:t>
            </w:r>
            <w:r>
              <w:rPr>
                <w:color w:val="auto"/>
                <w:kern w:val="0"/>
                <w:sz w:val="24"/>
                <w:highlight w:val="none"/>
              </w:rPr>
              <w:t>危险废物识别标志设置技术规范</w:t>
            </w:r>
            <w:r>
              <w:rPr>
                <w:rFonts w:hint="eastAsia"/>
                <w:color w:val="auto"/>
                <w:kern w:val="0"/>
                <w:sz w:val="24"/>
                <w:highlight w:val="none"/>
              </w:rPr>
              <w:t>》（</w:t>
            </w:r>
            <w:r>
              <w:rPr>
                <w:color w:val="auto"/>
                <w:kern w:val="0"/>
                <w:sz w:val="24"/>
                <w:highlight w:val="none"/>
              </w:rPr>
              <w:t>HJ 1276—2022</w:t>
            </w:r>
            <w:r>
              <w:rPr>
                <w:rFonts w:hint="eastAsia"/>
                <w:color w:val="auto"/>
                <w:kern w:val="0"/>
                <w:sz w:val="24"/>
                <w:highlight w:val="none"/>
              </w:rPr>
              <w:t>）</w:t>
            </w:r>
            <w:r>
              <w:rPr>
                <w:color w:val="auto"/>
                <w:kern w:val="0"/>
                <w:sz w:val="24"/>
                <w:highlight w:val="none"/>
              </w:rPr>
              <w:t>相关规定要求</w:t>
            </w:r>
            <w:r>
              <w:rPr>
                <w:rFonts w:hint="eastAsia"/>
                <w:color w:val="auto"/>
                <w:kern w:val="0"/>
                <w:sz w:val="24"/>
                <w:highlight w:val="none"/>
              </w:rPr>
              <w:t>执行。</w:t>
            </w:r>
          </w:p>
          <w:p w14:paraId="6496DC65">
            <w:pPr>
              <w:pStyle w:val="112"/>
              <w:widowControl w:val="0"/>
              <w:spacing w:before="0" w:beforeLines="0" w:after="0" w:afterLines="0" w:line="360" w:lineRule="auto"/>
              <w:ind w:firstLine="480"/>
              <w:rPr>
                <w:rFonts w:hint="default"/>
                <w:color w:val="auto"/>
                <w:sz w:val="24"/>
                <w:szCs w:val="24"/>
                <w:highlight w:val="none"/>
              </w:rPr>
            </w:pPr>
            <w:r>
              <w:rPr>
                <w:rFonts w:hint="eastAsia" w:asciiTheme="minorEastAsia" w:hAnsiTheme="minorEastAsia" w:eastAsiaTheme="minorEastAsia" w:cstheme="minorEastAsia"/>
                <w:color w:val="auto"/>
                <w:sz w:val="24"/>
                <w:szCs w:val="24"/>
                <w:highlight w:val="none"/>
              </w:rPr>
              <w:t>④</w:t>
            </w:r>
            <w:r>
              <w:rPr>
                <w:rFonts w:hint="default"/>
                <w:color w:val="auto"/>
                <w:sz w:val="24"/>
                <w:szCs w:val="24"/>
                <w:highlight w:val="none"/>
              </w:rPr>
              <w:t>危险废物运输过程中环境管理要求</w:t>
            </w:r>
          </w:p>
          <w:p w14:paraId="0EC203F1">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的危废定期由有资质的单位进行收集处置，届时有资质的危险废物处置单位会采用专门的危险废物运输车进厂进行收集装车运输至指定场所处置，场外运输车辆由有资质的单位车辆进行运输。</w:t>
            </w:r>
          </w:p>
          <w:p w14:paraId="7C6F2888">
            <w:pPr>
              <w:pStyle w:val="112"/>
              <w:widowControl w:val="0"/>
              <w:spacing w:before="0" w:beforeLines="0" w:after="0" w:afterLines="0" w:line="360" w:lineRule="auto"/>
              <w:ind w:firstLine="480"/>
              <w:rPr>
                <w:rFonts w:hint="default"/>
                <w:color w:val="auto"/>
                <w:sz w:val="24"/>
                <w:szCs w:val="24"/>
                <w:highlight w:val="none"/>
              </w:rPr>
            </w:pPr>
            <w:r>
              <w:rPr>
                <w:rFonts w:hint="eastAsia" w:asciiTheme="minorEastAsia" w:hAnsiTheme="minorEastAsia" w:eastAsiaTheme="minorEastAsia" w:cstheme="minorEastAsia"/>
                <w:color w:val="auto"/>
                <w:sz w:val="24"/>
                <w:szCs w:val="24"/>
                <w:highlight w:val="none"/>
              </w:rPr>
              <w:t>⑤</w:t>
            </w:r>
            <w:r>
              <w:rPr>
                <w:rFonts w:hint="default"/>
                <w:color w:val="auto"/>
                <w:sz w:val="24"/>
                <w:szCs w:val="24"/>
                <w:highlight w:val="none"/>
              </w:rPr>
              <w:t>危险废物暂存要求</w:t>
            </w:r>
          </w:p>
          <w:p w14:paraId="01A809E8">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技改项目依托现有工程</w:t>
            </w:r>
            <w:r>
              <w:rPr>
                <w:rFonts w:hint="eastAsia"/>
                <w:color w:val="auto"/>
                <w:sz w:val="24"/>
                <w:szCs w:val="24"/>
                <w:highlight w:val="none"/>
                <w:lang w:val="en-US" w:eastAsia="zh-CN"/>
              </w:rPr>
              <w:t>危废间</w:t>
            </w:r>
            <w:r>
              <w:rPr>
                <w:rFonts w:hint="default"/>
                <w:color w:val="auto"/>
                <w:sz w:val="24"/>
                <w:szCs w:val="24"/>
                <w:highlight w:val="none"/>
              </w:rPr>
              <w:t>，占地面积</w:t>
            </w:r>
            <w:r>
              <w:rPr>
                <w:rFonts w:hint="eastAsia"/>
                <w:color w:val="auto"/>
                <w:sz w:val="24"/>
                <w:szCs w:val="24"/>
                <w:highlight w:val="none"/>
                <w:lang w:val="en-US" w:eastAsia="zh-CN"/>
              </w:rPr>
              <w:t>1</w:t>
            </w:r>
            <w:r>
              <w:rPr>
                <w:color w:val="auto"/>
                <w:sz w:val="24"/>
                <w:szCs w:val="24"/>
                <w:highlight w:val="none"/>
              </w:rPr>
              <w:t>0</w:t>
            </w:r>
            <w:r>
              <w:rPr>
                <w:rFonts w:hint="default"/>
                <w:color w:val="auto"/>
                <w:sz w:val="24"/>
                <w:szCs w:val="24"/>
                <w:highlight w:val="none"/>
              </w:rPr>
              <w:t>m</w:t>
            </w:r>
            <w:r>
              <w:rPr>
                <w:rFonts w:hint="default"/>
                <w:color w:val="auto"/>
                <w:sz w:val="24"/>
                <w:szCs w:val="24"/>
                <w:highlight w:val="none"/>
                <w:vertAlign w:val="superscript"/>
              </w:rPr>
              <w:t>2</w:t>
            </w:r>
            <w:r>
              <w:rPr>
                <w:rFonts w:hint="default"/>
                <w:color w:val="auto"/>
                <w:sz w:val="24"/>
                <w:szCs w:val="24"/>
                <w:highlight w:val="none"/>
              </w:rPr>
              <w:t>，</w:t>
            </w:r>
            <w:r>
              <w:rPr>
                <w:color w:val="000000" w:themeColor="text1"/>
                <w:sz w:val="24"/>
                <w:szCs w:val="24"/>
                <w:highlight w:val="none"/>
                <w14:textFill>
                  <w14:solidFill>
                    <w14:schemeClr w14:val="tx1"/>
                  </w14:solidFill>
                </w14:textFill>
              </w:rPr>
              <w:t>技改完成后危险废物产生量</w:t>
            </w:r>
            <w:r>
              <w:rPr>
                <w:rFonts w:hint="eastAsia"/>
                <w:color w:val="000000" w:themeColor="text1"/>
                <w:sz w:val="24"/>
                <w:szCs w:val="24"/>
                <w:highlight w:val="none"/>
                <w:lang w:val="en-US" w:eastAsia="zh-CN"/>
                <w14:textFill>
                  <w14:solidFill>
                    <w14:schemeClr w14:val="tx1"/>
                  </w14:solidFill>
                </w14:textFill>
              </w:rPr>
              <w:t>约</w:t>
            </w:r>
            <w:r>
              <w:rPr>
                <w:color w:val="000000" w:themeColor="text1"/>
                <w:sz w:val="24"/>
                <w:szCs w:val="24"/>
                <w:highlight w:val="none"/>
                <w14:textFill>
                  <w14:solidFill>
                    <w14:schemeClr w14:val="tx1"/>
                  </w14:solidFill>
                </w14:textFill>
              </w:rPr>
              <w:t>为</w:t>
            </w:r>
            <w:r>
              <w:rPr>
                <w:rFonts w:hint="eastAsia"/>
                <w:color w:val="000000" w:themeColor="text1"/>
                <w:sz w:val="24"/>
                <w:szCs w:val="24"/>
                <w:highlight w:val="none"/>
                <w:lang w:val="en-US" w:eastAsia="zh-CN"/>
                <w14:textFill>
                  <w14:solidFill>
                    <w14:schemeClr w14:val="tx1"/>
                  </w14:solidFill>
                </w14:textFill>
              </w:rPr>
              <w:t>3</w:t>
            </w:r>
            <w:r>
              <w:rPr>
                <w:color w:val="000000" w:themeColor="text1"/>
                <w:sz w:val="24"/>
                <w:szCs w:val="24"/>
                <w:highlight w:val="none"/>
                <w14:textFill>
                  <w14:solidFill>
                    <w14:schemeClr w14:val="tx1"/>
                  </w14:solidFill>
                </w14:textFill>
              </w:rPr>
              <w:t>t/a，能够满足贮存需求</w:t>
            </w:r>
            <w:r>
              <w:rPr>
                <w:rFonts w:hint="default"/>
                <w:color w:val="000000" w:themeColor="text1"/>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危险废物</w:t>
            </w:r>
            <w:r>
              <w:rPr>
                <w:rFonts w:hint="eastAsia"/>
                <w:color w:val="000000" w:themeColor="text1"/>
                <w:sz w:val="24"/>
                <w:szCs w:val="24"/>
                <w:highlight w:val="none"/>
                <w:lang w:eastAsia="zh-CN"/>
                <w14:textFill>
                  <w14:solidFill>
                    <w14:schemeClr w14:val="tx1"/>
                  </w14:solidFill>
                </w14:textFill>
              </w:rPr>
              <w:t>贮存点</w:t>
            </w:r>
            <w:r>
              <w:rPr>
                <w:rFonts w:hint="default"/>
                <w:color w:val="000000" w:themeColor="text1"/>
                <w:sz w:val="24"/>
                <w:szCs w:val="24"/>
                <w:highlight w:val="none"/>
                <w14:textFill>
                  <w14:solidFill>
                    <w14:schemeClr w14:val="tx1"/>
                  </w14:solidFill>
                </w14:textFill>
              </w:rPr>
              <w:t>属于重点防</w:t>
            </w:r>
            <w:r>
              <w:rPr>
                <w:rFonts w:hint="default"/>
                <w:color w:val="auto"/>
                <w:sz w:val="24"/>
                <w:szCs w:val="24"/>
                <w:highlight w:val="none"/>
              </w:rPr>
              <w:t>渗区，</w:t>
            </w:r>
            <w:r>
              <w:rPr>
                <w:rFonts w:hint="eastAsia"/>
                <w:color w:val="auto"/>
                <w:sz w:val="24"/>
                <w:szCs w:val="24"/>
                <w:highlight w:val="none"/>
                <w:lang w:val="en-US" w:eastAsia="zh-CN"/>
              </w:rPr>
              <w:t>已</w:t>
            </w:r>
            <w:r>
              <w:rPr>
                <w:rFonts w:hint="default"/>
                <w:color w:val="auto"/>
                <w:sz w:val="24"/>
                <w:szCs w:val="24"/>
                <w:highlight w:val="none"/>
              </w:rPr>
              <w:t>采取</w:t>
            </w:r>
            <w:r>
              <w:rPr>
                <w:color w:val="auto"/>
                <w:sz w:val="24"/>
                <w:szCs w:val="24"/>
                <w:highlight w:val="none"/>
              </w:rPr>
              <w:t>了“</w:t>
            </w:r>
            <w:r>
              <w:rPr>
                <w:rFonts w:hint="default"/>
                <w:color w:val="auto"/>
                <w:sz w:val="24"/>
                <w:szCs w:val="24"/>
                <w:highlight w:val="none"/>
              </w:rPr>
              <w:t>三合土+水泥+环氧树脂</w:t>
            </w:r>
            <w:r>
              <w:rPr>
                <w:color w:val="auto"/>
                <w:sz w:val="24"/>
                <w:szCs w:val="24"/>
                <w:highlight w:val="none"/>
              </w:rPr>
              <w:t>”</w:t>
            </w:r>
            <w:r>
              <w:rPr>
                <w:rFonts w:hint="default"/>
                <w:color w:val="auto"/>
                <w:sz w:val="24"/>
                <w:szCs w:val="24"/>
                <w:highlight w:val="none"/>
              </w:rPr>
              <w:t>防渗措施，渗透系数小于1×10</w:t>
            </w:r>
            <w:r>
              <w:rPr>
                <w:rFonts w:hint="default"/>
                <w:color w:val="auto"/>
                <w:sz w:val="24"/>
                <w:szCs w:val="24"/>
                <w:highlight w:val="none"/>
                <w:vertAlign w:val="superscript"/>
              </w:rPr>
              <w:t>-10</w:t>
            </w:r>
            <w:r>
              <w:rPr>
                <w:rFonts w:hint="default"/>
                <w:color w:val="auto"/>
                <w:sz w:val="24"/>
                <w:szCs w:val="24"/>
                <w:highlight w:val="none"/>
              </w:rPr>
              <w:t>cm/s；</w:t>
            </w: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密闭，大门设双锁，设计堵截</w:t>
            </w:r>
            <w:r>
              <w:rPr>
                <w:color w:val="auto"/>
                <w:sz w:val="24"/>
                <w:szCs w:val="24"/>
                <w:highlight w:val="none"/>
              </w:rPr>
              <w:t>泄漏</w:t>
            </w:r>
            <w:r>
              <w:rPr>
                <w:rFonts w:hint="default"/>
                <w:color w:val="auto"/>
                <w:sz w:val="24"/>
                <w:szCs w:val="24"/>
                <w:highlight w:val="none"/>
              </w:rPr>
              <w:t>的裙脚，地面与裙脚所围容积不低于堵截容积的最大储量，并设</w:t>
            </w:r>
            <w:r>
              <w:rPr>
                <w:color w:val="auto"/>
                <w:sz w:val="24"/>
                <w:szCs w:val="24"/>
                <w:highlight w:val="none"/>
              </w:rPr>
              <w:t>泄漏</w:t>
            </w:r>
            <w:r>
              <w:rPr>
                <w:rFonts w:hint="default"/>
                <w:color w:val="auto"/>
                <w:sz w:val="24"/>
                <w:szCs w:val="24"/>
                <w:highlight w:val="none"/>
              </w:rPr>
              <w:t>液体收集装置。</w:t>
            </w: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设立危险废物警示标志，由专人进行管理，做好危险废物产生量及处置记录。</w:t>
            </w:r>
            <w:r>
              <w:rPr>
                <w:color w:val="auto"/>
                <w:sz w:val="24"/>
                <w:szCs w:val="24"/>
                <w:highlight w:val="none"/>
              </w:rPr>
              <w:t>危险废物</w:t>
            </w:r>
            <w:r>
              <w:rPr>
                <w:rFonts w:hint="eastAsia"/>
                <w:color w:val="auto"/>
                <w:sz w:val="24"/>
                <w:szCs w:val="24"/>
                <w:highlight w:val="none"/>
                <w:lang w:eastAsia="zh-CN"/>
              </w:rPr>
              <w:t>贮存点</w:t>
            </w:r>
            <w:r>
              <w:rPr>
                <w:rFonts w:hint="default"/>
                <w:color w:val="auto"/>
                <w:sz w:val="24"/>
                <w:szCs w:val="24"/>
                <w:highlight w:val="none"/>
              </w:rPr>
              <w:t>贮存能力可以满足</w:t>
            </w:r>
            <w:r>
              <w:rPr>
                <w:color w:val="auto"/>
                <w:sz w:val="24"/>
                <w:szCs w:val="24"/>
                <w:highlight w:val="none"/>
              </w:rPr>
              <w:t>整体工程</w:t>
            </w:r>
            <w:r>
              <w:rPr>
                <w:rFonts w:hint="default"/>
                <w:color w:val="auto"/>
                <w:sz w:val="24"/>
                <w:szCs w:val="24"/>
                <w:highlight w:val="none"/>
              </w:rPr>
              <w:t>危险废物贮存要求。</w:t>
            </w:r>
          </w:p>
          <w:p w14:paraId="0DD3C6AC">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技改项目</w:t>
            </w:r>
            <w:r>
              <w:rPr>
                <w:rFonts w:hint="default"/>
                <w:color w:val="auto"/>
                <w:sz w:val="24"/>
                <w:szCs w:val="24"/>
                <w:highlight w:val="none"/>
              </w:rPr>
              <w:t>建成后产生的固体废物均采取了可行的处置措施，对周边环境保护目标影响较小，不会造成二次污染。</w:t>
            </w:r>
          </w:p>
          <w:p w14:paraId="0AB1BA98">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w:t>
            </w:r>
            <w:r>
              <w:rPr>
                <w:rFonts w:hint="eastAsia"/>
                <w:color w:val="auto"/>
                <w:sz w:val="24"/>
                <w:szCs w:val="24"/>
                <w:highlight w:val="none"/>
                <w:lang w:val="en-US" w:eastAsia="zh-CN"/>
              </w:rPr>
              <w:t>3</w:t>
            </w:r>
            <w:r>
              <w:rPr>
                <w:rFonts w:hint="default"/>
                <w:color w:val="auto"/>
                <w:sz w:val="24"/>
                <w:szCs w:val="24"/>
                <w:highlight w:val="none"/>
              </w:rPr>
              <w:t>）结论</w:t>
            </w:r>
          </w:p>
          <w:p w14:paraId="681FF57F">
            <w:pPr>
              <w:pStyle w:val="30"/>
              <w:keepNext w:val="0"/>
              <w:keepLines w:val="0"/>
              <w:pageBreakBefore w:val="0"/>
              <w:kinsoku/>
              <w:wordWrap/>
              <w:overflowPunct/>
              <w:topLinePunct w:val="0"/>
              <w:autoSpaceDE/>
              <w:autoSpaceDN/>
              <w:bidi w:val="0"/>
              <w:adjustRightInd/>
              <w:snapToGrid/>
              <w:spacing w:before="0" w:beforeAutospacing="0" w:after="0" w:afterAutospacing="0" w:line="360" w:lineRule="auto"/>
              <w:ind w:firstLine="480" w:firstLineChars="200"/>
              <w:textAlignment w:val="auto"/>
              <w:outlineLvl w:val="0"/>
              <w:rPr>
                <w:rFonts w:hint="default" w:ascii="黑体" w:hAnsi="黑体" w:eastAsia="黑体"/>
                <w:snapToGrid w:val="0"/>
                <w:color w:val="auto"/>
                <w:szCs w:val="24"/>
                <w:highlight w:val="none"/>
                <w:lang w:val="en-US"/>
              </w:rPr>
            </w:pPr>
            <w:bookmarkStart w:id="14" w:name="_Toc28403"/>
            <w:r>
              <w:rPr>
                <w:color w:val="auto"/>
                <w:szCs w:val="24"/>
                <w:highlight w:val="none"/>
              </w:rPr>
              <w:t>在严格按照固体废物管理办法，确保固体废物在中转、运输和综合利用的过程中不造成二次污染的情况下，加强生产管理。项目各种固体废物均得到了妥善处置和综合利用，不会对周围环境产生不良影响</w:t>
            </w:r>
            <w:bookmarkEnd w:id="14"/>
            <w:r>
              <w:rPr>
                <w:rFonts w:hint="eastAsia" w:ascii="Times New Roman" w:hAnsi="Times New Roman" w:cs="Times New Roman"/>
                <w:color w:val="auto"/>
                <w:kern w:val="2"/>
                <w:sz w:val="24"/>
                <w:szCs w:val="24"/>
                <w:highlight w:val="none"/>
                <w:lang w:val="en-US" w:eastAsia="zh-CN" w:bidi="ar-SA"/>
              </w:rPr>
              <w:t>。</w:t>
            </w:r>
          </w:p>
          <w:p w14:paraId="42010A88">
            <w:pPr>
              <w:pStyle w:val="3"/>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default" w:ascii="Times New Roman" w:hAnsi="Times New Roman" w:eastAsia="宋体" w:cs="Times New Roman"/>
                <w:b/>
                <w:bCs/>
                <w:i w:val="0"/>
                <w:iCs w:val="0"/>
                <w:color w:val="auto"/>
                <w:sz w:val="24"/>
                <w:szCs w:val="24"/>
                <w:highlight w:val="none"/>
                <w:lang w:val="en-US" w:eastAsia="zh-CN"/>
              </w:rPr>
            </w:pPr>
            <w:r>
              <w:rPr>
                <w:rFonts w:hint="default" w:ascii="Times New Roman" w:hAnsi="Times New Roman" w:eastAsia="宋体" w:cs="Times New Roman"/>
                <w:b/>
                <w:bCs/>
                <w:i w:val="0"/>
                <w:iCs w:val="0"/>
                <w:color w:val="auto"/>
                <w:sz w:val="24"/>
                <w:szCs w:val="24"/>
                <w:highlight w:val="none"/>
                <w:lang w:val="en-US" w:eastAsia="zh-CN"/>
              </w:rPr>
              <w:t>五、地下水、土壤</w:t>
            </w:r>
          </w:p>
          <w:p w14:paraId="6446BF15">
            <w:pPr>
              <w:pStyle w:val="112"/>
              <w:widowControl w:val="0"/>
              <w:spacing w:before="0" w:beforeLines="0" w:after="0" w:afterLines="0" w:line="360" w:lineRule="auto"/>
              <w:ind w:firstLine="480"/>
              <w:rPr>
                <w:rFonts w:hint="default"/>
                <w:color w:val="auto"/>
                <w:sz w:val="24"/>
                <w:szCs w:val="24"/>
                <w:highlight w:val="none"/>
              </w:rPr>
            </w:pPr>
            <w:r>
              <w:rPr>
                <w:color w:val="auto"/>
                <w:sz w:val="24"/>
                <w:szCs w:val="24"/>
                <w:highlight w:val="none"/>
              </w:rPr>
              <w:t>技改项目</w:t>
            </w:r>
            <w:r>
              <w:rPr>
                <w:rFonts w:hint="eastAsia"/>
                <w:color w:val="auto"/>
                <w:sz w:val="24"/>
                <w:szCs w:val="24"/>
                <w:highlight w:val="none"/>
                <w:lang w:val="en-US" w:eastAsia="zh-CN"/>
              </w:rPr>
              <w:t>有可能造成</w:t>
            </w:r>
            <w:r>
              <w:rPr>
                <w:rFonts w:hint="default"/>
                <w:color w:val="auto"/>
                <w:sz w:val="24"/>
                <w:szCs w:val="24"/>
                <w:highlight w:val="none"/>
              </w:rPr>
              <w:t>地下水、土壤污染，</w:t>
            </w:r>
            <w:r>
              <w:rPr>
                <w:rFonts w:hint="eastAsia"/>
                <w:color w:val="auto"/>
                <w:sz w:val="24"/>
                <w:szCs w:val="24"/>
                <w:highlight w:val="none"/>
                <w:lang w:val="en-US" w:eastAsia="zh-CN"/>
              </w:rPr>
              <w:t>需</w:t>
            </w:r>
            <w:r>
              <w:rPr>
                <w:rFonts w:hint="default"/>
                <w:color w:val="auto"/>
                <w:sz w:val="24"/>
                <w:szCs w:val="24"/>
                <w:highlight w:val="none"/>
              </w:rPr>
              <w:t>对相关防渗措施进行分析</w:t>
            </w:r>
            <w:r>
              <w:rPr>
                <w:color w:val="auto"/>
                <w:sz w:val="24"/>
                <w:szCs w:val="24"/>
                <w:highlight w:val="none"/>
              </w:rPr>
              <w:t>，</w:t>
            </w:r>
            <w:r>
              <w:rPr>
                <w:rFonts w:hint="default"/>
                <w:color w:val="auto"/>
                <w:sz w:val="24"/>
                <w:szCs w:val="24"/>
                <w:highlight w:val="none"/>
              </w:rPr>
              <w:t>地下水及土壤污染源主要为</w:t>
            </w:r>
            <w:r>
              <w:rPr>
                <w:rFonts w:hint="eastAsia"/>
                <w:color w:val="auto"/>
                <w:sz w:val="24"/>
                <w:szCs w:val="24"/>
                <w:highlight w:val="none"/>
                <w:lang w:eastAsia="zh-CN"/>
              </w:rPr>
              <w:t>危险废物贮存点</w:t>
            </w:r>
            <w:r>
              <w:rPr>
                <w:color w:val="auto"/>
                <w:sz w:val="24"/>
                <w:szCs w:val="24"/>
                <w:highlight w:val="none"/>
              </w:rPr>
              <w:t>、重油垢清洗剂及防锈剂储存场所</w:t>
            </w:r>
            <w:r>
              <w:rPr>
                <w:rFonts w:hint="default"/>
                <w:color w:val="auto"/>
                <w:sz w:val="24"/>
                <w:szCs w:val="24"/>
                <w:highlight w:val="none"/>
              </w:rPr>
              <w:t>，污染途径主要为</w:t>
            </w:r>
            <w:r>
              <w:rPr>
                <w:color w:val="auto"/>
                <w:sz w:val="24"/>
                <w:szCs w:val="24"/>
                <w:highlight w:val="none"/>
              </w:rPr>
              <w:t>危险废物</w:t>
            </w:r>
            <w:r>
              <w:rPr>
                <w:rFonts w:hint="eastAsia"/>
                <w:color w:val="auto"/>
                <w:sz w:val="24"/>
                <w:szCs w:val="24"/>
                <w:highlight w:val="none"/>
                <w:lang w:val="en-US" w:eastAsia="zh-CN"/>
              </w:rPr>
              <w:t>及废水</w:t>
            </w:r>
            <w:r>
              <w:rPr>
                <w:rFonts w:hint="default"/>
                <w:color w:val="auto"/>
                <w:sz w:val="24"/>
                <w:szCs w:val="24"/>
                <w:highlight w:val="none"/>
              </w:rPr>
              <w:t>跑、冒、滴、漏</w:t>
            </w:r>
            <w:r>
              <w:rPr>
                <w:color w:val="auto"/>
                <w:sz w:val="24"/>
                <w:szCs w:val="24"/>
                <w:highlight w:val="none"/>
              </w:rPr>
              <w:t>，</w:t>
            </w:r>
            <w:r>
              <w:rPr>
                <w:rFonts w:hint="default"/>
                <w:color w:val="auto"/>
                <w:sz w:val="24"/>
                <w:szCs w:val="24"/>
                <w:highlight w:val="none"/>
              </w:rPr>
              <w:t>污染物经土层的渗漏，通过包气带进入含水层导致对地下水及土壤的污染。为了保护地下水资源，确保区域地下水源的水质及土壤环境不受污染，该项目采取的主要防渗措施如下</w:t>
            </w:r>
            <w:r>
              <w:rPr>
                <w:color w:val="auto"/>
                <w:sz w:val="24"/>
                <w:szCs w:val="24"/>
                <w:highlight w:val="none"/>
              </w:rPr>
              <w:t>：</w:t>
            </w:r>
          </w:p>
          <w:p w14:paraId="3B130C60">
            <w:pPr>
              <w:pStyle w:val="112"/>
              <w:widowControl w:val="0"/>
              <w:spacing w:before="0" w:beforeLines="0" w:after="0" w:afterLines="0" w:line="360" w:lineRule="auto"/>
              <w:ind w:firstLine="480"/>
              <w:rPr>
                <w:rFonts w:hint="default" w:ascii="Times New Roman" w:hAnsi="Times New Roman" w:eastAsia="宋体" w:cs="Times New Roman"/>
                <w:color w:val="auto"/>
                <w:sz w:val="24"/>
                <w:szCs w:val="24"/>
                <w:highlight w:val="none"/>
                <w:lang w:val="en-US" w:eastAsia="zh-CN"/>
              </w:rPr>
            </w:pPr>
            <w:r>
              <w:rPr>
                <w:rFonts w:hint="eastAsia"/>
                <w:color w:val="auto"/>
                <w:sz w:val="24"/>
                <w:szCs w:val="24"/>
                <w:highlight w:val="none"/>
                <w:lang w:val="en-US" w:eastAsia="zh-CN"/>
              </w:rPr>
              <w:t>技改项目涉及的重点防渗区：清洗烘干设备所在区域、</w:t>
            </w:r>
            <w:r>
              <w:rPr>
                <w:color w:val="auto"/>
                <w:sz w:val="24"/>
                <w:szCs w:val="24"/>
                <w:highlight w:val="none"/>
              </w:rPr>
              <w:t>重油垢清洗剂及防锈剂储存场所（油漆库内存放专区）</w:t>
            </w:r>
            <w:r>
              <w:rPr>
                <w:rFonts w:hint="eastAsia"/>
                <w:color w:val="auto"/>
                <w:sz w:val="24"/>
                <w:szCs w:val="24"/>
                <w:highlight w:val="none"/>
                <w:lang w:val="en-US" w:eastAsia="zh-CN"/>
              </w:rPr>
              <w:t>、危险废物贮存点</w:t>
            </w:r>
            <w:r>
              <w:rPr>
                <w:rFonts w:hint="eastAsia"/>
                <w:color w:val="auto"/>
                <w:sz w:val="24"/>
                <w:szCs w:val="24"/>
                <w:highlight w:val="none"/>
                <w:lang w:eastAsia="zh-CN"/>
              </w:rPr>
              <w:t>；</w:t>
            </w:r>
            <w:r>
              <w:rPr>
                <w:rFonts w:hint="eastAsia"/>
                <w:color w:val="auto"/>
                <w:sz w:val="24"/>
                <w:szCs w:val="24"/>
                <w:highlight w:val="none"/>
                <w:lang w:val="en-US" w:eastAsia="zh-CN"/>
              </w:rPr>
              <w:t>经现场调查清洗烘干设备所在区域</w:t>
            </w:r>
            <w:r>
              <w:rPr>
                <w:rFonts w:hint="eastAsia" w:cs="Times New Roman"/>
                <w:color w:val="auto"/>
                <w:sz w:val="24"/>
                <w:szCs w:val="24"/>
                <w:highlight w:val="none"/>
                <w:lang w:val="en-US" w:eastAsia="zh-CN"/>
              </w:rPr>
              <w:t>已</w:t>
            </w:r>
            <w:r>
              <w:rPr>
                <w:rFonts w:hint="eastAsia" w:ascii="Times New Roman" w:hAnsi="Times New Roman" w:eastAsia="宋体" w:cs="Times New Roman"/>
                <w:color w:val="auto"/>
                <w:sz w:val="24"/>
                <w:szCs w:val="24"/>
                <w:highlight w:val="none"/>
                <w:lang w:val="en-US" w:eastAsia="zh-CN"/>
              </w:rPr>
              <w:t>进行基础防渗，防渗层为至少</w:t>
            </w:r>
            <w:r>
              <w:rPr>
                <w:rFonts w:hint="default" w:ascii="Times New Roman" w:hAnsi="Times New Roman" w:eastAsia="宋体" w:cs="Times New Roman"/>
                <w:color w:val="auto"/>
                <w:sz w:val="24"/>
                <w:szCs w:val="24"/>
                <w:highlight w:val="none"/>
                <w:lang w:val="en-US" w:eastAsia="zh-CN"/>
              </w:rPr>
              <w:t>1 m</w:t>
            </w:r>
            <w:r>
              <w:rPr>
                <w:rFonts w:hint="eastAsia" w:ascii="Times New Roman" w:hAnsi="Times New Roman" w:eastAsia="宋体" w:cs="Times New Roman"/>
                <w:color w:val="auto"/>
                <w:sz w:val="24"/>
                <w:szCs w:val="24"/>
                <w:highlight w:val="none"/>
                <w:lang w:val="en-US" w:eastAsia="zh-CN"/>
              </w:rPr>
              <w:t>厚黏土层（渗透系数不大于</w:t>
            </w:r>
            <w:r>
              <w:rPr>
                <w:rFonts w:hint="default" w:ascii="Times New Roman" w:hAnsi="Times New Roman" w:eastAsia="宋体" w:cs="Times New Roman"/>
                <w:color w:val="auto"/>
                <w:sz w:val="24"/>
                <w:szCs w:val="24"/>
                <w:highlight w:val="none"/>
                <w:lang w:val="en-US" w:eastAsia="zh-CN"/>
              </w:rPr>
              <w:t xml:space="preserve">10 </w:t>
            </w:r>
            <w:r>
              <w:rPr>
                <w:rFonts w:hint="default" w:ascii="Times New Roman" w:hAnsi="Times New Roman" w:eastAsia="宋体" w:cs="Times New Roman"/>
                <w:color w:val="auto"/>
                <w:sz w:val="24"/>
                <w:szCs w:val="24"/>
                <w:highlight w:val="none"/>
                <w:vertAlign w:val="superscript"/>
                <w:lang w:val="en-US" w:eastAsia="zh-CN"/>
              </w:rPr>
              <w:t xml:space="preserve">-7 </w:t>
            </w:r>
            <w:r>
              <w:rPr>
                <w:rFonts w:hint="default" w:ascii="Times New Roman" w:hAnsi="Times New Roman" w:eastAsia="宋体" w:cs="Times New Roman"/>
                <w:color w:val="auto"/>
                <w:sz w:val="24"/>
                <w:szCs w:val="24"/>
                <w:highlight w:val="none"/>
                <w:lang w:val="en-US" w:eastAsia="zh-CN"/>
              </w:rPr>
              <w:t>cm/s</w:t>
            </w:r>
            <w:r>
              <w:rPr>
                <w:rFonts w:hint="eastAsia" w:ascii="Times New Roman" w:hAnsi="Times New Roman" w:eastAsia="宋体" w:cs="Times New Roman"/>
                <w:color w:val="auto"/>
                <w:sz w:val="24"/>
                <w:szCs w:val="24"/>
                <w:highlight w:val="none"/>
                <w:lang w:val="en-US" w:eastAsia="zh-CN"/>
              </w:rPr>
              <w:t>）。</w:t>
            </w:r>
            <w:r>
              <w:rPr>
                <w:color w:val="auto"/>
                <w:sz w:val="24"/>
                <w:szCs w:val="24"/>
                <w:highlight w:val="none"/>
              </w:rPr>
              <w:t>重油垢清洗剂及防锈剂储存场所（油漆库内存放专区）</w:t>
            </w:r>
            <w:r>
              <w:rPr>
                <w:rFonts w:hint="eastAsia"/>
                <w:color w:val="auto"/>
                <w:sz w:val="24"/>
                <w:szCs w:val="24"/>
                <w:highlight w:val="none"/>
                <w:lang w:val="en-US" w:eastAsia="zh-CN"/>
              </w:rPr>
              <w:t>、危险废物贮存点依托现有工程，经调查</w:t>
            </w:r>
            <w:r>
              <w:rPr>
                <w:color w:val="auto"/>
                <w:sz w:val="24"/>
                <w:szCs w:val="24"/>
                <w:highlight w:val="none"/>
              </w:rPr>
              <w:t>油漆库</w:t>
            </w:r>
            <w:r>
              <w:rPr>
                <w:rFonts w:hint="eastAsia"/>
                <w:color w:val="auto"/>
                <w:sz w:val="24"/>
                <w:szCs w:val="24"/>
                <w:highlight w:val="none"/>
                <w:lang w:val="en-US" w:eastAsia="zh-CN"/>
              </w:rPr>
              <w:t>和危险废物贮存点防渗做法已符合</w:t>
            </w:r>
            <w:r>
              <w:rPr>
                <w:rFonts w:hint="eastAsia" w:ascii="Times New Roman" w:hAnsi="Times New Roman" w:eastAsia="宋体" w:cs="Times New Roman"/>
                <w:color w:val="auto"/>
                <w:sz w:val="24"/>
                <w:szCs w:val="24"/>
                <w:highlight w:val="none"/>
                <w:lang w:val="en-US" w:eastAsia="zh-CN"/>
              </w:rPr>
              <w:t>渗透系数不大于</w:t>
            </w:r>
            <w:r>
              <w:rPr>
                <w:rFonts w:hint="default" w:ascii="Times New Roman" w:hAnsi="Times New Roman" w:eastAsia="宋体" w:cs="Times New Roman"/>
                <w:color w:val="auto"/>
                <w:sz w:val="24"/>
                <w:szCs w:val="24"/>
                <w:highlight w:val="none"/>
                <w:lang w:val="en-US" w:eastAsia="zh-CN"/>
              </w:rPr>
              <w:t xml:space="preserve">10 </w:t>
            </w:r>
            <w:r>
              <w:rPr>
                <w:rFonts w:hint="default" w:ascii="Times New Roman" w:hAnsi="Times New Roman" w:eastAsia="宋体" w:cs="Times New Roman"/>
                <w:color w:val="auto"/>
                <w:sz w:val="24"/>
                <w:szCs w:val="24"/>
                <w:highlight w:val="none"/>
                <w:vertAlign w:val="superscript"/>
                <w:lang w:val="en-US" w:eastAsia="zh-CN"/>
              </w:rPr>
              <w:t xml:space="preserve">-7 </w:t>
            </w:r>
            <w:r>
              <w:rPr>
                <w:rFonts w:hint="default" w:ascii="Times New Roman" w:hAnsi="Times New Roman" w:eastAsia="宋体" w:cs="Times New Roman"/>
                <w:color w:val="auto"/>
                <w:sz w:val="24"/>
                <w:szCs w:val="24"/>
                <w:highlight w:val="none"/>
                <w:lang w:val="en-US" w:eastAsia="zh-CN"/>
              </w:rPr>
              <w:t>cm/s</w:t>
            </w:r>
            <w:r>
              <w:rPr>
                <w:rFonts w:hint="eastAsia" w:ascii="Times New Roman" w:hAnsi="Times New Roman" w:eastAsia="宋体" w:cs="Times New Roman"/>
                <w:color w:val="auto"/>
                <w:sz w:val="24"/>
                <w:szCs w:val="24"/>
                <w:highlight w:val="none"/>
                <w:lang w:val="en-US" w:eastAsia="zh-CN"/>
              </w:rPr>
              <w:t>的要求。</w:t>
            </w:r>
          </w:p>
          <w:p w14:paraId="56DA75AE">
            <w:pPr>
              <w:pStyle w:val="112"/>
              <w:widowControl w:val="0"/>
              <w:spacing w:before="0" w:beforeLines="0" w:after="0" w:afterLines="0" w:line="360" w:lineRule="auto"/>
              <w:rPr>
                <w:rFonts w:hint="default"/>
                <w:color w:val="auto"/>
                <w:sz w:val="24"/>
                <w:szCs w:val="24"/>
                <w:highlight w:val="none"/>
              </w:rPr>
            </w:pPr>
            <w:r>
              <w:rPr>
                <w:rFonts w:hint="default"/>
                <w:color w:val="auto"/>
                <w:sz w:val="24"/>
                <w:szCs w:val="24"/>
                <w:highlight w:val="none"/>
              </w:rPr>
              <w:t>一般防渗区：</w:t>
            </w:r>
            <w:r>
              <w:rPr>
                <w:rFonts w:hint="eastAsia"/>
                <w:color w:val="auto"/>
                <w:sz w:val="24"/>
                <w:szCs w:val="24"/>
                <w:highlight w:val="none"/>
                <w:lang w:val="en-US" w:eastAsia="zh-CN"/>
              </w:rPr>
              <w:t>技改项目不涉及一般防渗区，现有工程</w:t>
            </w:r>
            <w:r>
              <w:rPr>
                <w:color w:val="auto"/>
                <w:sz w:val="24"/>
                <w:szCs w:val="24"/>
                <w:highlight w:val="none"/>
              </w:rPr>
              <w:t>化粪池</w:t>
            </w:r>
            <w:r>
              <w:rPr>
                <w:rFonts w:hint="default"/>
                <w:color w:val="auto"/>
                <w:sz w:val="24"/>
                <w:szCs w:val="24"/>
                <w:highlight w:val="none"/>
              </w:rPr>
              <w:t>、</w:t>
            </w:r>
            <w:r>
              <w:rPr>
                <w:color w:val="auto"/>
                <w:sz w:val="24"/>
                <w:szCs w:val="24"/>
                <w:highlight w:val="none"/>
              </w:rPr>
              <w:t>一般固废间</w:t>
            </w:r>
            <w:r>
              <w:rPr>
                <w:rFonts w:hint="default"/>
                <w:color w:val="auto"/>
                <w:sz w:val="24"/>
                <w:szCs w:val="24"/>
                <w:highlight w:val="none"/>
              </w:rPr>
              <w:t>等效黏土防渗层</w:t>
            </w:r>
            <w:r>
              <w:rPr>
                <w:rFonts w:hint="eastAsia"/>
                <w:color w:val="auto"/>
                <w:sz w:val="24"/>
                <w:szCs w:val="24"/>
                <w:highlight w:val="none"/>
                <w:lang w:val="en-US" w:eastAsia="zh-CN"/>
              </w:rPr>
              <w:t>符合</w:t>
            </w:r>
            <w:r>
              <w:rPr>
                <w:rFonts w:hint="default"/>
                <w:color w:val="auto"/>
                <w:sz w:val="24"/>
                <w:szCs w:val="24"/>
                <w:highlight w:val="none"/>
              </w:rPr>
              <w:t>Mb≥1.50m，K≤1×10</w:t>
            </w:r>
            <w:r>
              <w:rPr>
                <w:rFonts w:hint="default"/>
                <w:color w:val="auto"/>
                <w:sz w:val="24"/>
                <w:szCs w:val="24"/>
                <w:highlight w:val="none"/>
                <w:vertAlign w:val="superscript"/>
              </w:rPr>
              <w:t>-7</w:t>
            </w:r>
            <w:r>
              <w:rPr>
                <w:rFonts w:hint="default"/>
                <w:color w:val="auto"/>
                <w:sz w:val="24"/>
                <w:szCs w:val="24"/>
                <w:highlight w:val="none"/>
              </w:rPr>
              <w:t>cm/s；或参照GB 16889执行；</w:t>
            </w:r>
          </w:p>
          <w:p w14:paraId="1A6E552D">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简单防渗区：其他非污染区除绿化用地外</w:t>
            </w:r>
            <w:r>
              <w:rPr>
                <w:rFonts w:hint="eastAsia"/>
                <w:color w:val="auto"/>
                <w:sz w:val="24"/>
                <w:szCs w:val="24"/>
                <w:highlight w:val="none"/>
                <w:lang w:val="en-US" w:eastAsia="zh-CN"/>
              </w:rPr>
              <w:t>已</w:t>
            </w:r>
            <w:r>
              <w:rPr>
                <w:rFonts w:hint="default"/>
                <w:color w:val="auto"/>
                <w:sz w:val="24"/>
                <w:szCs w:val="24"/>
                <w:highlight w:val="none"/>
              </w:rPr>
              <w:t>进行一般地面硬化。</w:t>
            </w:r>
          </w:p>
          <w:p w14:paraId="72525111">
            <w:pPr>
              <w:pStyle w:val="112"/>
              <w:widowControl w:val="0"/>
              <w:spacing w:before="0" w:beforeLines="0" w:after="0" w:afterLines="0" w:line="360" w:lineRule="auto"/>
              <w:ind w:firstLine="480"/>
              <w:rPr>
                <w:rFonts w:hint="default"/>
                <w:color w:val="auto"/>
                <w:sz w:val="24"/>
                <w:szCs w:val="24"/>
                <w:highlight w:val="none"/>
              </w:rPr>
            </w:pPr>
            <w:r>
              <w:rPr>
                <w:rFonts w:hint="default"/>
                <w:color w:val="auto"/>
                <w:sz w:val="24"/>
                <w:szCs w:val="24"/>
                <w:highlight w:val="none"/>
              </w:rPr>
              <w:t>综上所述，采取上述措施后，不会对厂区地下水、土壤环境造成影响。</w:t>
            </w:r>
          </w:p>
          <w:p w14:paraId="348E154E">
            <w:pPr>
              <w:pStyle w:val="3"/>
              <w:keepNext/>
              <w:keepLines/>
              <w:pageBreakBefore w:val="0"/>
              <w:widowControl w:val="0"/>
              <w:kinsoku/>
              <w:wordWrap/>
              <w:overflowPunct/>
              <w:topLinePunct w:val="0"/>
              <w:autoSpaceDE/>
              <w:autoSpaceDN/>
              <w:bidi w:val="0"/>
              <w:adjustRightInd/>
              <w:snapToGrid/>
              <w:spacing w:before="0" w:after="0" w:line="360" w:lineRule="auto"/>
              <w:ind w:left="0" w:leftChars="0" w:firstLine="0" w:firstLineChars="0"/>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六、生态</w:t>
            </w:r>
            <w:r>
              <w:rPr>
                <w:rFonts w:hint="eastAsia" w:ascii="Times New Roman" w:hAnsi="Times New Roman" w:cs="Times New Roman"/>
                <w:b/>
                <w:bCs/>
                <w:color w:val="auto"/>
                <w:sz w:val="24"/>
                <w:szCs w:val="24"/>
                <w:highlight w:val="none"/>
                <w:lang w:val="en-US" w:eastAsia="zh-CN"/>
              </w:rPr>
              <w:t>及防沙治沙</w:t>
            </w:r>
          </w:p>
          <w:p w14:paraId="3097B8B8">
            <w:pPr>
              <w:adjustRightInd w:val="0"/>
              <w:snapToGrid w:val="0"/>
              <w:spacing w:line="360" w:lineRule="auto"/>
              <w:ind w:firstLine="480" w:firstLineChars="200"/>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项目位于</w:t>
            </w:r>
            <w:r>
              <w:rPr>
                <w:rFonts w:hint="eastAsia" w:ascii="Times New Roman" w:hAnsi="Times New Roman" w:eastAsia="宋体" w:cs="Times New Roman"/>
                <w:bCs/>
                <w:color w:val="auto"/>
                <w:sz w:val="24"/>
                <w:highlight w:val="none"/>
                <w:lang w:val="en-US" w:eastAsia="zh-CN"/>
              </w:rPr>
              <w:t>河北行唐经济开发区南区行唐县龙鑫机械制造有限公司厂区内喷漆烘干间内、喷漆烘干设备的</w:t>
            </w:r>
            <w:r>
              <w:rPr>
                <w:rFonts w:hint="eastAsia" w:cs="Times New Roman"/>
                <w:bCs/>
                <w:color w:val="auto"/>
                <w:sz w:val="24"/>
                <w:highlight w:val="none"/>
                <w:lang w:val="en-US" w:eastAsia="zh-CN"/>
              </w:rPr>
              <w:t>东</w:t>
            </w:r>
            <w:r>
              <w:rPr>
                <w:rFonts w:hint="eastAsia" w:ascii="Times New Roman" w:hAnsi="Times New Roman" w:eastAsia="宋体" w:cs="Times New Roman"/>
                <w:bCs/>
                <w:color w:val="auto"/>
                <w:sz w:val="24"/>
                <w:highlight w:val="none"/>
                <w:lang w:val="en-US" w:eastAsia="zh-CN"/>
              </w:rPr>
              <w:t>侧。无</w:t>
            </w:r>
            <w:r>
              <w:rPr>
                <w:rFonts w:hint="default" w:ascii="Times New Roman" w:hAnsi="Times New Roman" w:eastAsia="宋体" w:cs="Times New Roman"/>
                <w:bCs/>
                <w:color w:val="auto"/>
                <w:sz w:val="24"/>
                <w:highlight w:val="none"/>
                <w:lang w:val="en-US" w:eastAsia="zh-CN"/>
              </w:rPr>
              <w:t>新增用地</w:t>
            </w:r>
            <w:r>
              <w:rPr>
                <w:rFonts w:hint="eastAsia" w:ascii="Times New Roman" w:hAnsi="Times New Roman" w:eastAsia="宋体" w:cs="Times New Roman"/>
                <w:bCs/>
                <w:color w:val="auto"/>
                <w:sz w:val="24"/>
                <w:highlight w:val="none"/>
                <w:lang w:val="en-US" w:eastAsia="zh-CN"/>
              </w:rPr>
              <w:t>，周围</w:t>
            </w:r>
            <w:r>
              <w:rPr>
                <w:rFonts w:hint="default" w:ascii="Times New Roman" w:hAnsi="Times New Roman" w:eastAsia="宋体" w:cs="Times New Roman"/>
                <w:bCs/>
                <w:color w:val="auto"/>
                <w:sz w:val="24"/>
                <w:highlight w:val="none"/>
                <w:lang w:val="en-US" w:eastAsia="zh-CN"/>
              </w:rPr>
              <w:t>无</w:t>
            </w:r>
            <w:r>
              <w:rPr>
                <w:rFonts w:hint="eastAsia" w:ascii="Times New Roman" w:hAnsi="Times New Roman" w:eastAsia="宋体" w:cs="Times New Roman"/>
                <w:bCs/>
                <w:color w:val="auto"/>
                <w:sz w:val="24"/>
                <w:highlight w:val="none"/>
                <w:lang w:val="en-US" w:eastAsia="zh-CN"/>
              </w:rPr>
              <w:t>需要保护的</w:t>
            </w:r>
            <w:r>
              <w:rPr>
                <w:rFonts w:hint="default" w:ascii="Times New Roman" w:hAnsi="Times New Roman" w:eastAsia="宋体" w:cs="Times New Roman"/>
                <w:bCs/>
                <w:color w:val="auto"/>
                <w:sz w:val="24"/>
                <w:highlight w:val="none"/>
                <w:lang w:val="en-US" w:eastAsia="zh-CN"/>
              </w:rPr>
              <w:t>生态环境保护目标。</w:t>
            </w:r>
          </w:p>
          <w:p w14:paraId="32B9E50B">
            <w:pPr>
              <w:adjustRightInd w:val="0"/>
              <w:snapToGrid w:val="0"/>
              <w:spacing w:line="360" w:lineRule="auto"/>
              <w:ind w:firstLine="480" w:firstLineChars="200"/>
              <w:rPr>
                <w:rFonts w:hint="default" w:ascii="Times New Roman" w:hAnsi="Times New Roman" w:eastAsia="宋体" w:cs="Times New Roman"/>
                <w:bCs/>
                <w:color w:val="auto"/>
                <w:sz w:val="24"/>
                <w:highlight w:val="none"/>
                <w:lang w:val="en-US" w:eastAsia="zh-CN"/>
              </w:rPr>
            </w:pPr>
            <w:r>
              <w:rPr>
                <w:rFonts w:hint="default" w:ascii="Times New Roman" w:hAnsi="Times New Roman" w:eastAsia="宋体" w:cs="Times New Roman"/>
                <w:bCs/>
                <w:color w:val="auto"/>
                <w:sz w:val="24"/>
                <w:highlight w:val="none"/>
                <w:lang w:val="en-US" w:eastAsia="zh-CN"/>
              </w:rPr>
              <w:t>公司属于沙化区范围，经现场调查该公司地面已经硬化，生产设备位于厂房内；技改项目位于现有厂房内，对土地沙化无影响。</w:t>
            </w:r>
          </w:p>
          <w:p w14:paraId="147C24F7">
            <w:pPr>
              <w:adjustRightInd w:val="0"/>
              <w:snapToGrid w:val="0"/>
              <w:spacing w:line="360" w:lineRule="auto"/>
              <w:rPr>
                <w:rFonts w:hint="eastAsia" w:ascii="Times New Roman" w:hAnsi="Times New Roman" w:eastAsia="宋体" w:cs="Times New Roman"/>
                <w:bCs/>
                <w:color w:val="000000" w:themeColor="text1"/>
                <w:spacing w:val="-10"/>
                <w:sz w:val="24"/>
                <w:szCs w:val="24"/>
                <w:highlight w:val="none"/>
                <w:lang w:eastAsia="zh-CN"/>
                <w14:textFill>
                  <w14:solidFill>
                    <w14:schemeClr w14:val="tx1"/>
                  </w14:solidFill>
                </w14:textFill>
              </w:rPr>
            </w:pPr>
            <w:r>
              <w:rPr>
                <w:rFonts w:hint="eastAsia" w:ascii="Times New Roman" w:hAnsi="Times New Roman" w:cs="Times New Roman"/>
                <w:b/>
                <w:bCs/>
                <w:color w:val="000000" w:themeColor="text1"/>
                <w:sz w:val="24"/>
                <w:szCs w:val="24"/>
                <w:highlight w:val="none"/>
                <w:lang w:eastAsia="zh-CN"/>
                <w14:textFill>
                  <w14:solidFill>
                    <w14:schemeClr w14:val="tx1"/>
                  </w14:solidFill>
                </w14:textFill>
              </w:rPr>
              <w:t>七、环境风险</w:t>
            </w:r>
          </w:p>
          <w:p w14:paraId="1E7AFE33">
            <w:pPr>
              <w:pStyle w:val="30"/>
              <w:spacing w:before="0" w:beforeAutospacing="0" w:after="0" w:afterAutospacing="0" w:line="360" w:lineRule="auto"/>
              <w:ind w:firstLine="482" w:firstLineChars="200"/>
              <w:rPr>
                <w:b/>
                <w:bCs/>
                <w:color w:val="auto"/>
                <w:szCs w:val="24"/>
                <w:highlight w:val="none"/>
              </w:rPr>
            </w:pPr>
            <w:r>
              <w:rPr>
                <w:rFonts w:hint="eastAsia"/>
                <w:b/>
                <w:bCs/>
                <w:color w:val="auto"/>
                <w:szCs w:val="24"/>
                <w:highlight w:val="none"/>
              </w:rPr>
              <w:t>1.环境风险物质分布情况</w:t>
            </w:r>
          </w:p>
          <w:p w14:paraId="7A01926C">
            <w:pPr>
              <w:pStyle w:val="30"/>
              <w:spacing w:before="0" w:beforeAutospacing="0" w:after="0" w:afterAutospacing="0" w:line="360" w:lineRule="auto"/>
              <w:ind w:firstLine="480" w:firstLineChars="200"/>
              <w:rPr>
                <w:rFonts w:ascii="Times New Roman" w:hAnsi="Times New Roman"/>
                <w:color w:val="auto"/>
                <w:szCs w:val="24"/>
                <w:highlight w:val="none"/>
                <w:shd w:val="clear" w:color="auto" w:fill="FFFFFF"/>
              </w:rPr>
            </w:pPr>
            <w:r>
              <w:rPr>
                <w:rFonts w:hint="eastAsia"/>
                <w:color w:val="auto"/>
                <w:szCs w:val="24"/>
                <w:highlight w:val="none"/>
              </w:rPr>
              <w:t>技改项目涉及环境风险物质</w:t>
            </w:r>
            <w:r>
              <w:rPr>
                <w:rFonts w:hint="eastAsia"/>
                <w:color w:val="auto"/>
                <w:szCs w:val="24"/>
                <w:highlight w:val="none"/>
                <w:lang w:val="en-US" w:eastAsia="zh-CN"/>
              </w:rPr>
              <w:t>情况：</w:t>
            </w:r>
            <w:r>
              <w:rPr>
                <w:rFonts w:hint="eastAsia" w:ascii="Times New Roman" w:hAnsi="Times New Roman"/>
                <w:color w:val="auto"/>
                <w:szCs w:val="24"/>
                <w:highlight w:val="none"/>
                <w:shd w:val="clear" w:color="auto" w:fill="FFFFFF"/>
              </w:rPr>
              <w:t>重油垢清洗剂中含有的</w:t>
            </w:r>
            <w:r>
              <w:rPr>
                <w:rFonts w:hint="eastAsia" w:ascii="Times New Roman" w:hAnsi="Times New Roman"/>
                <w:color w:val="auto"/>
                <w:szCs w:val="24"/>
                <w:highlight w:val="none"/>
                <w:shd w:val="clear" w:color="auto" w:fill="FFFFFF"/>
                <w:lang w:val="en-US" w:eastAsia="zh-CN"/>
              </w:rPr>
              <w:t>乙烯醚、脂肪胺、三氮唑等有机成份</w:t>
            </w:r>
            <w:r>
              <w:rPr>
                <w:rFonts w:hint="eastAsia" w:ascii="Times New Roman" w:hAnsi="Times New Roman"/>
                <w:color w:val="auto"/>
                <w:szCs w:val="24"/>
                <w:highlight w:val="none"/>
                <w:shd w:val="clear" w:color="auto" w:fill="FFFFFF"/>
                <w:lang w:eastAsia="zh-CN"/>
              </w:rPr>
              <w:t>，</w:t>
            </w:r>
            <w:r>
              <w:rPr>
                <w:rFonts w:hint="eastAsia" w:ascii="Times New Roman" w:hAnsi="Times New Roman"/>
                <w:color w:val="auto"/>
                <w:szCs w:val="24"/>
                <w:highlight w:val="none"/>
                <w:shd w:val="clear" w:color="auto" w:fill="FFFFFF"/>
              </w:rPr>
              <w:t>重油垢清洗剂最大储量为1t，</w:t>
            </w:r>
            <w:r>
              <w:rPr>
                <w:rFonts w:hint="eastAsia" w:ascii="Times New Roman" w:hAnsi="Times New Roman"/>
                <w:color w:val="auto"/>
                <w:szCs w:val="24"/>
                <w:highlight w:val="none"/>
                <w:shd w:val="clear" w:color="auto" w:fill="FFFFFF"/>
                <w:lang w:val="en-US" w:eastAsia="zh-CN"/>
              </w:rPr>
              <w:t>有机成份最大</w:t>
            </w:r>
            <w:r>
              <w:rPr>
                <w:rFonts w:hint="eastAsia" w:ascii="Times New Roman" w:hAnsi="Times New Roman"/>
                <w:color w:val="auto"/>
                <w:szCs w:val="24"/>
                <w:highlight w:val="none"/>
                <w:shd w:val="clear" w:color="auto" w:fill="FFFFFF"/>
              </w:rPr>
              <w:t>含量为</w:t>
            </w:r>
            <w:r>
              <w:rPr>
                <w:rFonts w:hint="eastAsia" w:ascii="Times New Roman" w:hAnsi="Times New Roman"/>
                <w:color w:val="auto"/>
                <w:szCs w:val="24"/>
                <w:highlight w:val="none"/>
                <w:shd w:val="clear" w:color="auto" w:fill="FFFFFF"/>
                <w:lang w:val="en-US" w:eastAsia="zh-CN"/>
              </w:rPr>
              <w:t>35</w:t>
            </w:r>
            <w:r>
              <w:rPr>
                <w:rFonts w:hint="eastAsia" w:ascii="Times New Roman" w:hAnsi="Times New Roman"/>
                <w:color w:val="auto"/>
                <w:szCs w:val="24"/>
                <w:highlight w:val="none"/>
                <w:shd w:val="clear" w:color="auto" w:fill="FFFFFF"/>
              </w:rPr>
              <w:t>%，则最大储量为</w:t>
            </w:r>
            <w:r>
              <w:rPr>
                <w:rFonts w:hint="eastAsia" w:ascii="Times New Roman" w:hAnsi="Times New Roman"/>
                <w:color w:val="auto"/>
                <w:szCs w:val="24"/>
                <w:highlight w:val="none"/>
                <w:shd w:val="clear" w:color="auto" w:fill="FFFFFF"/>
                <w:lang w:val="en-US" w:eastAsia="zh-CN"/>
              </w:rPr>
              <w:t>0.35</w:t>
            </w:r>
            <w:r>
              <w:rPr>
                <w:rFonts w:hint="eastAsia" w:ascii="Times New Roman" w:hAnsi="Times New Roman"/>
                <w:color w:val="auto"/>
                <w:szCs w:val="24"/>
                <w:highlight w:val="none"/>
                <w:shd w:val="clear" w:color="auto" w:fill="FFFFFF"/>
              </w:rPr>
              <w:t>t。多功能防锈剂中含有</w:t>
            </w:r>
            <w:r>
              <w:rPr>
                <w:rFonts w:hint="eastAsia" w:ascii="Times New Roman" w:hAnsi="Times New Roman"/>
                <w:color w:val="auto"/>
                <w:szCs w:val="24"/>
                <w:highlight w:val="none"/>
                <w:shd w:val="clear" w:color="auto" w:fill="FFFFFF"/>
                <w:lang w:val="en-US" w:eastAsia="zh-CN"/>
              </w:rPr>
              <w:t>聚酸胺三乙醇胺等成分最大含量65%</w:t>
            </w:r>
            <w:r>
              <w:rPr>
                <w:rFonts w:hint="eastAsia" w:ascii="Times New Roman" w:hAnsi="Times New Roman"/>
                <w:color w:val="auto"/>
                <w:szCs w:val="24"/>
                <w:highlight w:val="none"/>
                <w:shd w:val="clear" w:color="auto" w:fill="FFFFFF"/>
              </w:rPr>
              <w:t>，多功能防锈剂最大储量为1t，</w:t>
            </w:r>
            <w:r>
              <w:rPr>
                <w:rFonts w:hint="eastAsia" w:ascii="Times New Roman" w:hAnsi="Times New Roman"/>
                <w:color w:val="auto"/>
                <w:szCs w:val="24"/>
                <w:highlight w:val="none"/>
                <w:shd w:val="clear" w:color="auto" w:fill="FFFFFF"/>
                <w:lang w:val="en-US" w:eastAsia="zh-CN"/>
              </w:rPr>
              <w:t>则</w:t>
            </w:r>
            <w:r>
              <w:rPr>
                <w:rFonts w:hint="eastAsia" w:ascii="Times New Roman" w:hAnsi="Times New Roman"/>
                <w:color w:val="auto"/>
                <w:szCs w:val="24"/>
                <w:highlight w:val="none"/>
                <w:shd w:val="clear" w:color="auto" w:fill="FFFFFF"/>
              </w:rPr>
              <w:t>最大储量为0.</w:t>
            </w:r>
            <w:r>
              <w:rPr>
                <w:rFonts w:hint="eastAsia" w:ascii="Times New Roman" w:hAnsi="Times New Roman"/>
                <w:color w:val="auto"/>
                <w:szCs w:val="24"/>
                <w:highlight w:val="none"/>
                <w:shd w:val="clear" w:color="auto" w:fill="FFFFFF"/>
                <w:lang w:val="en-US" w:eastAsia="zh-CN"/>
              </w:rPr>
              <w:t>65</w:t>
            </w:r>
            <w:r>
              <w:rPr>
                <w:rFonts w:hint="eastAsia" w:ascii="Times New Roman" w:hAnsi="Times New Roman"/>
                <w:color w:val="auto"/>
                <w:szCs w:val="24"/>
                <w:highlight w:val="none"/>
                <w:shd w:val="clear" w:color="auto" w:fill="FFFFFF"/>
              </w:rPr>
              <w:t>t。</w:t>
            </w:r>
            <w:r>
              <w:rPr>
                <w:rFonts w:hint="eastAsia" w:ascii="Times New Roman" w:hAnsi="Times New Roman"/>
                <w:color w:val="auto"/>
                <w:szCs w:val="24"/>
                <w:highlight w:val="none"/>
                <w:shd w:val="clear" w:color="auto" w:fill="FFFFFF"/>
                <w:lang w:val="en-US" w:eastAsia="zh-CN"/>
              </w:rPr>
              <w:t>风险物质还包括技改项目所产危废。</w:t>
            </w:r>
            <w:r>
              <w:rPr>
                <w:rFonts w:hint="eastAsia" w:ascii="Times New Roman" w:hAnsi="Times New Roman"/>
                <w:color w:val="auto"/>
                <w:szCs w:val="24"/>
                <w:highlight w:val="none"/>
                <w:shd w:val="clear" w:color="auto" w:fill="FFFFFF"/>
              </w:rPr>
              <w:t>环境风险物质含量见下表。</w:t>
            </w:r>
          </w:p>
          <w:p w14:paraId="5D8E3D84">
            <w:pPr>
              <w:pStyle w:val="91"/>
              <w:numPr>
                <w:ilvl w:val="0"/>
                <w:numId w:val="0"/>
              </w:numPr>
              <w:jc w:val="center"/>
              <w:rPr>
                <w:color w:val="auto"/>
                <w:highlight w:val="none"/>
              </w:rPr>
            </w:pPr>
            <w:r>
              <w:rPr>
                <w:color w:val="auto"/>
                <w:highlight w:val="none"/>
              </w:rPr>
              <w:t>表</w:t>
            </w:r>
            <w:r>
              <w:rPr>
                <w:rFonts w:hint="eastAsia"/>
                <w:color w:val="auto"/>
                <w:highlight w:val="none"/>
              </w:rPr>
              <w:t>4-</w:t>
            </w:r>
            <w:r>
              <w:rPr>
                <w:rFonts w:hint="eastAsia"/>
                <w:color w:val="auto"/>
                <w:highlight w:val="none"/>
                <w:lang w:val="en-US" w:eastAsia="zh-CN"/>
              </w:rPr>
              <w:t>13</w:t>
            </w:r>
            <w:r>
              <w:rPr>
                <w:rFonts w:hint="eastAsia"/>
                <w:color w:val="auto"/>
                <w:highlight w:val="none"/>
              </w:rPr>
              <w:t xml:space="preserve"> </w:t>
            </w:r>
            <w:r>
              <w:rPr>
                <w:color w:val="auto"/>
                <w:highlight w:val="none"/>
              </w:rPr>
              <w:t xml:space="preserve"> </w:t>
            </w:r>
            <w:r>
              <w:rPr>
                <w:rFonts w:hint="eastAsia"/>
                <w:color w:val="auto"/>
                <w:highlight w:val="none"/>
              </w:rPr>
              <w:t>技改项目涉及环境风险物质</w:t>
            </w:r>
          </w:p>
          <w:tbl>
            <w:tblPr>
              <w:tblStyle w:val="36"/>
              <w:tblW w:w="84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1"/>
              <w:gridCol w:w="2490"/>
              <w:gridCol w:w="1150"/>
              <w:gridCol w:w="979"/>
              <w:gridCol w:w="3236"/>
            </w:tblGrid>
            <w:tr w14:paraId="505E6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0" w:hRule="atLeast"/>
                <w:tblHeader/>
                <w:jc w:val="center"/>
              </w:trPr>
              <w:tc>
                <w:tcPr>
                  <w:tcW w:w="366" w:type="pct"/>
                  <w:noWrap w:val="0"/>
                  <w:vAlign w:val="center"/>
                </w:tcPr>
                <w:p w14:paraId="0093CD10">
                  <w:pPr>
                    <w:pStyle w:val="102"/>
                    <w:spacing w:before="24" w:after="24"/>
                    <w:rPr>
                      <w:color w:val="auto"/>
                      <w:highlight w:val="none"/>
                    </w:rPr>
                  </w:pPr>
                  <w:r>
                    <w:rPr>
                      <w:color w:val="auto"/>
                      <w:highlight w:val="none"/>
                    </w:rPr>
                    <w:t>序号</w:t>
                  </w:r>
                </w:p>
              </w:tc>
              <w:tc>
                <w:tcPr>
                  <w:tcW w:w="1468" w:type="pct"/>
                  <w:noWrap w:val="0"/>
                  <w:vAlign w:val="center"/>
                </w:tcPr>
                <w:p w14:paraId="639B7018">
                  <w:pPr>
                    <w:pStyle w:val="102"/>
                    <w:spacing w:before="24" w:after="24"/>
                    <w:rPr>
                      <w:color w:val="auto"/>
                      <w:highlight w:val="none"/>
                    </w:rPr>
                  </w:pPr>
                  <w:r>
                    <w:rPr>
                      <w:color w:val="auto"/>
                      <w:highlight w:val="none"/>
                    </w:rPr>
                    <w:t>危险物质名称</w:t>
                  </w:r>
                </w:p>
              </w:tc>
              <w:tc>
                <w:tcPr>
                  <w:tcW w:w="678" w:type="pct"/>
                  <w:noWrap w:val="0"/>
                  <w:vAlign w:val="center"/>
                </w:tcPr>
                <w:p w14:paraId="56AE557F">
                  <w:pPr>
                    <w:pStyle w:val="102"/>
                    <w:spacing w:before="24" w:after="24"/>
                    <w:rPr>
                      <w:rFonts w:hint="default"/>
                      <w:color w:val="auto"/>
                      <w:highlight w:val="none"/>
                      <w:lang w:val="en-US"/>
                    </w:rPr>
                  </w:pPr>
                  <w:r>
                    <w:rPr>
                      <w:color w:val="auto"/>
                      <w:highlight w:val="none"/>
                      <w:lang w:val="en-US"/>
                    </w:rPr>
                    <w:t>最大储存量</w:t>
                  </w:r>
                </w:p>
              </w:tc>
              <w:tc>
                <w:tcPr>
                  <w:tcW w:w="577" w:type="pct"/>
                  <w:noWrap w:val="0"/>
                  <w:vAlign w:val="center"/>
                </w:tcPr>
                <w:p w14:paraId="4E45EC2E">
                  <w:pPr>
                    <w:pStyle w:val="102"/>
                    <w:spacing w:before="24" w:after="24"/>
                    <w:rPr>
                      <w:rFonts w:hint="default"/>
                      <w:color w:val="auto"/>
                      <w:highlight w:val="none"/>
                      <w:lang w:val="en-US"/>
                    </w:rPr>
                  </w:pPr>
                  <w:r>
                    <w:rPr>
                      <w:color w:val="auto"/>
                      <w:highlight w:val="none"/>
                      <w:lang w:val="en-US"/>
                    </w:rPr>
                    <w:t>分布地点</w:t>
                  </w:r>
                </w:p>
              </w:tc>
              <w:tc>
                <w:tcPr>
                  <w:tcW w:w="1908" w:type="pct"/>
                  <w:noWrap w:val="0"/>
                  <w:vAlign w:val="center"/>
                </w:tcPr>
                <w:p w14:paraId="35FB61AC">
                  <w:pPr>
                    <w:pStyle w:val="102"/>
                    <w:spacing w:before="24" w:after="24"/>
                    <w:rPr>
                      <w:rFonts w:hint="default"/>
                      <w:color w:val="auto"/>
                      <w:highlight w:val="none"/>
                      <w:lang w:val="en-US"/>
                    </w:rPr>
                  </w:pPr>
                  <w:r>
                    <w:rPr>
                      <w:color w:val="auto"/>
                      <w:highlight w:val="none"/>
                      <w:lang w:val="en-US"/>
                    </w:rPr>
                    <w:t>可能的污染途径</w:t>
                  </w:r>
                </w:p>
              </w:tc>
            </w:tr>
            <w:tr w14:paraId="1BAA6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blHeader/>
                <w:jc w:val="center"/>
              </w:trPr>
              <w:tc>
                <w:tcPr>
                  <w:tcW w:w="366" w:type="pct"/>
                  <w:noWrap w:val="0"/>
                  <w:vAlign w:val="center"/>
                </w:tcPr>
                <w:p w14:paraId="6FBAC213">
                  <w:pPr>
                    <w:pStyle w:val="103"/>
                    <w:rPr>
                      <w:color w:val="auto"/>
                      <w:szCs w:val="21"/>
                      <w:highlight w:val="none"/>
                      <w:lang w:val="en-US" w:bidi="ar"/>
                    </w:rPr>
                  </w:pPr>
                  <w:r>
                    <w:rPr>
                      <w:rFonts w:hint="eastAsia"/>
                      <w:color w:val="auto"/>
                      <w:szCs w:val="21"/>
                      <w:highlight w:val="none"/>
                      <w:lang w:val="en-US" w:bidi="ar"/>
                    </w:rPr>
                    <w:t>1</w:t>
                  </w:r>
                </w:p>
              </w:tc>
              <w:tc>
                <w:tcPr>
                  <w:tcW w:w="1468" w:type="pct"/>
                  <w:noWrap w:val="0"/>
                  <w:vAlign w:val="center"/>
                </w:tcPr>
                <w:p w14:paraId="44CE7D12">
                  <w:pPr>
                    <w:pStyle w:val="103"/>
                    <w:rPr>
                      <w:rFonts w:hint="eastAsia" w:eastAsia="宋体"/>
                      <w:color w:val="auto"/>
                      <w:szCs w:val="21"/>
                      <w:highlight w:val="none"/>
                      <w:lang w:val="en-US" w:eastAsia="zh-CN" w:bidi="ar"/>
                    </w:rPr>
                  </w:pPr>
                  <w:r>
                    <w:rPr>
                      <w:rFonts w:hint="eastAsia"/>
                      <w:color w:val="auto"/>
                      <w:szCs w:val="21"/>
                      <w:highlight w:val="none"/>
                      <w:lang w:val="en-US" w:bidi="ar"/>
                    </w:rPr>
                    <w:t>乙烯醚脂肪胺</w:t>
                  </w:r>
                </w:p>
              </w:tc>
              <w:tc>
                <w:tcPr>
                  <w:tcW w:w="678" w:type="pct"/>
                  <w:noWrap w:val="0"/>
                  <w:vAlign w:val="center"/>
                </w:tcPr>
                <w:p w14:paraId="04E619EC">
                  <w:pPr>
                    <w:pStyle w:val="103"/>
                    <w:rPr>
                      <w:rFonts w:hint="default" w:eastAsia="宋体"/>
                      <w:color w:val="auto"/>
                      <w:szCs w:val="21"/>
                      <w:highlight w:val="none"/>
                      <w:lang w:val="en-US" w:eastAsia="zh-CN" w:bidi="ar"/>
                    </w:rPr>
                  </w:pPr>
                  <w:r>
                    <w:rPr>
                      <w:rFonts w:hint="eastAsia"/>
                      <w:color w:val="auto"/>
                      <w:szCs w:val="21"/>
                      <w:highlight w:val="none"/>
                      <w:lang w:val="en-US" w:bidi="ar"/>
                    </w:rPr>
                    <w:t>0.</w:t>
                  </w:r>
                  <w:r>
                    <w:rPr>
                      <w:rFonts w:hint="eastAsia"/>
                      <w:color w:val="auto"/>
                      <w:szCs w:val="21"/>
                      <w:highlight w:val="none"/>
                      <w:lang w:val="en-US" w:eastAsia="zh-CN" w:bidi="ar"/>
                    </w:rPr>
                    <w:t>35</w:t>
                  </w:r>
                </w:p>
              </w:tc>
              <w:tc>
                <w:tcPr>
                  <w:tcW w:w="577" w:type="pct"/>
                  <w:vMerge w:val="restart"/>
                  <w:noWrap w:val="0"/>
                  <w:vAlign w:val="center"/>
                </w:tcPr>
                <w:p w14:paraId="5A4C2E79">
                  <w:pPr>
                    <w:widowControl/>
                    <w:jc w:val="center"/>
                    <w:textAlignment w:val="center"/>
                    <w:rPr>
                      <w:rFonts w:hint="eastAsia" w:eastAsia="宋体"/>
                      <w:color w:val="auto"/>
                      <w:kern w:val="0"/>
                      <w:szCs w:val="21"/>
                      <w:highlight w:val="none"/>
                      <w:lang w:eastAsia="zh-CN" w:bidi="ar"/>
                    </w:rPr>
                  </w:pPr>
                  <w:r>
                    <w:rPr>
                      <w:rFonts w:hint="eastAsia"/>
                      <w:color w:val="auto"/>
                      <w:kern w:val="0"/>
                      <w:szCs w:val="21"/>
                      <w:highlight w:val="none"/>
                      <w:lang w:bidi="ar"/>
                    </w:rPr>
                    <w:t>油漆库、危险废物</w:t>
                  </w:r>
                  <w:r>
                    <w:rPr>
                      <w:rFonts w:hint="eastAsia"/>
                      <w:color w:val="auto"/>
                      <w:kern w:val="0"/>
                      <w:szCs w:val="21"/>
                      <w:highlight w:val="none"/>
                      <w:lang w:eastAsia="zh-CN" w:bidi="ar"/>
                    </w:rPr>
                    <w:t>贮存点</w:t>
                  </w:r>
                </w:p>
              </w:tc>
              <w:tc>
                <w:tcPr>
                  <w:tcW w:w="1908" w:type="pct"/>
                  <w:vMerge w:val="restart"/>
                  <w:noWrap w:val="0"/>
                  <w:vAlign w:val="center"/>
                </w:tcPr>
                <w:p w14:paraId="6385999D">
                  <w:pPr>
                    <w:widowControl/>
                    <w:jc w:val="center"/>
                    <w:textAlignment w:val="center"/>
                    <w:rPr>
                      <w:color w:val="auto"/>
                      <w:kern w:val="0"/>
                      <w:szCs w:val="21"/>
                      <w:highlight w:val="none"/>
                      <w:lang w:bidi="ar"/>
                    </w:rPr>
                  </w:pPr>
                  <w:r>
                    <w:rPr>
                      <w:rFonts w:hint="eastAsia"/>
                      <w:color w:val="auto"/>
                      <w:kern w:val="0"/>
                      <w:szCs w:val="21"/>
                      <w:highlight w:val="none"/>
                      <w:lang w:bidi="ar"/>
                    </w:rPr>
                    <w:t>泄漏后如果防渗层防渗效果不佳，将造成土壤、地下水污染，但由于桶装，泄漏量不会很大，造成影响极小</w:t>
                  </w:r>
                </w:p>
              </w:tc>
            </w:tr>
            <w:tr w14:paraId="7D331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blHeader/>
                <w:jc w:val="center"/>
              </w:trPr>
              <w:tc>
                <w:tcPr>
                  <w:tcW w:w="366" w:type="pct"/>
                  <w:noWrap w:val="0"/>
                  <w:vAlign w:val="center"/>
                </w:tcPr>
                <w:p w14:paraId="12E6DD4B">
                  <w:pPr>
                    <w:pStyle w:val="103"/>
                    <w:rPr>
                      <w:rFonts w:hint="eastAsia"/>
                      <w:color w:val="auto"/>
                      <w:szCs w:val="21"/>
                      <w:highlight w:val="none"/>
                      <w:lang w:val="en-US" w:bidi="ar"/>
                    </w:rPr>
                  </w:pPr>
                  <w:r>
                    <w:rPr>
                      <w:rFonts w:hint="eastAsia"/>
                      <w:color w:val="auto"/>
                      <w:szCs w:val="21"/>
                      <w:highlight w:val="none"/>
                      <w:lang w:val="en-US" w:bidi="ar"/>
                    </w:rPr>
                    <w:t>2</w:t>
                  </w:r>
                </w:p>
              </w:tc>
              <w:tc>
                <w:tcPr>
                  <w:tcW w:w="1468" w:type="pct"/>
                  <w:noWrap w:val="0"/>
                  <w:vAlign w:val="center"/>
                </w:tcPr>
                <w:p w14:paraId="4DC8AE54">
                  <w:pPr>
                    <w:pStyle w:val="12"/>
                    <w:ind w:firstLine="210" w:firstLineChars="100"/>
                    <w:rPr>
                      <w:rFonts w:hint="eastAsia"/>
                      <w:color w:val="auto"/>
                      <w:szCs w:val="21"/>
                      <w:highlight w:val="none"/>
                      <w:lang w:val="en-US" w:bidi="ar"/>
                    </w:rPr>
                  </w:pPr>
                  <w:r>
                    <w:rPr>
                      <w:rFonts w:hint="eastAsia" w:ascii="Times New Roman" w:hAnsi="Times New Roman" w:eastAsia="宋体" w:cs="Times New Roman"/>
                      <w:color w:val="auto"/>
                      <w:kern w:val="0"/>
                      <w:sz w:val="21"/>
                      <w:szCs w:val="21"/>
                      <w:highlight w:val="none"/>
                      <w:lang w:val="en-US" w:eastAsia="zh-CN" w:bidi="ar"/>
                    </w:rPr>
                    <w:t>聚酸胺三乙醇胺</w:t>
                  </w:r>
                </w:p>
              </w:tc>
              <w:tc>
                <w:tcPr>
                  <w:tcW w:w="678" w:type="pct"/>
                  <w:noWrap w:val="0"/>
                  <w:vAlign w:val="center"/>
                </w:tcPr>
                <w:p w14:paraId="1D1EA5B9">
                  <w:pPr>
                    <w:pStyle w:val="103"/>
                    <w:rPr>
                      <w:rFonts w:hint="default" w:eastAsia="宋体"/>
                      <w:color w:val="auto"/>
                      <w:szCs w:val="21"/>
                      <w:highlight w:val="none"/>
                      <w:lang w:val="en-US" w:eastAsia="zh-CN" w:bidi="ar"/>
                    </w:rPr>
                  </w:pPr>
                  <w:r>
                    <w:rPr>
                      <w:rFonts w:hint="eastAsia"/>
                      <w:color w:val="auto"/>
                      <w:szCs w:val="21"/>
                      <w:highlight w:val="none"/>
                      <w:lang w:val="en-US" w:bidi="ar"/>
                    </w:rPr>
                    <w:t>0.</w:t>
                  </w:r>
                  <w:r>
                    <w:rPr>
                      <w:rFonts w:hint="eastAsia"/>
                      <w:color w:val="auto"/>
                      <w:szCs w:val="21"/>
                      <w:highlight w:val="none"/>
                      <w:lang w:val="en-US" w:eastAsia="zh-CN" w:bidi="ar"/>
                    </w:rPr>
                    <w:t>65</w:t>
                  </w:r>
                </w:p>
              </w:tc>
              <w:tc>
                <w:tcPr>
                  <w:tcW w:w="577" w:type="pct"/>
                  <w:vMerge w:val="continue"/>
                  <w:noWrap w:val="0"/>
                  <w:vAlign w:val="center"/>
                </w:tcPr>
                <w:p w14:paraId="3C4915CA">
                  <w:pPr>
                    <w:widowControl/>
                    <w:jc w:val="center"/>
                    <w:textAlignment w:val="center"/>
                    <w:rPr>
                      <w:rFonts w:hint="eastAsia"/>
                      <w:color w:val="auto"/>
                      <w:kern w:val="0"/>
                      <w:szCs w:val="21"/>
                      <w:highlight w:val="none"/>
                      <w:lang w:bidi="ar"/>
                    </w:rPr>
                  </w:pPr>
                </w:p>
              </w:tc>
              <w:tc>
                <w:tcPr>
                  <w:tcW w:w="1908" w:type="pct"/>
                  <w:vMerge w:val="continue"/>
                  <w:noWrap w:val="0"/>
                  <w:vAlign w:val="center"/>
                </w:tcPr>
                <w:p w14:paraId="17DCB998">
                  <w:pPr>
                    <w:widowControl/>
                    <w:jc w:val="center"/>
                    <w:textAlignment w:val="center"/>
                    <w:rPr>
                      <w:rFonts w:hint="eastAsia"/>
                      <w:color w:val="auto"/>
                      <w:kern w:val="0"/>
                      <w:szCs w:val="21"/>
                      <w:highlight w:val="none"/>
                      <w:lang w:bidi="ar"/>
                    </w:rPr>
                  </w:pPr>
                </w:p>
              </w:tc>
            </w:tr>
            <w:tr w14:paraId="42794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blHeader/>
                <w:jc w:val="center"/>
              </w:trPr>
              <w:tc>
                <w:tcPr>
                  <w:tcW w:w="366" w:type="pct"/>
                  <w:noWrap w:val="0"/>
                  <w:vAlign w:val="center"/>
                </w:tcPr>
                <w:p w14:paraId="03364256">
                  <w:pPr>
                    <w:pStyle w:val="103"/>
                    <w:rPr>
                      <w:color w:val="auto"/>
                      <w:szCs w:val="21"/>
                      <w:highlight w:val="none"/>
                      <w:lang w:val="en-US" w:bidi="ar"/>
                    </w:rPr>
                  </w:pPr>
                  <w:r>
                    <w:rPr>
                      <w:rFonts w:hint="eastAsia"/>
                      <w:color w:val="auto"/>
                      <w:szCs w:val="21"/>
                      <w:highlight w:val="none"/>
                      <w:lang w:val="en-US" w:bidi="ar"/>
                    </w:rPr>
                    <w:t>3</w:t>
                  </w:r>
                </w:p>
              </w:tc>
              <w:tc>
                <w:tcPr>
                  <w:tcW w:w="1468" w:type="pct"/>
                  <w:noWrap w:val="0"/>
                  <w:vAlign w:val="center"/>
                </w:tcPr>
                <w:p w14:paraId="769C2000">
                  <w:pPr>
                    <w:adjustRightInd w:val="0"/>
                    <w:snapToGrid w:val="0"/>
                    <w:jc w:val="center"/>
                    <w:rPr>
                      <w:rFonts w:hint="eastAsia"/>
                      <w:color w:val="auto"/>
                      <w:szCs w:val="21"/>
                      <w:highlight w:val="none"/>
                      <w:lang w:bidi="ar"/>
                    </w:rPr>
                  </w:pPr>
                  <w:r>
                    <w:rPr>
                      <w:rFonts w:hint="eastAsia"/>
                      <w:color w:val="auto"/>
                      <w:szCs w:val="21"/>
                      <w:highlight w:val="none"/>
                    </w:rPr>
                    <w:t>废矿物油</w:t>
                  </w:r>
                </w:p>
              </w:tc>
              <w:tc>
                <w:tcPr>
                  <w:tcW w:w="678" w:type="pct"/>
                  <w:noWrap w:val="0"/>
                  <w:vAlign w:val="center"/>
                </w:tcPr>
                <w:p w14:paraId="55D44300">
                  <w:pPr>
                    <w:adjustRightInd w:val="0"/>
                    <w:snapToGrid w:val="0"/>
                    <w:jc w:val="center"/>
                    <w:rPr>
                      <w:rFonts w:hint="eastAsia" w:eastAsia="宋体"/>
                      <w:color w:val="auto"/>
                      <w:szCs w:val="21"/>
                      <w:highlight w:val="none"/>
                      <w:lang w:val="en-US" w:eastAsia="zh-CN" w:bidi="ar"/>
                    </w:rPr>
                  </w:pPr>
                  <w:r>
                    <w:rPr>
                      <w:rFonts w:hint="eastAsia"/>
                      <w:color w:val="auto"/>
                      <w:szCs w:val="21"/>
                      <w:highlight w:val="none"/>
                      <w:lang w:eastAsia="zh-CN"/>
                    </w:rPr>
                    <w:t>0.01425</w:t>
                  </w:r>
                </w:p>
              </w:tc>
              <w:tc>
                <w:tcPr>
                  <w:tcW w:w="577" w:type="pct"/>
                  <w:vMerge w:val="continue"/>
                  <w:noWrap w:val="0"/>
                  <w:vAlign w:val="center"/>
                </w:tcPr>
                <w:p w14:paraId="5BAC323D">
                  <w:pPr>
                    <w:widowControl/>
                    <w:jc w:val="center"/>
                    <w:textAlignment w:val="center"/>
                    <w:rPr>
                      <w:rFonts w:hint="eastAsia"/>
                      <w:color w:val="auto"/>
                      <w:kern w:val="0"/>
                      <w:szCs w:val="21"/>
                      <w:highlight w:val="none"/>
                      <w:lang w:bidi="ar"/>
                    </w:rPr>
                  </w:pPr>
                </w:p>
              </w:tc>
              <w:tc>
                <w:tcPr>
                  <w:tcW w:w="1908" w:type="pct"/>
                  <w:vMerge w:val="continue"/>
                  <w:noWrap w:val="0"/>
                  <w:vAlign w:val="center"/>
                </w:tcPr>
                <w:p w14:paraId="1986070F">
                  <w:pPr>
                    <w:widowControl/>
                    <w:jc w:val="center"/>
                    <w:textAlignment w:val="center"/>
                    <w:rPr>
                      <w:rFonts w:hint="eastAsia"/>
                      <w:color w:val="auto"/>
                      <w:kern w:val="0"/>
                      <w:szCs w:val="21"/>
                      <w:highlight w:val="none"/>
                      <w:lang w:bidi="ar"/>
                    </w:rPr>
                  </w:pPr>
                </w:p>
              </w:tc>
            </w:tr>
            <w:tr w14:paraId="56560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blHeader/>
                <w:jc w:val="center"/>
              </w:trPr>
              <w:tc>
                <w:tcPr>
                  <w:tcW w:w="366" w:type="pct"/>
                  <w:noWrap w:val="0"/>
                  <w:vAlign w:val="center"/>
                </w:tcPr>
                <w:p w14:paraId="3532C868">
                  <w:pPr>
                    <w:pStyle w:val="103"/>
                    <w:rPr>
                      <w:color w:val="auto"/>
                      <w:szCs w:val="21"/>
                      <w:highlight w:val="none"/>
                      <w:lang w:val="en-US" w:bidi="ar"/>
                    </w:rPr>
                  </w:pPr>
                  <w:r>
                    <w:rPr>
                      <w:rFonts w:hint="eastAsia"/>
                      <w:color w:val="auto"/>
                      <w:szCs w:val="21"/>
                      <w:highlight w:val="none"/>
                      <w:lang w:val="en-US" w:bidi="ar"/>
                    </w:rPr>
                    <w:t>4</w:t>
                  </w:r>
                </w:p>
              </w:tc>
              <w:tc>
                <w:tcPr>
                  <w:tcW w:w="1468" w:type="pct"/>
                  <w:noWrap w:val="0"/>
                  <w:vAlign w:val="center"/>
                </w:tcPr>
                <w:p w14:paraId="17A36BD6">
                  <w:pPr>
                    <w:adjustRightInd w:val="0"/>
                    <w:snapToGrid w:val="0"/>
                    <w:jc w:val="center"/>
                    <w:rPr>
                      <w:rFonts w:hint="eastAsia"/>
                      <w:color w:val="auto"/>
                      <w:szCs w:val="21"/>
                      <w:highlight w:val="none"/>
                      <w:lang w:bidi="ar"/>
                    </w:rPr>
                  </w:pPr>
                  <w:r>
                    <w:rPr>
                      <w:rFonts w:hint="eastAsia"/>
                      <w:color w:val="auto"/>
                      <w:szCs w:val="21"/>
                      <w:highlight w:val="none"/>
                    </w:rPr>
                    <w:t>絮凝剂沉淀物</w:t>
                  </w:r>
                </w:p>
              </w:tc>
              <w:tc>
                <w:tcPr>
                  <w:tcW w:w="678" w:type="pct"/>
                  <w:noWrap w:val="0"/>
                  <w:vAlign w:val="center"/>
                </w:tcPr>
                <w:p w14:paraId="42891FF9">
                  <w:pPr>
                    <w:adjustRightInd w:val="0"/>
                    <w:snapToGrid w:val="0"/>
                    <w:jc w:val="center"/>
                    <w:rPr>
                      <w:rFonts w:hint="eastAsia"/>
                      <w:color w:val="auto"/>
                      <w:szCs w:val="21"/>
                      <w:highlight w:val="none"/>
                      <w:lang w:bidi="ar"/>
                    </w:rPr>
                  </w:pPr>
                  <w:r>
                    <w:rPr>
                      <w:rFonts w:hint="eastAsia"/>
                      <w:color w:val="auto"/>
                      <w:highlight w:val="none"/>
                    </w:rPr>
                    <w:t>0.02</w:t>
                  </w:r>
                </w:p>
              </w:tc>
              <w:tc>
                <w:tcPr>
                  <w:tcW w:w="577" w:type="pct"/>
                  <w:vMerge w:val="continue"/>
                  <w:noWrap w:val="0"/>
                  <w:vAlign w:val="center"/>
                </w:tcPr>
                <w:p w14:paraId="609B9613">
                  <w:pPr>
                    <w:widowControl/>
                    <w:jc w:val="center"/>
                    <w:textAlignment w:val="center"/>
                    <w:rPr>
                      <w:rFonts w:hint="eastAsia"/>
                      <w:color w:val="auto"/>
                      <w:kern w:val="0"/>
                      <w:szCs w:val="21"/>
                      <w:highlight w:val="none"/>
                      <w:lang w:bidi="ar"/>
                    </w:rPr>
                  </w:pPr>
                </w:p>
              </w:tc>
              <w:tc>
                <w:tcPr>
                  <w:tcW w:w="1908" w:type="pct"/>
                  <w:vMerge w:val="continue"/>
                  <w:noWrap w:val="0"/>
                  <w:vAlign w:val="center"/>
                </w:tcPr>
                <w:p w14:paraId="5DEC3A79">
                  <w:pPr>
                    <w:widowControl/>
                    <w:jc w:val="center"/>
                    <w:textAlignment w:val="center"/>
                    <w:rPr>
                      <w:rFonts w:hint="eastAsia"/>
                      <w:color w:val="auto"/>
                      <w:kern w:val="0"/>
                      <w:szCs w:val="21"/>
                      <w:highlight w:val="none"/>
                      <w:lang w:bidi="ar"/>
                    </w:rPr>
                  </w:pPr>
                </w:p>
              </w:tc>
            </w:tr>
            <w:tr w14:paraId="0AD3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blHeader/>
                <w:jc w:val="center"/>
              </w:trPr>
              <w:tc>
                <w:tcPr>
                  <w:tcW w:w="366" w:type="pct"/>
                  <w:noWrap w:val="0"/>
                  <w:vAlign w:val="center"/>
                </w:tcPr>
                <w:p w14:paraId="6134252C">
                  <w:pPr>
                    <w:pStyle w:val="103"/>
                    <w:rPr>
                      <w:color w:val="auto"/>
                      <w:szCs w:val="21"/>
                      <w:highlight w:val="none"/>
                      <w:lang w:val="en-US" w:bidi="ar"/>
                    </w:rPr>
                  </w:pPr>
                  <w:r>
                    <w:rPr>
                      <w:rFonts w:hint="eastAsia"/>
                      <w:color w:val="auto"/>
                      <w:szCs w:val="21"/>
                      <w:highlight w:val="none"/>
                      <w:lang w:val="en-US" w:bidi="ar"/>
                    </w:rPr>
                    <w:t>5</w:t>
                  </w:r>
                </w:p>
              </w:tc>
              <w:tc>
                <w:tcPr>
                  <w:tcW w:w="1468" w:type="pct"/>
                  <w:noWrap w:val="0"/>
                  <w:vAlign w:val="center"/>
                </w:tcPr>
                <w:p w14:paraId="5BD31976">
                  <w:pPr>
                    <w:adjustRightInd w:val="0"/>
                    <w:snapToGrid w:val="0"/>
                    <w:jc w:val="center"/>
                    <w:rPr>
                      <w:rFonts w:hint="eastAsia" w:eastAsia="宋体"/>
                      <w:color w:val="auto"/>
                      <w:szCs w:val="21"/>
                      <w:highlight w:val="none"/>
                      <w:lang w:eastAsia="zh-CN" w:bidi="ar"/>
                    </w:rPr>
                  </w:pPr>
                  <w:r>
                    <w:rPr>
                      <w:rFonts w:hint="eastAsia"/>
                      <w:color w:val="auto"/>
                      <w:szCs w:val="21"/>
                      <w:highlight w:val="none"/>
                    </w:rPr>
                    <w:t>重油垢清洗剂、多功能防锈剂塑料</w:t>
                  </w:r>
                  <w:r>
                    <w:rPr>
                      <w:rFonts w:hint="eastAsia"/>
                      <w:color w:val="auto"/>
                      <w:szCs w:val="21"/>
                      <w:highlight w:val="none"/>
                      <w:lang w:val="en-US" w:eastAsia="zh-CN"/>
                    </w:rPr>
                    <w:t>内衬袋</w:t>
                  </w:r>
                </w:p>
              </w:tc>
              <w:tc>
                <w:tcPr>
                  <w:tcW w:w="678" w:type="pct"/>
                  <w:noWrap w:val="0"/>
                  <w:vAlign w:val="center"/>
                </w:tcPr>
                <w:p w14:paraId="3690495D">
                  <w:pPr>
                    <w:adjustRightInd w:val="0"/>
                    <w:snapToGrid w:val="0"/>
                    <w:jc w:val="center"/>
                    <w:rPr>
                      <w:rFonts w:hint="eastAsia"/>
                      <w:color w:val="auto"/>
                      <w:szCs w:val="21"/>
                      <w:highlight w:val="none"/>
                      <w:lang w:bidi="ar"/>
                    </w:rPr>
                  </w:pPr>
                  <w:r>
                    <w:rPr>
                      <w:rFonts w:hint="eastAsia"/>
                      <w:color w:val="auto"/>
                      <w:szCs w:val="21"/>
                      <w:highlight w:val="none"/>
                    </w:rPr>
                    <w:t>0.014</w:t>
                  </w:r>
                </w:p>
              </w:tc>
              <w:tc>
                <w:tcPr>
                  <w:tcW w:w="577" w:type="pct"/>
                  <w:vMerge w:val="continue"/>
                  <w:noWrap w:val="0"/>
                  <w:vAlign w:val="center"/>
                </w:tcPr>
                <w:p w14:paraId="4D35301C">
                  <w:pPr>
                    <w:widowControl/>
                    <w:jc w:val="center"/>
                    <w:textAlignment w:val="center"/>
                    <w:rPr>
                      <w:rFonts w:hint="eastAsia"/>
                      <w:color w:val="auto"/>
                      <w:kern w:val="0"/>
                      <w:szCs w:val="21"/>
                      <w:highlight w:val="none"/>
                      <w:lang w:bidi="ar"/>
                    </w:rPr>
                  </w:pPr>
                </w:p>
              </w:tc>
              <w:tc>
                <w:tcPr>
                  <w:tcW w:w="1908" w:type="pct"/>
                  <w:vMerge w:val="continue"/>
                  <w:noWrap w:val="0"/>
                  <w:vAlign w:val="center"/>
                </w:tcPr>
                <w:p w14:paraId="55D46A74">
                  <w:pPr>
                    <w:widowControl/>
                    <w:jc w:val="center"/>
                    <w:textAlignment w:val="center"/>
                    <w:rPr>
                      <w:rFonts w:hint="eastAsia"/>
                      <w:color w:val="auto"/>
                      <w:kern w:val="0"/>
                      <w:szCs w:val="21"/>
                      <w:highlight w:val="none"/>
                      <w:lang w:bidi="ar"/>
                    </w:rPr>
                  </w:pPr>
                </w:p>
              </w:tc>
            </w:tr>
          </w:tbl>
          <w:p w14:paraId="5680DA47">
            <w:pPr>
              <w:pStyle w:val="91"/>
              <w:numPr>
                <w:ilvl w:val="0"/>
                <w:numId w:val="0"/>
              </w:numPr>
              <w:jc w:val="center"/>
              <w:rPr>
                <w:rFonts w:hint="eastAsia"/>
                <w:color w:val="auto"/>
                <w:highlight w:val="none"/>
              </w:rPr>
            </w:pPr>
            <w:r>
              <w:rPr>
                <w:color w:val="auto"/>
                <w:highlight w:val="none"/>
              </w:rPr>
              <w:t>表</w:t>
            </w:r>
            <w:r>
              <w:rPr>
                <w:rFonts w:hint="eastAsia"/>
                <w:color w:val="auto"/>
                <w:highlight w:val="none"/>
              </w:rPr>
              <w:t>4-1</w:t>
            </w:r>
            <w:r>
              <w:rPr>
                <w:rFonts w:hint="eastAsia"/>
                <w:color w:val="auto"/>
                <w:highlight w:val="none"/>
                <w:lang w:val="en-US" w:eastAsia="zh-CN"/>
              </w:rPr>
              <w:t>4</w:t>
            </w:r>
            <w:r>
              <w:rPr>
                <w:color w:val="auto"/>
                <w:highlight w:val="none"/>
              </w:rPr>
              <w:t xml:space="preserve"> </w:t>
            </w:r>
            <w:r>
              <w:rPr>
                <w:rFonts w:hint="eastAsia"/>
                <w:color w:val="auto"/>
                <w:highlight w:val="none"/>
                <w:lang w:val="en-US" w:eastAsia="zh-CN"/>
              </w:rPr>
              <w:t>技改后全厂</w:t>
            </w:r>
            <w:r>
              <w:rPr>
                <w:rFonts w:hint="eastAsia"/>
                <w:color w:val="auto"/>
                <w:highlight w:val="none"/>
              </w:rPr>
              <w:t>涉及环境风险物质</w:t>
            </w:r>
          </w:p>
          <w:tbl>
            <w:tblPr>
              <w:tblStyle w:val="36"/>
              <w:tblW w:w="49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9"/>
              <w:gridCol w:w="2192"/>
              <w:gridCol w:w="2054"/>
              <w:gridCol w:w="1625"/>
              <w:gridCol w:w="1661"/>
            </w:tblGrid>
            <w:tr w14:paraId="3C959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1B98E076">
                  <w:pPr>
                    <w:pStyle w:val="102"/>
                    <w:keepNext w:val="0"/>
                    <w:keepLines w:val="0"/>
                    <w:pageBreakBefore w:val="0"/>
                    <w:widowControl w:val="0"/>
                    <w:kinsoku/>
                    <w:wordWrap/>
                    <w:overflowPunct/>
                    <w:topLinePunct w:val="0"/>
                    <w:autoSpaceDE/>
                    <w:autoSpaceDN/>
                    <w:bidi w:val="0"/>
                    <w:adjustRightInd/>
                    <w:snapToGrid/>
                    <w:rPr>
                      <w:color w:val="auto"/>
                      <w:highlight w:val="none"/>
                    </w:rPr>
                  </w:pPr>
                  <w:r>
                    <w:rPr>
                      <w:color w:val="auto"/>
                      <w:highlight w:val="none"/>
                    </w:rPr>
                    <w:t>序号</w:t>
                  </w:r>
                </w:p>
              </w:tc>
              <w:tc>
                <w:tcPr>
                  <w:tcW w:w="1317" w:type="pct"/>
                  <w:tcBorders>
                    <w:tl2br w:val="nil"/>
                    <w:tr2bl w:val="nil"/>
                  </w:tcBorders>
                  <w:noWrap w:val="0"/>
                  <w:vAlign w:val="center"/>
                </w:tcPr>
                <w:p w14:paraId="2AA21BF5">
                  <w:pPr>
                    <w:pStyle w:val="102"/>
                    <w:keepNext w:val="0"/>
                    <w:keepLines w:val="0"/>
                    <w:pageBreakBefore w:val="0"/>
                    <w:widowControl w:val="0"/>
                    <w:kinsoku/>
                    <w:wordWrap/>
                    <w:overflowPunct/>
                    <w:topLinePunct w:val="0"/>
                    <w:autoSpaceDE/>
                    <w:autoSpaceDN/>
                    <w:bidi w:val="0"/>
                    <w:adjustRightInd/>
                    <w:snapToGrid/>
                    <w:rPr>
                      <w:rFonts w:hint="default" w:eastAsia="宋体"/>
                      <w:color w:val="auto"/>
                      <w:highlight w:val="none"/>
                      <w:lang w:val="en-US" w:eastAsia="zh-CN"/>
                    </w:rPr>
                  </w:pPr>
                  <w:r>
                    <w:rPr>
                      <w:rFonts w:hint="eastAsia"/>
                      <w:color w:val="auto"/>
                      <w:highlight w:val="none"/>
                    </w:rPr>
                    <w:t>危险物质</w:t>
                  </w:r>
                  <w:r>
                    <w:rPr>
                      <w:color w:val="auto"/>
                      <w:highlight w:val="none"/>
                    </w:rPr>
                    <w:t>名称</w:t>
                  </w:r>
                </w:p>
              </w:tc>
              <w:tc>
                <w:tcPr>
                  <w:tcW w:w="1234" w:type="pct"/>
                  <w:tcBorders>
                    <w:tl2br w:val="nil"/>
                    <w:tr2bl w:val="nil"/>
                  </w:tcBorders>
                  <w:noWrap w:val="0"/>
                  <w:vAlign w:val="center"/>
                </w:tcPr>
                <w:p w14:paraId="23E4B698">
                  <w:pPr>
                    <w:pStyle w:val="102"/>
                    <w:keepNext w:val="0"/>
                    <w:keepLines w:val="0"/>
                    <w:pageBreakBefore w:val="0"/>
                    <w:widowControl w:val="0"/>
                    <w:kinsoku/>
                    <w:wordWrap/>
                    <w:overflowPunct/>
                    <w:topLinePunct w:val="0"/>
                    <w:autoSpaceDE/>
                    <w:autoSpaceDN/>
                    <w:bidi w:val="0"/>
                    <w:adjustRightInd/>
                    <w:snapToGrid/>
                    <w:rPr>
                      <w:color w:val="auto"/>
                      <w:highlight w:val="none"/>
                    </w:rPr>
                  </w:pPr>
                  <w:r>
                    <w:rPr>
                      <w:rFonts w:hint="eastAsia"/>
                      <w:color w:val="auto"/>
                      <w:highlight w:val="none"/>
                    </w:rPr>
                    <w:t>最大</w:t>
                  </w:r>
                  <w:r>
                    <w:rPr>
                      <w:color w:val="auto"/>
                      <w:highlight w:val="none"/>
                    </w:rPr>
                    <w:t>存在</w:t>
                  </w:r>
                  <w:r>
                    <w:rPr>
                      <w:rFonts w:hint="eastAsia"/>
                      <w:color w:val="auto"/>
                      <w:highlight w:val="none"/>
                    </w:rPr>
                    <w:t>总</w:t>
                  </w:r>
                  <w:r>
                    <w:rPr>
                      <w:color w:val="auto"/>
                      <w:highlight w:val="none"/>
                    </w:rPr>
                    <w:t>量q</w:t>
                  </w:r>
                  <w:r>
                    <w:rPr>
                      <w:rFonts w:hint="eastAsia"/>
                      <w:color w:val="auto"/>
                      <w:highlight w:val="none"/>
                      <w:vertAlign w:val="subscript"/>
                    </w:rPr>
                    <w:t>n</w:t>
                  </w:r>
                  <w:r>
                    <w:rPr>
                      <w:rFonts w:hint="eastAsia"/>
                      <w:color w:val="auto"/>
                      <w:highlight w:val="none"/>
                    </w:rPr>
                    <w:t>/</w:t>
                  </w:r>
                  <w:r>
                    <w:rPr>
                      <w:color w:val="auto"/>
                      <w:highlight w:val="none"/>
                    </w:rPr>
                    <w:t>t</w:t>
                  </w:r>
                </w:p>
              </w:tc>
              <w:tc>
                <w:tcPr>
                  <w:tcW w:w="976" w:type="pct"/>
                  <w:tcBorders>
                    <w:tl2br w:val="nil"/>
                    <w:tr2bl w:val="nil"/>
                  </w:tcBorders>
                  <w:noWrap w:val="0"/>
                  <w:vAlign w:val="center"/>
                </w:tcPr>
                <w:p w14:paraId="5553B162">
                  <w:pPr>
                    <w:pStyle w:val="102"/>
                    <w:keepNext w:val="0"/>
                    <w:keepLines w:val="0"/>
                    <w:pageBreakBefore w:val="0"/>
                    <w:widowControl w:val="0"/>
                    <w:kinsoku/>
                    <w:wordWrap/>
                    <w:overflowPunct/>
                    <w:topLinePunct w:val="0"/>
                    <w:autoSpaceDE/>
                    <w:autoSpaceDN/>
                    <w:bidi w:val="0"/>
                    <w:adjustRightInd/>
                    <w:snapToGrid/>
                    <w:rPr>
                      <w:color w:val="auto"/>
                      <w:highlight w:val="none"/>
                    </w:rPr>
                  </w:pPr>
                  <w:r>
                    <w:rPr>
                      <w:color w:val="auto"/>
                      <w:highlight w:val="none"/>
                    </w:rPr>
                    <w:t>临界量Q</w:t>
                  </w:r>
                  <w:r>
                    <w:rPr>
                      <w:rFonts w:hint="eastAsia"/>
                      <w:color w:val="auto"/>
                      <w:highlight w:val="none"/>
                      <w:vertAlign w:val="subscript"/>
                    </w:rPr>
                    <w:t>n</w:t>
                  </w:r>
                  <w:r>
                    <w:rPr>
                      <w:rFonts w:hint="eastAsia"/>
                      <w:color w:val="auto"/>
                      <w:highlight w:val="none"/>
                    </w:rPr>
                    <w:t>/</w:t>
                  </w:r>
                  <w:r>
                    <w:rPr>
                      <w:color w:val="auto"/>
                      <w:highlight w:val="none"/>
                    </w:rPr>
                    <w:t>t</w:t>
                  </w:r>
                </w:p>
              </w:tc>
              <w:tc>
                <w:tcPr>
                  <w:tcW w:w="998" w:type="pct"/>
                  <w:tcBorders>
                    <w:tl2br w:val="nil"/>
                    <w:tr2bl w:val="nil"/>
                  </w:tcBorders>
                  <w:noWrap w:val="0"/>
                  <w:vAlign w:val="center"/>
                </w:tcPr>
                <w:p w14:paraId="561D82A2">
                  <w:pPr>
                    <w:pStyle w:val="102"/>
                    <w:keepNext w:val="0"/>
                    <w:keepLines w:val="0"/>
                    <w:pageBreakBefore w:val="0"/>
                    <w:widowControl w:val="0"/>
                    <w:kinsoku/>
                    <w:wordWrap/>
                    <w:overflowPunct/>
                    <w:topLinePunct w:val="0"/>
                    <w:autoSpaceDE/>
                    <w:autoSpaceDN/>
                    <w:bidi w:val="0"/>
                    <w:adjustRightInd/>
                    <w:snapToGrid/>
                    <w:rPr>
                      <w:color w:val="auto"/>
                      <w:highlight w:val="none"/>
                    </w:rPr>
                  </w:pPr>
                  <w:r>
                    <w:rPr>
                      <w:color w:val="auto"/>
                      <w:highlight w:val="none"/>
                    </w:rPr>
                    <w:t>q</w:t>
                  </w:r>
                  <w:r>
                    <w:rPr>
                      <w:rFonts w:hint="eastAsia"/>
                      <w:color w:val="auto"/>
                      <w:highlight w:val="none"/>
                      <w:vertAlign w:val="subscript"/>
                    </w:rPr>
                    <w:t>n</w:t>
                  </w:r>
                  <w:r>
                    <w:rPr>
                      <w:rFonts w:hint="eastAsia"/>
                      <w:color w:val="auto"/>
                      <w:highlight w:val="none"/>
                    </w:rPr>
                    <w:t>/</w:t>
                  </w:r>
                  <w:r>
                    <w:rPr>
                      <w:rFonts w:hint="eastAsia"/>
                      <w:color w:val="auto"/>
                      <w:highlight w:val="none"/>
                      <w:lang w:val="en-US" w:eastAsia="zh-CN"/>
                    </w:rPr>
                    <w:t>Q</w:t>
                  </w:r>
                </w:p>
              </w:tc>
            </w:tr>
            <w:tr w14:paraId="724D3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098442C5">
                  <w:pPr>
                    <w:pStyle w:val="103"/>
                    <w:keepNext w:val="0"/>
                    <w:keepLines w:val="0"/>
                    <w:pageBreakBefore w:val="0"/>
                    <w:widowControl w:val="0"/>
                    <w:kinsoku/>
                    <w:wordWrap/>
                    <w:overflowPunct/>
                    <w:topLinePunct w:val="0"/>
                    <w:autoSpaceDE/>
                    <w:autoSpaceDN/>
                    <w:bidi w:val="0"/>
                    <w:adjustRightInd/>
                    <w:snapToGrid/>
                    <w:rPr>
                      <w:rFonts w:hint="eastAsia"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1</w:t>
                  </w:r>
                </w:p>
              </w:tc>
              <w:tc>
                <w:tcPr>
                  <w:tcW w:w="1317" w:type="pct"/>
                  <w:tcBorders>
                    <w:tl2br w:val="nil"/>
                    <w:tr2bl w:val="nil"/>
                  </w:tcBorders>
                  <w:noWrap w:val="0"/>
                  <w:vAlign w:val="center"/>
                </w:tcPr>
                <w:p w14:paraId="41DCC82E">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漆渣</w:t>
                  </w:r>
                </w:p>
              </w:tc>
              <w:tc>
                <w:tcPr>
                  <w:tcW w:w="1234" w:type="pct"/>
                  <w:tcBorders>
                    <w:tl2br w:val="nil"/>
                    <w:tr2bl w:val="nil"/>
                  </w:tcBorders>
                  <w:noWrap w:val="0"/>
                  <w:vAlign w:val="center"/>
                </w:tcPr>
                <w:p w14:paraId="2B5B6E9C">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 xml:space="preserve">0.038 </w:t>
                  </w:r>
                </w:p>
              </w:tc>
              <w:tc>
                <w:tcPr>
                  <w:tcW w:w="976" w:type="pct"/>
                  <w:tcBorders>
                    <w:tl2br w:val="nil"/>
                    <w:tr2bl w:val="nil"/>
                  </w:tcBorders>
                  <w:noWrap w:val="0"/>
                  <w:vAlign w:val="center"/>
                </w:tcPr>
                <w:p w14:paraId="618EF941">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50</w:t>
                  </w:r>
                </w:p>
              </w:tc>
              <w:tc>
                <w:tcPr>
                  <w:tcW w:w="998" w:type="pct"/>
                  <w:tcBorders>
                    <w:tl2br w:val="nil"/>
                    <w:tr2bl w:val="nil"/>
                  </w:tcBorders>
                  <w:noWrap w:val="0"/>
                  <w:vAlign w:val="center"/>
                </w:tcPr>
                <w:p w14:paraId="251D820B">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 xml:space="preserve">0.000760 </w:t>
                  </w:r>
                </w:p>
              </w:tc>
            </w:tr>
            <w:tr w14:paraId="30300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48A26DEB">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2</w:t>
                  </w:r>
                </w:p>
              </w:tc>
              <w:tc>
                <w:tcPr>
                  <w:tcW w:w="1317" w:type="pct"/>
                  <w:tcBorders>
                    <w:tl2br w:val="nil"/>
                    <w:tr2bl w:val="nil"/>
                  </w:tcBorders>
                  <w:noWrap w:val="0"/>
                  <w:vAlign w:val="center"/>
                </w:tcPr>
                <w:p w14:paraId="109BBCBA">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废漆桶</w:t>
                  </w:r>
                </w:p>
              </w:tc>
              <w:tc>
                <w:tcPr>
                  <w:tcW w:w="1234" w:type="pct"/>
                  <w:tcBorders>
                    <w:tl2br w:val="nil"/>
                    <w:tr2bl w:val="nil"/>
                  </w:tcBorders>
                  <w:noWrap w:val="0"/>
                  <w:vAlign w:val="center"/>
                </w:tcPr>
                <w:p w14:paraId="68A32082">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w:t>
                  </w:r>
                  <w:r>
                    <w:rPr>
                      <w:rFonts w:hint="eastAsia"/>
                      <w:color w:val="auto"/>
                      <w:highlight w:val="none"/>
                      <w:lang w:val="en-US" w:eastAsia="zh-CN"/>
                    </w:rPr>
                    <w:t>14</w:t>
                  </w:r>
                </w:p>
              </w:tc>
              <w:tc>
                <w:tcPr>
                  <w:tcW w:w="976" w:type="pct"/>
                  <w:tcBorders>
                    <w:tl2br w:val="nil"/>
                    <w:tr2bl w:val="nil"/>
                  </w:tcBorders>
                  <w:noWrap w:val="0"/>
                  <w:vAlign w:val="center"/>
                </w:tcPr>
                <w:p w14:paraId="2EFD1902">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50</w:t>
                  </w:r>
                </w:p>
              </w:tc>
              <w:tc>
                <w:tcPr>
                  <w:tcW w:w="998" w:type="pct"/>
                  <w:tcBorders>
                    <w:tl2br w:val="nil"/>
                    <w:tr2bl w:val="nil"/>
                  </w:tcBorders>
                  <w:noWrap w:val="0"/>
                  <w:vAlign w:val="center"/>
                </w:tcPr>
                <w:p w14:paraId="34A41F71">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0.0016</w:t>
                  </w:r>
                </w:p>
              </w:tc>
            </w:tr>
            <w:tr w14:paraId="6246C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1163A2D4">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3</w:t>
                  </w:r>
                </w:p>
              </w:tc>
              <w:tc>
                <w:tcPr>
                  <w:tcW w:w="1317" w:type="pct"/>
                  <w:tcBorders>
                    <w:tl2br w:val="nil"/>
                    <w:tr2bl w:val="nil"/>
                  </w:tcBorders>
                  <w:noWrap w:val="0"/>
                  <w:vAlign w:val="center"/>
                </w:tcPr>
                <w:p w14:paraId="17910939">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废润滑油</w:t>
                  </w:r>
                </w:p>
              </w:tc>
              <w:tc>
                <w:tcPr>
                  <w:tcW w:w="1234" w:type="pct"/>
                  <w:tcBorders>
                    <w:tl2br w:val="nil"/>
                    <w:tr2bl w:val="nil"/>
                  </w:tcBorders>
                  <w:noWrap w:val="0"/>
                  <w:vAlign w:val="center"/>
                </w:tcPr>
                <w:p w14:paraId="3DFDCDBF">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0.02</w:t>
                  </w:r>
                </w:p>
              </w:tc>
              <w:tc>
                <w:tcPr>
                  <w:tcW w:w="976" w:type="pct"/>
                  <w:tcBorders>
                    <w:tl2br w:val="nil"/>
                    <w:tr2bl w:val="nil"/>
                  </w:tcBorders>
                  <w:noWrap w:val="0"/>
                  <w:vAlign w:val="center"/>
                </w:tcPr>
                <w:p w14:paraId="7D43B5DF">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2500</w:t>
                  </w:r>
                </w:p>
              </w:tc>
              <w:tc>
                <w:tcPr>
                  <w:tcW w:w="998" w:type="pct"/>
                  <w:tcBorders>
                    <w:tl2br w:val="nil"/>
                    <w:tr2bl w:val="nil"/>
                  </w:tcBorders>
                  <w:noWrap w:val="0"/>
                  <w:vAlign w:val="center"/>
                </w:tcPr>
                <w:p w14:paraId="645C8A19">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0.000008</w:t>
                  </w:r>
                </w:p>
              </w:tc>
            </w:tr>
            <w:tr w14:paraId="26BC0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0081A85F">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4</w:t>
                  </w:r>
                </w:p>
              </w:tc>
              <w:tc>
                <w:tcPr>
                  <w:tcW w:w="1317" w:type="pct"/>
                  <w:tcBorders>
                    <w:tl2br w:val="nil"/>
                    <w:tr2bl w:val="nil"/>
                  </w:tcBorders>
                  <w:noWrap w:val="0"/>
                  <w:vAlign w:val="center"/>
                </w:tcPr>
                <w:p w14:paraId="183E39C6">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废润滑油桶</w:t>
                  </w:r>
                </w:p>
              </w:tc>
              <w:tc>
                <w:tcPr>
                  <w:tcW w:w="1234" w:type="pct"/>
                  <w:tcBorders>
                    <w:tl2br w:val="nil"/>
                    <w:tr2bl w:val="nil"/>
                  </w:tcBorders>
                  <w:noWrap w:val="0"/>
                  <w:vAlign w:val="center"/>
                </w:tcPr>
                <w:p w14:paraId="7C4BACDC">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0.02</w:t>
                  </w:r>
                </w:p>
              </w:tc>
              <w:tc>
                <w:tcPr>
                  <w:tcW w:w="976" w:type="pct"/>
                  <w:tcBorders>
                    <w:tl2br w:val="nil"/>
                    <w:tr2bl w:val="nil"/>
                  </w:tcBorders>
                  <w:noWrap w:val="0"/>
                  <w:vAlign w:val="center"/>
                </w:tcPr>
                <w:p w14:paraId="61DBE7DF">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50</w:t>
                  </w:r>
                </w:p>
              </w:tc>
              <w:tc>
                <w:tcPr>
                  <w:tcW w:w="998" w:type="pct"/>
                  <w:tcBorders>
                    <w:tl2br w:val="nil"/>
                    <w:tr2bl w:val="nil"/>
                  </w:tcBorders>
                  <w:noWrap w:val="0"/>
                  <w:vAlign w:val="center"/>
                </w:tcPr>
                <w:p w14:paraId="58E67706">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0.0004</w:t>
                  </w:r>
                </w:p>
              </w:tc>
            </w:tr>
            <w:tr w14:paraId="0B20E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660FED35">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5</w:t>
                  </w:r>
                </w:p>
              </w:tc>
              <w:tc>
                <w:tcPr>
                  <w:tcW w:w="1317" w:type="pct"/>
                  <w:tcBorders>
                    <w:tl2br w:val="nil"/>
                    <w:tr2bl w:val="nil"/>
                  </w:tcBorders>
                  <w:noWrap w:val="0"/>
                  <w:vAlign w:val="center"/>
                </w:tcPr>
                <w:p w14:paraId="3683B86D">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废过滤棉</w:t>
                  </w:r>
                </w:p>
              </w:tc>
              <w:tc>
                <w:tcPr>
                  <w:tcW w:w="1234" w:type="pct"/>
                  <w:tcBorders>
                    <w:tl2br w:val="nil"/>
                    <w:tr2bl w:val="nil"/>
                  </w:tcBorders>
                  <w:noWrap w:val="0"/>
                  <w:vAlign w:val="center"/>
                </w:tcPr>
                <w:p w14:paraId="2A9EA5CD">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 xml:space="preserve">0.148 </w:t>
                  </w:r>
                </w:p>
              </w:tc>
              <w:tc>
                <w:tcPr>
                  <w:tcW w:w="976" w:type="pct"/>
                  <w:tcBorders>
                    <w:tl2br w:val="nil"/>
                    <w:tr2bl w:val="nil"/>
                  </w:tcBorders>
                  <w:noWrap w:val="0"/>
                  <w:vAlign w:val="center"/>
                </w:tcPr>
                <w:p w14:paraId="7D8B5BC5">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50</w:t>
                  </w:r>
                </w:p>
              </w:tc>
              <w:tc>
                <w:tcPr>
                  <w:tcW w:w="998" w:type="pct"/>
                  <w:tcBorders>
                    <w:tl2br w:val="nil"/>
                    <w:tr2bl w:val="nil"/>
                  </w:tcBorders>
                  <w:noWrap w:val="0"/>
                  <w:vAlign w:val="center"/>
                </w:tcPr>
                <w:p w14:paraId="4FCFFC5D">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 xml:space="preserve">0.002961 </w:t>
                  </w:r>
                </w:p>
              </w:tc>
            </w:tr>
            <w:tr w14:paraId="2E120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0B9FF6AC">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6</w:t>
                  </w:r>
                </w:p>
              </w:tc>
              <w:tc>
                <w:tcPr>
                  <w:tcW w:w="1317" w:type="pct"/>
                  <w:tcBorders>
                    <w:tl2br w:val="nil"/>
                    <w:tr2bl w:val="nil"/>
                  </w:tcBorders>
                  <w:noWrap w:val="0"/>
                  <w:vAlign w:val="center"/>
                </w:tcPr>
                <w:p w14:paraId="4E21F059">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4"/>
                      <w:highlight w:val="none"/>
                      <w:lang w:val="en-US" w:eastAsia="zh-CN" w:bidi="ar-SA"/>
                    </w:rPr>
                  </w:pPr>
                  <w:r>
                    <w:rPr>
                      <w:rFonts w:hint="eastAsia"/>
                      <w:color w:val="auto"/>
                      <w:highlight w:val="none"/>
                      <w:lang w:val="en-US" w:eastAsia="zh-CN"/>
                    </w:rPr>
                    <w:t>废活性炭</w:t>
                  </w:r>
                </w:p>
              </w:tc>
              <w:tc>
                <w:tcPr>
                  <w:tcW w:w="1234" w:type="pct"/>
                  <w:tcBorders>
                    <w:tl2br w:val="nil"/>
                    <w:tr2bl w:val="nil"/>
                  </w:tcBorders>
                  <w:noWrap w:val="0"/>
                  <w:vAlign w:val="center"/>
                </w:tcPr>
                <w:p w14:paraId="739706EA">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2.6</w:t>
                  </w:r>
                </w:p>
              </w:tc>
              <w:tc>
                <w:tcPr>
                  <w:tcW w:w="976" w:type="pct"/>
                  <w:tcBorders>
                    <w:tl2br w:val="nil"/>
                    <w:tr2bl w:val="nil"/>
                  </w:tcBorders>
                  <w:noWrap w:val="0"/>
                  <w:vAlign w:val="center"/>
                </w:tcPr>
                <w:p w14:paraId="392DF304">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50</w:t>
                  </w:r>
                </w:p>
              </w:tc>
              <w:tc>
                <w:tcPr>
                  <w:tcW w:w="998" w:type="pct"/>
                  <w:tcBorders>
                    <w:tl2br w:val="nil"/>
                    <w:tr2bl w:val="nil"/>
                  </w:tcBorders>
                  <w:noWrap w:val="0"/>
                  <w:vAlign w:val="center"/>
                </w:tcPr>
                <w:p w14:paraId="2895F9C0">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0.052</w:t>
                  </w:r>
                </w:p>
              </w:tc>
            </w:tr>
            <w:tr w14:paraId="74984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blHeader/>
                <w:jc w:val="center"/>
              </w:trPr>
              <w:tc>
                <w:tcPr>
                  <w:tcW w:w="474" w:type="pct"/>
                  <w:tcBorders>
                    <w:tl2br w:val="nil"/>
                    <w:tr2bl w:val="nil"/>
                  </w:tcBorders>
                  <w:noWrap w:val="0"/>
                  <w:vAlign w:val="center"/>
                </w:tcPr>
                <w:p w14:paraId="29115EE3">
                  <w:pPr>
                    <w:pStyle w:val="103"/>
                    <w:keepNext w:val="0"/>
                    <w:keepLines w:val="0"/>
                    <w:pageBreakBefore w:val="0"/>
                    <w:widowControl w:val="0"/>
                    <w:kinsoku/>
                    <w:wordWrap/>
                    <w:overflowPunct/>
                    <w:topLinePunct w:val="0"/>
                    <w:autoSpaceDE/>
                    <w:autoSpaceDN/>
                    <w:bidi w:val="0"/>
                    <w:adjustRightInd/>
                    <w:snapToGrid/>
                    <w:rPr>
                      <w:rFonts w:hint="default" w:ascii="Times New Roman" w:hAnsi="Times New Roman" w:eastAsia="宋体" w:cs="Times New Roman"/>
                      <w:color w:val="auto"/>
                      <w:kern w:val="0"/>
                      <w:sz w:val="21"/>
                      <w:szCs w:val="20"/>
                      <w:highlight w:val="none"/>
                      <w:lang w:val="en-US" w:eastAsia="zh-CN" w:bidi="ar-SA"/>
                    </w:rPr>
                  </w:pPr>
                  <w:r>
                    <w:rPr>
                      <w:rFonts w:hint="eastAsia"/>
                      <w:color w:val="auto"/>
                      <w:highlight w:val="none"/>
                      <w:lang w:val="en-US" w:eastAsia="zh-CN"/>
                    </w:rPr>
                    <w:t>7</w:t>
                  </w:r>
                </w:p>
              </w:tc>
              <w:tc>
                <w:tcPr>
                  <w:tcW w:w="1317" w:type="pct"/>
                  <w:tcBorders>
                    <w:tl2br w:val="nil"/>
                    <w:tr2bl w:val="nil"/>
                  </w:tcBorders>
                  <w:noWrap w:val="0"/>
                  <w:vAlign w:val="center"/>
                </w:tcPr>
                <w:p w14:paraId="7E60A24A">
                  <w:pPr>
                    <w:pStyle w:val="103"/>
                    <w:keepNext w:val="0"/>
                    <w:keepLines w:val="0"/>
                    <w:pageBreakBefore w:val="0"/>
                    <w:widowControl w:val="0"/>
                    <w:kinsoku/>
                    <w:wordWrap/>
                    <w:overflowPunct/>
                    <w:topLinePunct w:val="0"/>
                    <w:autoSpaceDE/>
                    <w:autoSpaceDN/>
                    <w:bidi w:val="0"/>
                    <w:adjustRightInd/>
                    <w:snapToGrid/>
                    <w:ind w:left="21" w:leftChars="10" w:right="21" w:rightChars="10"/>
                    <w:rPr>
                      <w:rFonts w:hint="default" w:ascii="Times New Roman" w:hAnsi="Times New Roman" w:eastAsia="宋体" w:cs="Times New Roman"/>
                      <w:color w:val="auto"/>
                      <w:kern w:val="0"/>
                      <w:sz w:val="21"/>
                      <w:szCs w:val="20"/>
                      <w:highlight w:val="none"/>
                      <w:lang w:val="en-US" w:eastAsia="zh-CN" w:bidi="ar-SA"/>
                    </w:rPr>
                  </w:pPr>
                  <w:r>
                    <w:rPr>
                      <w:rFonts w:hint="eastAsia" w:cs="Times New Roman"/>
                      <w:color w:val="auto"/>
                      <w:kern w:val="0"/>
                      <w:sz w:val="21"/>
                      <w:szCs w:val="20"/>
                      <w:highlight w:val="none"/>
                      <w:lang w:val="en-US" w:eastAsia="zh-CN" w:bidi="ar-SA"/>
                    </w:rPr>
                    <w:t>废催化剂</w:t>
                  </w:r>
                </w:p>
              </w:tc>
              <w:tc>
                <w:tcPr>
                  <w:tcW w:w="1234" w:type="pct"/>
                  <w:tcBorders>
                    <w:tl2br w:val="nil"/>
                    <w:tr2bl w:val="nil"/>
                  </w:tcBorders>
                  <w:noWrap w:val="0"/>
                  <w:vAlign w:val="center"/>
                </w:tcPr>
                <w:p w14:paraId="5C3B7232">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0.004</w:t>
                  </w:r>
                </w:p>
              </w:tc>
              <w:tc>
                <w:tcPr>
                  <w:tcW w:w="976" w:type="pct"/>
                  <w:tcBorders>
                    <w:tl2br w:val="nil"/>
                    <w:tr2bl w:val="nil"/>
                  </w:tcBorders>
                  <w:noWrap w:val="0"/>
                  <w:vAlign w:val="center"/>
                </w:tcPr>
                <w:p w14:paraId="50FEA286">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50</w:t>
                  </w:r>
                </w:p>
              </w:tc>
              <w:tc>
                <w:tcPr>
                  <w:tcW w:w="998" w:type="pct"/>
                  <w:tcBorders>
                    <w:tl2br w:val="nil"/>
                    <w:tr2bl w:val="nil"/>
                  </w:tcBorders>
                  <w:noWrap w:val="0"/>
                  <w:vAlign w:val="center"/>
                </w:tcPr>
                <w:p w14:paraId="3DF886DA">
                  <w:pPr>
                    <w:pStyle w:val="103"/>
                    <w:bidi w:val="0"/>
                    <w:rPr>
                      <w:rFonts w:hint="default" w:ascii="Times New Roman" w:hAnsi="Times New Roman" w:eastAsia="宋体" w:cs="Times New Roman"/>
                      <w:color w:val="auto"/>
                      <w:kern w:val="0"/>
                      <w:sz w:val="21"/>
                      <w:szCs w:val="24"/>
                      <w:highlight w:val="none"/>
                      <w:lang w:val="en-US" w:eastAsia="zh-CN" w:bidi="ar-SA"/>
                    </w:rPr>
                  </w:pPr>
                  <w:r>
                    <w:rPr>
                      <w:rFonts w:hint="default"/>
                      <w:color w:val="auto"/>
                      <w:highlight w:val="none"/>
                      <w:lang w:val="en-US" w:eastAsia="zh-CN"/>
                    </w:rPr>
                    <w:t>0.00008</w:t>
                  </w:r>
                </w:p>
              </w:tc>
            </w:tr>
            <w:tr w14:paraId="0E963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4D3D48B4">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8</w:t>
                  </w:r>
                </w:p>
              </w:tc>
              <w:tc>
                <w:tcPr>
                  <w:tcW w:w="1317" w:type="pct"/>
                  <w:tcBorders>
                    <w:tl2br w:val="nil"/>
                    <w:tr2bl w:val="nil"/>
                  </w:tcBorders>
                  <w:noWrap w:val="0"/>
                  <w:vAlign w:val="center"/>
                </w:tcPr>
                <w:p w14:paraId="4F9F8E37">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甲烷</w:t>
                  </w:r>
                </w:p>
              </w:tc>
              <w:tc>
                <w:tcPr>
                  <w:tcW w:w="1234" w:type="pct"/>
                  <w:tcBorders>
                    <w:tl2br w:val="nil"/>
                    <w:tr2bl w:val="nil"/>
                  </w:tcBorders>
                  <w:noWrap w:val="0"/>
                  <w:vAlign w:val="center"/>
                </w:tcPr>
                <w:p w14:paraId="00E0D61C">
                  <w:pPr>
                    <w:keepNext w:val="0"/>
                    <w:keepLines w:val="0"/>
                    <w:widowControl/>
                    <w:suppressLineNumbers w:val="0"/>
                    <w:jc w:val="center"/>
                    <w:textAlignment w:val="center"/>
                    <w:rPr>
                      <w:rFonts w:hint="default" w:ascii="Times New Roman" w:hAnsi="Times New Roman" w:eastAsia="宋体" w:cs="Times New Roman"/>
                      <w:color w:val="auto"/>
                      <w:kern w:val="0"/>
                      <w:sz w:val="21"/>
                      <w:szCs w:val="24"/>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0.00002976</w:t>
                  </w:r>
                </w:p>
              </w:tc>
              <w:tc>
                <w:tcPr>
                  <w:tcW w:w="976" w:type="pct"/>
                  <w:tcBorders>
                    <w:tl2br w:val="nil"/>
                    <w:tr2bl w:val="nil"/>
                  </w:tcBorders>
                  <w:noWrap w:val="0"/>
                  <w:vAlign w:val="center"/>
                </w:tcPr>
                <w:p w14:paraId="22170804">
                  <w:pPr>
                    <w:keepNext w:val="0"/>
                    <w:keepLines w:val="0"/>
                    <w:widowControl/>
                    <w:suppressLineNumbers w:val="0"/>
                    <w:jc w:val="center"/>
                    <w:textAlignment w:val="center"/>
                    <w:rPr>
                      <w:rFonts w:hint="default" w:ascii="Times New Roman" w:hAnsi="Times New Roman" w:eastAsia="宋体" w:cs="Times New Roman"/>
                      <w:color w:val="auto"/>
                      <w:kern w:val="0"/>
                      <w:sz w:val="21"/>
                      <w:szCs w:val="24"/>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998" w:type="pct"/>
                  <w:tcBorders>
                    <w:tl2br w:val="nil"/>
                    <w:tr2bl w:val="nil"/>
                  </w:tcBorders>
                  <w:noWrap w:val="0"/>
                  <w:vAlign w:val="center"/>
                </w:tcPr>
                <w:p w14:paraId="6C67ECBF">
                  <w:pPr>
                    <w:keepNext w:val="0"/>
                    <w:keepLines w:val="0"/>
                    <w:widowControl/>
                    <w:suppressLineNumbers w:val="0"/>
                    <w:jc w:val="center"/>
                    <w:textAlignment w:val="center"/>
                    <w:rPr>
                      <w:rFonts w:hint="eastAsia" w:ascii="Times New Roman" w:hAnsi="Times New Roman" w:eastAsia="宋体" w:cs="Times New Roman"/>
                      <w:color w:val="auto"/>
                      <w:kern w:val="0"/>
                      <w:sz w:val="21"/>
                      <w:szCs w:val="24"/>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0.000002976</w:t>
                  </w:r>
                </w:p>
              </w:tc>
            </w:tr>
            <w:tr w14:paraId="58215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1CDA4A56">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9</w:t>
                  </w:r>
                </w:p>
              </w:tc>
              <w:tc>
                <w:tcPr>
                  <w:tcW w:w="1317" w:type="pct"/>
                  <w:tcBorders>
                    <w:tl2br w:val="nil"/>
                    <w:tr2bl w:val="nil"/>
                  </w:tcBorders>
                  <w:noWrap w:val="0"/>
                  <w:vAlign w:val="center"/>
                </w:tcPr>
                <w:p w14:paraId="37361A51">
                  <w:pPr>
                    <w:keepNext w:val="0"/>
                    <w:keepLines w:val="0"/>
                    <w:widowControl/>
                    <w:suppressLineNumbers w:val="0"/>
                    <w:jc w:val="center"/>
                    <w:textAlignment w:val="center"/>
                    <w:rPr>
                      <w:rFonts w:hint="eastAsia"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乙烷</w:t>
                  </w:r>
                </w:p>
              </w:tc>
              <w:tc>
                <w:tcPr>
                  <w:tcW w:w="1234" w:type="pct"/>
                  <w:tcBorders>
                    <w:tl2br w:val="nil"/>
                    <w:tr2bl w:val="nil"/>
                  </w:tcBorders>
                  <w:noWrap w:val="0"/>
                  <w:vAlign w:val="center"/>
                </w:tcPr>
                <w:p w14:paraId="6EF8492D">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1.2704E-06</w:t>
                  </w:r>
                </w:p>
              </w:tc>
              <w:tc>
                <w:tcPr>
                  <w:tcW w:w="976" w:type="pct"/>
                  <w:tcBorders>
                    <w:tl2br w:val="nil"/>
                    <w:tr2bl w:val="nil"/>
                  </w:tcBorders>
                  <w:noWrap w:val="0"/>
                  <w:vAlign w:val="center"/>
                </w:tcPr>
                <w:p w14:paraId="0F390F54">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998" w:type="pct"/>
                  <w:tcBorders>
                    <w:tl2br w:val="nil"/>
                    <w:tr2bl w:val="nil"/>
                  </w:tcBorders>
                  <w:noWrap w:val="0"/>
                  <w:vAlign w:val="center"/>
                </w:tcPr>
                <w:p w14:paraId="64CFC5D5">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1.2704E-07</w:t>
                  </w:r>
                </w:p>
              </w:tc>
            </w:tr>
            <w:tr w14:paraId="67A4F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6EA0722A">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10</w:t>
                  </w:r>
                </w:p>
              </w:tc>
              <w:tc>
                <w:tcPr>
                  <w:tcW w:w="1317" w:type="pct"/>
                  <w:tcBorders>
                    <w:tl2br w:val="nil"/>
                    <w:tr2bl w:val="nil"/>
                  </w:tcBorders>
                  <w:noWrap w:val="0"/>
                  <w:vAlign w:val="center"/>
                </w:tcPr>
                <w:p w14:paraId="6BE07E9F">
                  <w:pPr>
                    <w:keepNext w:val="0"/>
                    <w:keepLines w:val="0"/>
                    <w:widowControl/>
                    <w:suppressLineNumbers w:val="0"/>
                    <w:jc w:val="center"/>
                    <w:textAlignment w:val="center"/>
                    <w:rPr>
                      <w:rFonts w:hint="eastAsia"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丙烷</w:t>
                  </w:r>
                </w:p>
              </w:tc>
              <w:tc>
                <w:tcPr>
                  <w:tcW w:w="1234" w:type="pct"/>
                  <w:tcBorders>
                    <w:tl2br w:val="nil"/>
                    <w:tr2bl w:val="nil"/>
                  </w:tcBorders>
                  <w:noWrap w:val="0"/>
                  <w:vAlign w:val="center"/>
                </w:tcPr>
                <w:p w14:paraId="3088ADE2">
                  <w:pPr>
                    <w:keepNext w:val="0"/>
                    <w:keepLines w:val="0"/>
                    <w:widowControl/>
                    <w:suppressLineNumbers w:val="0"/>
                    <w:jc w:val="center"/>
                    <w:textAlignment w:val="center"/>
                    <w:rPr>
                      <w:rFonts w:hint="eastAsia"/>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2.304E-07</w:t>
                  </w:r>
                </w:p>
              </w:tc>
              <w:tc>
                <w:tcPr>
                  <w:tcW w:w="976" w:type="pct"/>
                  <w:tcBorders>
                    <w:tl2br w:val="nil"/>
                    <w:tr2bl w:val="nil"/>
                  </w:tcBorders>
                  <w:noWrap w:val="0"/>
                  <w:vAlign w:val="center"/>
                </w:tcPr>
                <w:p w14:paraId="38A9839E">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998" w:type="pct"/>
                  <w:tcBorders>
                    <w:tl2br w:val="nil"/>
                    <w:tr2bl w:val="nil"/>
                  </w:tcBorders>
                  <w:noWrap w:val="0"/>
                  <w:vAlign w:val="center"/>
                </w:tcPr>
                <w:p w14:paraId="60DD6E34">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2.304E-08</w:t>
                  </w:r>
                </w:p>
              </w:tc>
            </w:tr>
            <w:tr w14:paraId="27D6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2AD6A89F">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11</w:t>
                  </w:r>
                </w:p>
              </w:tc>
              <w:tc>
                <w:tcPr>
                  <w:tcW w:w="1317" w:type="pct"/>
                  <w:tcBorders>
                    <w:tl2br w:val="nil"/>
                    <w:tr2bl w:val="nil"/>
                  </w:tcBorders>
                  <w:noWrap w:val="0"/>
                  <w:vAlign w:val="center"/>
                </w:tcPr>
                <w:p w14:paraId="5AD470B7">
                  <w:pPr>
                    <w:keepNext w:val="0"/>
                    <w:keepLines w:val="0"/>
                    <w:widowControl/>
                    <w:suppressLineNumbers w:val="0"/>
                    <w:jc w:val="center"/>
                    <w:textAlignment w:val="center"/>
                    <w:rPr>
                      <w:rFonts w:hint="eastAsia"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异丁烷</w:t>
                  </w:r>
                </w:p>
              </w:tc>
              <w:tc>
                <w:tcPr>
                  <w:tcW w:w="1234" w:type="pct"/>
                  <w:tcBorders>
                    <w:tl2br w:val="nil"/>
                    <w:tr2bl w:val="nil"/>
                  </w:tcBorders>
                  <w:noWrap w:val="0"/>
                  <w:vAlign w:val="center"/>
                </w:tcPr>
                <w:p w14:paraId="71BF7622">
                  <w:pPr>
                    <w:keepNext w:val="0"/>
                    <w:keepLines w:val="0"/>
                    <w:widowControl/>
                    <w:suppressLineNumbers w:val="0"/>
                    <w:jc w:val="center"/>
                    <w:textAlignment w:val="center"/>
                    <w:rPr>
                      <w:rFonts w:hint="eastAsia"/>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4.16E-08</w:t>
                  </w:r>
                </w:p>
              </w:tc>
              <w:tc>
                <w:tcPr>
                  <w:tcW w:w="976" w:type="pct"/>
                  <w:tcBorders>
                    <w:tl2br w:val="nil"/>
                    <w:tr2bl w:val="nil"/>
                  </w:tcBorders>
                  <w:noWrap w:val="0"/>
                  <w:vAlign w:val="center"/>
                </w:tcPr>
                <w:p w14:paraId="465A89E0">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998" w:type="pct"/>
                  <w:tcBorders>
                    <w:tl2br w:val="nil"/>
                    <w:tr2bl w:val="nil"/>
                  </w:tcBorders>
                  <w:noWrap w:val="0"/>
                  <w:vAlign w:val="center"/>
                </w:tcPr>
                <w:p w14:paraId="0B2EBD61">
                  <w:pPr>
                    <w:keepNext w:val="0"/>
                    <w:keepLines w:val="0"/>
                    <w:widowControl/>
                    <w:suppressLineNumbers w:val="0"/>
                    <w:jc w:val="center"/>
                    <w:textAlignment w:val="center"/>
                    <w:rPr>
                      <w:rFonts w:hint="default"/>
                      <w:color w:val="auto"/>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4.16E-09</w:t>
                  </w:r>
                </w:p>
              </w:tc>
            </w:tr>
            <w:tr w14:paraId="47F81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2EBA416B">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12</w:t>
                  </w:r>
                </w:p>
              </w:tc>
              <w:tc>
                <w:tcPr>
                  <w:tcW w:w="1317" w:type="pct"/>
                  <w:tcBorders>
                    <w:tl2br w:val="nil"/>
                    <w:tr2bl w:val="nil"/>
                  </w:tcBorders>
                  <w:noWrap w:val="0"/>
                  <w:vAlign w:val="center"/>
                </w:tcPr>
                <w:p w14:paraId="0BC333C0">
                  <w:pPr>
                    <w:pStyle w:val="103"/>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bidi="ar"/>
                    </w:rPr>
                    <w:t>乙烯醚脂肪胺</w:t>
                  </w:r>
                </w:p>
              </w:tc>
              <w:tc>
                <w:tcPr>
                  <w:tcW w:w="1234" w:type="pct"/>
                  <w:tcBorders>
                    <w:tl2br w:val="nil"/>
                    <w:tr2bl w:val="nil"/>
                  </w:tcBorders>
                  <w:noWrap w:val="0"/>
                  <w:vAlign w:val="center"/>
                </w:tcPr>
                <w:p w14:paraId="442CD722">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bidi="ar"/>
                    </w:rPr>
                    <w:t>0.</w:t>
                  </w:r>
                  <w:r>
                    <w:rPr>
                      <w:rFonts w:hint="eastAsia"/>
                      <w:color w:val="auto"/>
                      <w:szCs w:val="21"/>
                      <w:highlight w:val="none"/>
                      <w:lang w:val="en-US" w:eastAsia="zh-CN" w:bidi="ar"/>
                    </w:rPr>
                    <w:t>35</w:t>
                  </w:r>
                </w:p>
              </w:tc>
              <w:tc>
                <w:tcPr>
                  <w:tcW w:w="976" w:type="pct"/>
                  <w:tcBorders>
                    <w:tl2br w:val="nil"/>
                    <w:tr2bl w:val="nil"/>
                  </w:tcBorders>
                  <w:noWrap w:val="0"/>
                  <w:vAlign w:val="center"/>
                </w:tcPr>
                <w:p w14:paraId="5FEB920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998" w:type="pct"/>
                  <w:tcBorders>
                    <w:tl2br w:val="nil"/>
                    <w:tr2bl w:val="nil"/>
                  </w:tcBorders>
                  <w:noWrap w:val="0"/>
                  <w:vAlign w:val="center"/>
                </w:tcPr>
                <w:p w14:paraId="63430A05">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rPr>
                    <w:t>0.</w:t>
                  </w:r>
                  <w:r>
                    <w:rPr>
                      <w:rFonts w:hint="eastAsia"/>
                      <w:color w:val="auto"/>
                      <w:szCs w:val="21"/>
                      <w:highlight w:val="none"/>
                      <w:lang w:val="en-US" w:eastAsia="zh-CN"/>
                    </w:rPr>
                    <w:t>35</w:t>
                  </w:r>
                </w:p>
              </w:tc>
            </w:tr>
            <w:tr w14:paraId="1D856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62CB79F4">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13</w:t>
                  </w:r>
                </w:p>
              </w:tc>
              <w:tc>
                <w:tcPr>
                  <w:tcW w:w="1317" w:type="pct"/>
                  <w:tcBorders>
                    <w:tl2br w:val="nil"/>
                    <w:tr2bl w:val="nil"/>
                  </w:tcBorders>
                  <w:noWrap w:val="0"/>
                  <w:vAlign w:val="center"/>
                </w:tcPr>
                <w:p w14:paraId="654B59DD">
                  <w:pPr>
                    <w:pStyle w:val="12"/>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聚酸胺三乙醇胺</w:t>
                  </w:r>
                </w:p>
              </w:tc>
              <w:tc>
                <w:tcPr>
                  <w:tcW w:w="1234" w:type="pct"/>
                  <w:tcBorders>
                    <w:tl2br w:val="nil"/>
                    <w:tr2bl w:val="nil"/>
                  </w:tcBorders>
                  <w:noWrap w:val="0"/>
                  <w:vAlign w:val="center"/>
                </w:tcPr>
                <w:p w14:paraId="025545C6">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bidi="ar"/>
                    </w:rPr>
                    <w:t>0.</w:t>
                  </w:r>
                  <w:r>
                    <w:rPr>
                      <w:rFonts w:hint="eastAsia"/>
                      <w:color w:val="auto"/>
                      <w:szCs w:val="21"/>
                      <w:highlight w:val="none"/>
                      <w:lang w:val="en-US" w:eastAsia="zh-CN" w:bidi="ar"/>
                    </w:rPr>
                    <w:t>65</w:t>
                  </w:r>
                </w:p>
              </w:tc>
              <w:tc>
                <w:tcPr>
                  <w:tcW w:w="976" w:type="pct"/>
                  <w:tcBorders>
                    <w:tl2br w:val="nil"/>
                    <w:tr2bl w:val="nil"/>
                  </w:tcBorders>
                  <w:noWrap w:val="0"/>
                  <w:vAlign w:val="center"/>
                </w:tcPr>
                <w:p w14:paraId="7189B3E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50</w:t>
                  </w:r>
                </w:p>
              </w:tc>
              <w:tc>
                <w:tcPr>
                  <w:tcW w:w="998" w:type="pct"/>
                  <w:tcBorders>
                    <w:tl2br w:val="nil"/>
                    <w:tr2bl w:val="nil"/>
                  </w:tcBorders>
                  <w:noWrap w:val="0"/>
                  <w:vAlign w:val="center"/>
                </w:tcPr>
                <w:p w14:paraId="6A51DA8A">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rPr>
                    <w:t>0.0</w:t>
                  </w:r>
                  <w:r>
                    <w:rPr>
                      <w:rFonts w:hint="eastAsia"/>
                      <w:color w:val="auto"/>
                      <w:szCs w:val="21"/>
                      <w:highlight w:val="none"/>
                      <w:lang w:val="en-US" w:eastAsia="zh-CN"/>
                    </w:rPr>
                    <w:t>1</w:t>
                  </w:r>
                  <w:r>
                    <w:rPr>
                      <w:rFonts w:hint="eastAsia"/>
                      <w:color w:val="auto"/>
                      <w:szCs w:val="21"/>
                      <w:highlight w:val="none"/>
                      <w:lang w:val="en-US"/>
                    </w:rPr>
                    <w:t>3</w:t>
                  </w:r>
                </w:p>
              </w:tc>
            </w:tr>
            <w:tr w14:paraId="6690D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533FFD1A">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14</w:t>
                  </w:r>
                </w:p>
              </w:tc>
              <w:tc>
                <w:tcPr>
                  <w:tcW w:w="1317" w:type="pct"/>
                  <w:tcBorders>
                    <w:tl2br w:val="nil"/>
                    <w:tr2bl w:val="nil"/>
                  </w:tcBorders>
                  <w:noWrap w:val="0"/>
                  <w:vAlign w:val="center"/>
                </w:tcPr>
                <w:p w14:paraId="341850EC">
                  <w:pPr>
                    <w:adjustRightInd w:val="0"/>
                    <w:snapToGrid w:val="0"/>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rPr>
                    <w:t>废矿物油</w:t>
                  </w:r>
                </w:p>
              </w:tc>
              <w:tc>
                <w:tcPr>
                  <w:tcW w:w="1234" w:type="pct"/>
                  <w:tcBorders>
                    <w:tl2br w:val="nil"/>
                    <w:tr2bl w:val="nil"/>
                  </w:tcBorders>
                  <w:noWrap w:val="0"/>
                  <w:vAlign w:val="center"/>
                </w:tcPr>
                <w:p w14:paraId="456CFE8E">
                  <w:pPr>
                    <w:adjustRightInd w:val="0"/>
                    <w:snapToGrid w:val="0"/>
                    <w:jc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eastAsia="zh-CN"/>
                    </w:rPr>
                    <w:t>0.01425</w:t>
                  </w:r>
                </w:p>
              </w:tc>
              <w:tc>
                <w:tcPr>
                  <w:tcW w:w="976" w:type="pct"/>
                  <w:tcBorders>
                    <w:tl2br w:val="nil"/>
                    <w:tr2bl w:val="nil"/>
                  </w:tcBorders>
                  <w:noWrap w:val="0"/>
                  <w:vAlign w:val="center"/>
                </w:tcPr>
                <w:p w14:paraId="0FAABF8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2500</w:t>
                  </w:r>
                </w:p>
              </w:tc>
              <w:tc>
                <w:tcPr>
                  <w:tcW w:w="998" w:type="pct"/>
                  <w:tcBorders>
                    <w:tl2br w:val="nil"/>
                    <w:tr2bl w:val="nil"/>
                  </w:tcBorders>
                  <w:noWrap w:val="0"/>
                  <w:vAlign w:val="center"/>
                </w:tcPr>
                <w:p w14:paraId="6A95B6E6">
                  <w:pPr>
                    <w:pStyle w:val="103"/>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rPr>
                    <w:t>0.00000588</w:t>
                  </w:r>
                </w:p>
              </w:tc>
            </w:tr>
            <w:tr w14:paraId="598A5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620B3EE8">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15</w:t>
                  </w:r>
                </w:p>
              </w:tc>
              <w:tc>
                <w:tcPr>
                  <w:tcW w:w="1317" w:type="pct"/>
                  <w:tcBorders>
                    <w:tl2br w:val="nil"/>
                    <w:tr2bl w:val="nil"/>
                  </w:tcBorders>
                  <w:noWrap w:val="0"/>
                  <w:vAlign w:val="center"/>
                </w:tcPr>
                <w:p w14:paraId="079F6A4D">
                  <w:pPr>
                    <w:adjustRightInd w:val="0"/>
                    <w:snapToGrid w:val="0"/>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rPr>
                    <w:t>絮凝沉淀物</w:t>
                  </w:r>
                </w:p>
              </w:tc>
              <w:tc>
                <w:tcPr>
                  <w:tcW w:w="1234" w:type="pct"/>
                  <w:tcBorders>
                    <w:tl2br w:val="nil"/>
                    <w:tr2bl w:val="nil"/>
                  </w:tcBorders>
                  <w:noWrap w:val="0"/>
                  <w:vAlign w:val="center"/>
                </w:tcPr>
                <w:p w14:paraId="394F8CAA">
                  <w:pPr>
                    <w:adjustRightInd w:val="0"/>
                    <w:snapToGrid w:val="0"/>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highlight w:val="none"/>
                    </w:rPr>
                    <w:t>0.02</w:t>
                  </w:r>
                </w:p>
              </w:tc>
              <w:tc>
                <w:tcPr>
                  <w:tcW w:w="976" w:type="pct"/>
                  <w:tcBorders>
                    <w:tl2br w:val="nil"/>
                    <w:tr2bl w:val="nil"/>
                  </w:tcBorders>
                  <w:noWrap w:val="0"/>
                  <w:vAlign w:val="center"/>
                </w:tcPr>
                <w:p w14:paraId="23B2CAA9">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50</w:t>
                  </w:r>
                </w:p>
              </w:tc>
              <w:tc>
                <w:tcPr>
                  <w:tcW w:w="998" w:type="pct"/>
                  <w:tcBorders>
                    <w:tl2br w:val="nil"/>
                    <w:tr2bl w:val="nil"/>
                  </w:tcBorders>
                  <w:noWrap w:val="0"/>
                  <w:vAlign w:val="center"/>
                </w:tcPr>
                <w:p w14:paraId="3760AD70">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rPr>
                    <w:t>0.0004</w:t>
                  </w:r>
                </w:p>
              </w:tc>
            </w:tr>
            <w:tr w14:paraId="1453A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74" w:type="pct"/>
                  <w:tcBorders>
                    <w:tl2br w:val="nil"/>
                    <w:tr2bl w:val="nil"/>
                  </w:tcBorders>
                  <w:noWrap w:val="0"/>
                  <w:vAlign w:val="center"/>
                </w:tcPr>
                <w:p w14:paraId="5D29EEF5">
                  <w:pPr>
                    <w:pStyle w:val="103"/>
                    <w:keepNext w:val="0"/>
                    <w:keepLines w:val="0"/>
                    <w:pageBreakBefore w:val="0"/>
                    <w:widowControl w:val="0"/>
                    <w:kinsoku/>
                    <w:wordWrap/>
                    <w:overflowPunct/>
                    <w:topLinePunct w:val="0"/>
                    <w:autoSpaceDE/>
                    <w:autoSpaceDN/>
                    <w:bidi w:val="0"/>
                    <w:adjustRightInd/>
                    <w:snapToGrid/>
                    <w:rPr>
                      <w:rFonts w:hint="default"/>
                      <w:color w:val="auto"/>
                      <w:highlight w:val="none"/>
                      <w:lang w:val="en-US" w:eastAsia="zh-CN"/>
                    </w:rPr>
                  </w:pPr>
                  <w:r>
                    <w:rPr>
                      <w:rFonts w:hint="eastAsia"/>
                      <w:color w:val="auto"/>
                      <w:highlight w:val="none"/>
                      <w:lang w:val="en-US" w:eastAsia="zh-CN"/>
                    </w:rPr>
                    <w:t>16</w:t>
                  </w:r>
                </w:p>
              </w:tc>
              <w:tc>
                <w:tcPr>
                  <w:tcW w:w="1317" w:type="pct"/>
                  <w:tcBorders>
                    <w:tl2br w:val="nil"/>
                    <w:tr2bl w:val="nil"/>
                  </w:tcBorders>
                  <w:noWrap w:val="0"/>
                  <w:vAlign w:val="center"/>
                </w:tcPr>
                <w:p w14:paraId="07FF1005">
                  <w:pPr>
                    <w:adjustRightInd w:val="0"/>
                    <w:snapToGrid w:val="0"/>
                    <w:jc w:val="center"/>
                    <w:rPr>
                      <w:rFonts w:hint="eastAsia"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rPr>
                    <w:t>重油垢清洗剂、多功能防锈剂塑料</w:t>
                  </w:r>
                  <w:r>
                    <w:rPr>
                      <w:rFonts w:hint="eastAsia"/>
                      <w:color w:val="auto"/>
                      <w:szCs w:val="21"/>
                      <w:highlight w:val="none"/>
                      <w:lang w:val="en-US" w:eastAsia="zh-CN"/>
                    </w:rPr>
                    <w:t>内衬袋</w:t>
                  </w:r>
                </w:p>
              </w:tc>
              <w:tc>
                <w:tcPr>
                  <w:tcW w:w="1234" w:type="pct"/>
                  <w:tcBorders>
                    <w:tl2br w:val="nil"/>
                    <w:tr2bl w:val="nil"/>
                  </w:tcBorders>
                  <w:noWrap w:val="0"/>
                  <w:vAlign w:val="center"/>
                </w:tcPr>
                <w:p w14:paraId="685AFE03">
                  <w:pPr>
                    <w:adjustRightInd w:val="0"/>
                    <w:snapToGrid w:val="0"/>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rPr>
                    <w:t>0.014</w:t>
                  </w:r>
                </w:p>
              </w:tc>
              <w:tc>
                <w:tcPr>
                  <w:tcW w:w="976" w:type="pct"/>
                  <w:tcBorders>
                    <w:tl2br w:val="nil"/>
                    <w:tr2bl w:val="nil"/>
                  </w:tcBorders>
                  <w:noWrap w:val="0"/>
                  <w:vAlign w:val="center"/>
                </w:tcPr>
                <w:p w14:paraId="35696066">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50</w:t>
                  </w:r>
                </w:p>
              </w:tc>
              <w:tc>
                <w:tcPr>
                  <w:tcW w:w="998" w:type="pct"/>
                  <w:tcBorders>
                    <w:tl2br w:val="nil"/>
                    <w:tr2bl w:val="nil"/>
                  </w:tcBorders>
                  <w:noWrap w:val="0"/>
                  <w:vAlign w:val="center"/>
                </w:tcPr>
                <w:p w14:paraId="5160724F">
                  <w:pPr>
                    <w:pStyle w:val="103"/>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olor w:val="auto"/>
                      <w:szCs w:val="21"/>
                      <w:highlight w:val="none"/>
                      <w:lang w:val="en-US"/>
                    </w:rPr>
                    <w:t>0.00028</w:t>
                  </w:r>
                </w:p>
              </w:tc>
            </w:tr>
            <w:tr w14:paraId="6391B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blHeader/>
                <w:jc w:val="center"/>
              </w:trPr>
              <w:tc>
                <w:tcPr>
                  <w:tcW w:w="4001" w:type="pct"/>
                  <w:gridSpan w:val="4"/>
                  <w:tcBorders>
                    <w:tl2br w:val="nil"/>
                    <w:tr2bl w:val="nil"/>
                  </w:tcBorders>
                  <w:noWrap w:val="0"/>
                  <w:vAlign w:val="center"/>
                </w:tcPr>
                <w:p w14:paraId="0831C573">
                  <w:pPr>
                    <w:pStyle w:val="103"/>
                    <w:bidi w:val="0"/>
                    <w:rPr>
                      <w:rFonts w:hint="default"/>
                      <w:color w:val="auto"/>
                      <w:highlight w:val="none"/>
                      <w:lang w:val="en-US" w:eastAsia="zh-CN"/>
                    </w:rPr>
                  </w:pPr>
                  <w:r>
                    <w:rPr>
                      <w:rFonts w:hint="eastAsia"/>
                      <w:color w:val="auto"/>
                      <w:highlight w:val="none"/>
                      <w:lang w:val="en-US" w:eastAsia="zh-CN"/>
                    </w:rPr>
                    <w:t>合计</w:t>
                  </w:r>
                </w:p>
              </w:tc>
              <w:tc>
                <w:tcPr>
                  <w:tcW w:w="998" w:type="pct"/>
                  <w:tcBorders>
                    <w:tl2br w:val="nil"/>
                    <w:tr2bl w:val="nil"/>
                  </w:tcBorders>
                  <w:shd w:val="clear" w:color="auto" w:fill="auto"/>
                  <w:noWrap w:val="0"/>
                  <w:vAlign w:val="center"/>
                </w:tcPr>
                <w:p w14:paraId="369322F4">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0.42149801</w:t>
                  </w:r>
                </w:p>
              </w:tc>
            </w:tr>
          </w:tbl>
          <w:p w14:paraId="60EEB814">
            <w:pPr>
              <w:pStyle w:val="112"/>
              <w:pageBreakBefore w:val="0"/>
              <w:widowControl w:val="0"/>
              <w:kinsoku/>
              <w:wordWrap/>
              <w:overflowPunct/>
              <w:topLinePunct w:val="0"/>
              <w:autoSpaceDE/>
              <w:autoSpaceDN/>
              <w:bidi w:val="0"/>
              <w:spacing w:before="24" w:after="24" w:line="460" w:lineRule="exact"/>
              <w:ind w:firstLine="480"/>
              <w:textAlignment w:val="auto"/>
              <w:rPr>
                <w:rFonts w:hint="default"/>
                <w:color w:val="auto"/>
                <w:sz w:val="24"/>
                <w:szCs w:val="24"/>
                <w:highlight w:val="none"/>
              </w:rPr>
            </w:pPr>
            <w:r>
              <w:rPr>
                <w:color w:val="auto"/>
                <w:sz w:val="24"/>
                <w:szCs w:val="24"/>
                <w:highlight w:val="none"/>
              </w:rPr>
              <w:t>本项目</w:t>
            </w:r>
            <w:r>
              <w:rPr>
                <w:rFonts w:hint="default"/>
                <w:color w:val="auto"/>
                <w:sz w:val="24"/>
                <w:szCs w:val="24"/>
                <w:highlight w:val="none"/>
              </w:rPr>
              <w:t>危险物质</w:t>
            </w:r>
            <w:r>
              <w:rPr>
                <w:color w:val="auto"/>
                <w:sz w:val="24"/>
                <w:szCs w:val="24"/>
                <w:highlight w:val="none"/>
              </w:rPr>
              <w:t>最大储存量</w:t>
            </w:r>
            <w:r>
              <w:rPr>
                <w:rFonts w:hint="default"/>
                <w:color w:val="auto"/>
                <w:sz w:val="24"/>
                <w:szCs w:val="24"/>
                <w:highlight w:val="none"/>
              </w:rPr>
              <w:t>与临界量的比值Q＜1，因此，</w:t>
            </w:r>
            <w:r>
              <w:rPr>
                <w:color w:val="auto"/>
                <w:sz w:val="24"/>
                <w:szCs w:val="24"/>
                <w:highlight w:val="none"/>
              </w:rPr>
              <w:t>本</w:t>
            </w:r>
            <w:r>
              <w:rPr>
                <w:rFonts w:hint="default"/>
                <w:color w:val="auto"/>
                <w:sz w:val="24"/>
                <w:szCs w:val="24"/>
                <w:highlight w:val="none"/>
              </w:rPr>
              <w:t>项目风险潜势为Ⅰ</w:t>
            </w:r>
            <w:r>
              <w:rPr>
                <w:rFonts w:hint="eastAsia"/>
                <w:color w:val="auto"/>
                <w:sz w:val="24"/>
                <w:szCs w:val="24"/>
                <w:highlight w:val="none"/>
                <w:lang w:eastAsia="zh-CN"/>
              </w:rPr>
              <w:t>，</w:t>
            </w:r>
            <w:r>
              <w:rPr>
                <w:color w:val="auto"/>
                <w:sz w:val="24"/>
                <w:szCs w:val="24"/>
                <w:highlight w:val="none"/>
              </w:rPr>
              <w:t>本项目</w:t>
            </w:r>
            <w:r>
              <w:rPr>
                <w:rFonts w:hint="eastAsia"/>
                <w:color w:val="auto"/>
                <w:sz w:val="24"/>
                <w:szCs w:val="24"/>
                <w:highlight w:val="none"/>
              </w:rPr>
              <w:t>风险</w:t>
            </w:r>
            <w:r>
              <w:rPr>
                <w:color w:val="auto"/>
                <w:sz w:val="24"/>
                <w:szCs w:val="24"/>
                <w:highlight w:val="none"/>
              </w:rPr>
              <w:t>物质存储量未超过临界量</w:t>
            </w:r>
            <w:r>
              <w:rPr>
                <w:rFonts w:hint="default"/>
                <w:color w:val="auto"/>
                <w:sz w:val="24"/>
                <w:szCs w:val="24"/>
                <w:highlight w:val="none"/>
              </w:rPr>
              <w:t>。</w:t>
            </w:r>
          </w:p>
          <w:p w14:paraId="2CED41E7">
            <w:pPr>
              <w:pageBreakBefore w:val="0"/>
              <w:numPr>
                <w:ilvl w:val="0"/>
                <w:numId w:val="0"/>
              </w:numPr>
              <w:kinsoku/>
              <w:wordWrap/>
              <w:overflowPunct/>
              <w:topLinePunct w:val="0"/>
              <w:autoSpaceDE/>
              <w:autoSpaceDN/>
              <w:bidi w:val="0"/>
              <w:adjustRightInd w:val="0"/>
              <w:snapToGrid w:val="0"/>
              <w:spacing w:line="460" w:lineRule="exact"/>
              <w:ind w:firstLine="482" w:firstLineChars="200"/>
              <w:textAlignment w:val="auto"/>
              <w:rPr>
                <w:b/>
                <w:bCs/>
                <w:color w:val="auto"/>
                <w:sz w:val="24"/>
                <w:highlight w:val="none"/>
              </w:rPr>
            </w:pPr>
            <w:r>
              <w:rPr>
                <w:rFonts w:ascii="Times New Roman" w:hAnsi="Times New Roman" w:eastAsia="宋体" w:cs="Times New Roman"/>
                <w:b/>
                <w:bCs/>
                <w:color w:val="auto"/>
                <w:kern w:val="2"/>
                <w:sz w:val="24"/>
                <w:szCs w:val="24"/>
                <w:lang w:val="en-US" w:eastAsia="zh-CN" w:bidi="ar-SA"/>
              </w:rPr>
              <w:t>2.</w:t>
            </w:r>
            <w:r>
              <w:rPr>
                <w:b/>
                <w:bCs/>
                <w:color w:val="auto"/>
                <w:sz w:val="24"/>
                <w:highlight w:val="none"/>
              </w:rPr>
              <w:t>环境风险防范措施及应急要求</w:t>
            </w:r>
          </w:p>
          <w:p w14:paraId="4280E4F2">
            <w:pPr>
              <w:pStyle w:val="2"/>
              <w:pageBreakBefore w:val="0"/>
              <w:kinsoku/>
              <w:wordWrap/>
              <w:overflowPunct/>
              <w:topLinePunct w:val="0"/>
              <w:autoSpaceDE/>
              <w:autoSpaceDN/>
              <w:bidi w:val="0"/>
              <w:spacing w:line="460" w:lineRule="exact"/>
              <w:ind w:left="420" w:leftChars="200" w:firstLine="0" w:firstLineChars="0"/>
              <w:textAlignment w:val="auto"/>
              <w:rPr>
                <w:color w:val="auto"/>
                <w:sz w:val="24"/>
                <w:highlight w:val="none"/>
              </w:rPr>
            </w:pPr>
            <w:r>
              <w:rPr>
                <w:rFonts w:hint="eastAsia"/>
                <w:color w:val="auto"/>
                <w:sz w:val="24"/>
                <w:highlight w:val="none"/>
              </w:rPr>
              <w:t>（1）</w:t>
            </w:r>
            <w:r>
              <w:rPr>
                <w:color w:val="auto"/>
                <w:sz w:val="24"/>
                <w:highlight w:val="none"/>
              </w:rPr>
              <w:t>选址、总图布置和建筑安全防范措施</w:t>
            </w:r>
          </w:p>
          <w:p w14:paraId="1B899027">
            <w:pPr>
              <w:pageBreakBefore w:val="0"/>
              <w:kinsoku/>
              <w:wordWrap/>
              <w:overflowPunct/>
              <w:topLinePunct w:val="0"/>
              <w:autoSpaceDE/>
              <w:autoSpaceDN/>
              <w:bidi w:val="0"/>
              <w:adjustRightInd w:val="0"/>
              <w:snapToGrid w:val="0"/>
              <w:spacing w:line="460" w:lineRule="exact"/>
              <w:ind w:firstLine="480" w:firstLineChars="200"/>
              <w:textAlignment w:val="auto"/>
              <w:rPr>
                <w:color w:val="auto"/>
                <w:sz w:val="24"/>
                <w:highlight w:val="none"/>
              </w:rPr>
            </w:pPr>
            <w:r>
              <w:rPr>
                <w:rFonts w:hint="eastAsia"/>
                <w:color w:val="auto"/>
                <w:sz w:val="24"/>
                <w:highlight w:val="none"/>
              </w:rPr>
              <w:t>技改项目</w:t>
            </w:r>
            <w:r>
              <w:rPr>
                <w:color w:val="auto"/>
                <w:sz w:val="24"/>
                <w:highlight w:val="none"/>
              </w:rPr>
              <w:t>总平面布置、建筑物布局按《建筑设计防火规范》（GB50016-2006）设计，并留有足够的安全防火间距。</w:t>
            </w:r>
          </w:p>
          <w:p w14:paraId="602C92CB">
            <w:pPr>
              <w:pageBreakBefore w:val="0"/>
              <w:kinsoku/>
              <w:wordWrap/>
              <w:overflowPunct/>
              <w:topLinePunct w:val="0"/>
              <w:autoSpaceDE/>
              <w:autoSpaceDN/>
              <w:bidi w:val="0"/>
              <w:adjustRightInd w:val="0"/>
              <w:snapToGrid w:val="0"/>
              <w:spacing w:line="460" w:lineRule="exact"/>
              <w:ind w:firstLine="480" w:firstLineChars="200"/>
              <w:textAlignment w:val="auto"/>
              <w:rPr>
                <w:color w:val="auto"/>
                <w:sz w:val="24"/>
                <w:highlight w:val="none"/>
              </w:rPr>
            </w:pPr>
            <w:r>
              <w:rPr>
                <w:rFonts w:hint="eastAsia"/>
                <w:color w:val="auto"/>
                <w:sz w:val="24"/>
                <w:highlight w:val="none"/>
              </w:rPr>
              <w:t>技改项目</w:t>
            </w:r>
            <w:r>
              <w:rPr>
                <w:color w:val="auto"/>
                <w:sz w:val="24"/>
                <w:highlight w:val="none"/>
              </w:rPr>
              <w:t>按照设计规范要求合理组织人流和货流，结合交通、消防的需要，装置区周围设置环形消防道，以满足工艺流程、厂内外运输、检修及生产管理的要求。</w:t>
            </w:r>
          </w:p>
          <w:p w14:paraId="7A2568FE">
            <w:pPr>
              <w:pStyle w:val="2"/>
              <w:pageBreakBefore w:val="0"/>
              <w:kinsoku/>
              <w:wordWrap/>
              <w:overflowPunct/>
              <w:topLinePunct w:val="0"/>
              <w:autoSpaceDE/>
              <w:autoSpaceDN/>
              <w:bidi w:val="0"/>
              <w:spacing w:line="460" w:lineRule="exact"/>
              <w:ind w:left="420" w:leftChars="200" w:firstLine="0" w:firstLineChars="0"/>
              <w:textAlignment w:val="auto"/>
              <w:rPr>
                <w:color w:val="auto"/>
                <w:sz w:val="24"/>
                <w:highlight w:val="none"/>
              </w:rPr>
            </w:pPr>
            <w:r>
              <w:rPr>
                <w:rFonts w:hint="eastAsia"/>
                <w:color w:val="auto"/>
                <w:sz w:val="24"/>
                <w:highlight w:val="none"/>
              </w:rPr>
              <w:t>（2）</w:t>
            </w:r>
            <w:r>
              <w:rPr>
                <w:rFonts w:hint="eastAsia"/>
                <w:color w:val="auto"/>
                <w:sz w:val="24"/>
                <w:highlight w:val="none"/>
                <w:lang w:val="en-US" w:eastAsia="zh-CN"/>
              </w:rPr>
              <w:t>环境风险物质</w:t>
            </w:r>
            <w:r>
              <w:rPr>
                <w:color w:val="auto"/>
                <w:sz w:val="24"/>
                <w:highlight w:val="none"/>
              </w:rPr>
              <w:t>泄漏事故风险防范措施</w:t>
            </w:r>
          </w:p>
          <w:p w14:paraId="286C5207">
            <w:pPr>
              <w:pageBreakBefore w:val="0"/>
              <w:kinsoku/>
              <w:wordWrap/>
              <w:overflowPunct/>
              <w:topLinePunct w:val="0"/>
              <w:autoSpaceDE/>
              <w:autoSpaceDN/>
              <w:bidi w:val="0"/>
              <w:adjustRightInd w:val="0"/>
              <w:snapToGrid w:val="0"/>
              <w:spacing w:line="460" w:lineRule="exact"/>
              <w:ind w:firstLine="480" w:firstLineChars="200"/>
              <w:textAlignment w:val="auto"/>
              <w:rPr>
                <w:color w:val="auto"/>
                <w:sz w:val="24"/>
                <w:highlight w:val="none"/>
              </w:rPr>
            </w:pPr>
            <w:r>
              <w:rPr>
                <w:color w:val="auto"/>
                <w:sz w:val="24"/>
                <w:highlight w:val="none"/>
              </w:rPr>
              <w:t>泄漏事故的防止是输送、使用中最重要的环节，发生泄漏可能引起毒物扩散等一系列重大事故。因此，要做好泄漏事故的防范措施。</w:t>
            </w:r>
          </w:p>
          <w:p w14:paraId="47FAB548">
            <w:pPr>
              <w:pageBreakBefore w:val="0"/>
              <w:numPr>
                <w:ilvl w:val="0"/>
                <w:numId w:val="14"/>
              </w:numPr>
              <w:kinsoku/>
              <w:wordWrap/>
              <w:overflowPunct/>
              <w:topLinePunct w:val="0"/>
              <w:autoSpaceDE/>
              <w:autoSpaceDN/>
              <w:bidi w:val="0"/>
              <w:adjustRightInd w:val="0"/>
              <w:snapToGrid w:val="0"/>
              <w:spacing w:line="460" w:lineRule="exact"/>
              <w:ind w:left="0" w:firstLine="480" w:firstLineChars="200"/>
              <w:textAlignment w:val="auto"/>
              <w:rPr>
                <w:color w:val="auto"/>
                <w:sz w:val="24"/>
                <w:highlight w:val="none"/>
              </w:rPr>
            </w:pPr>
            <w:r>
              <w:rPr>
                <w:color w:val="auto"/>
                <w:sz w:val="24"/>
                <w:highlight w:val="none"/>
              </w:rPr>
              <w:t>为了保证废物运输和处置安全，</w:t>
            </w:r>
            <w:r>
              <w:rPr>
                <w:rFonts w:hint="eastAsia"/>
                <w:color w:val="auto"/>
                <w:sz w:val="24"/>
                <w:highlight w:val="none"/>
              </w:rPr>
              <w:t>化学品</w:t>
            </w:r>
            <w:r>
              <w:rPr>
                <w:color w:val="auto"/>
                <w:sz w:val="24"/>
                <w:highlight w:val="none"/>
              </w:rPr>
              <w:t>的</w:t>
            </w:r>
            <w:r>
              <w:rPr>
                <w:rFonts w:hint="eastAsia"/>
                <w:color w:val="auto"/>
                <w:sz w:val="24"/>
                <w:highlight w:val="none"/>
              </w:rPr>
              <w:t>储存</w:t>
            </w:r>
            <w:r>
              <w:rPr>
                <w:color w:val="auto"/>
                <w:sz w:val="24"/>
                <w:highlight w:val="none"/>
              </w:rPr>
              <w:t>条件和设施必须严格按照有关文件中的要求执行，并要严格管理。</w:t>
            </w:r>
          </w:p>
          <w:p w14:paraId="6FDDB017">
            <w:pPr>
              <w:pageBreakBefore w:val="0"/>
              <w:numPr>
                <w:ilvl w:val="0"/>
                <w:numId w:val="14"/>
              </w:numPr>
              <w:kinsoku/>
              <w:wordWrap/>
              <w:overflowPunct/>
              <w:topLinePunct w:val="0"/>
              <w:autoSpaceDE/>
              <w:autoSpaceDN/>
              <w:bidi w:val="0"/>
              <w:adjustRightInd w:val="0"/>
              <w:snapToGrid w:val="0"/>
              <w:spacing w:line="460" w:lineRule="exact"/>
              <w:ind w:left="0" w:firstLine="480" w:firstLineChars="200"/>
              <w:textAlignment w:val="auto"/>
              <w:rPr>
                <w:color w:val="auto"/>
                <w:sz w:val="24"/>
                <w:highlight w:val="none"/>
              </w:rPr>
            </w:pPr>
            <w:r>
              <w:rPr>
                <w:color w:val="auto"/>
                <w:sz w:val="24"/>
                <w:highlight w:val="none"/>
              </w:rPr>
              <w:t>总平面布置要根据功能分区布置，各功能区、装置之间设环形通道，并与厂外道路相连，利于安全疏散和消防。场地做好排放雨水设施；对于因超温，超压可能引起火灾爆炸危险的设备，都设置自控检测仪表、报警信号及紧急泄压排放设施，以防操作失灵和紧急事故带来的设备超压。</w:t>
            </w:r>
          </w:p>
          <w:p w14:paraId="1CE9E9B6">
            <w:pPr>
              <w:pageBreakBefore w:val="0"/>
              <w:numPr>
                <w:ilvl w:val="0"/>
                <w:numId w:val="14"/>
              </w:numPr>
              <w:kinsoku/>
              <w:wordWrap/>
              <w:overflowPunct/>
              <w:topLinePunct w:val="0"/>
              <w:autoSpaceDE/>
              <w:autoSpaceDN/>
              <w:bidi w:val="0"/>
              <w:adjustRightInd w:val="0"/>
              <w:snapToGrid w:val="0"/>
              <w:spacing w:line="460" w:lineRule="exact"/>
              <w:ind w:left="0" w:firstLine="480" w:firstLineChars="200"/>
              <w:textAlignment w:val="auto"/>
              <w:rPr>
                <w:color w:val="auto"/>
                <w:sz w:val="24"/>
                <w:highlight w:val="none"/>
              </w:rPr>
            </w:pPr>
            <w:r>
              <w:rPr>
                <w:color w:val="auto"/>
                <w:sz w:val="24"/>
                <w:highlight w:val="none"/>
              </w:rPr>
              <w:t>采取双回路电源供电。仪表负荷、消防报警、关键设备等按一类负荷设置，采取不间断电源装置供电，事故照明采用带镉、镍电池应急灯照明。根据装置原料及产品的特点，按《爆炸和火灾危险环境电力装置设置规范》选用电器设备。爆炸和火灾危险环境内可能产生静电的物体，如设备管道等都采用工业静电接地措施。建筑构筑物设有防直雷击、防雷电感应、防雷电浸入的设施。</w:t>
            </w:r>
          </w:p>
          <w:p w14:paraId="74B64CE3">
            <w:pPr>
              <w:pStyle w:val="2"/>
              <w:pageBreakBefore w:val="0"/>
              <w:kinsoku/>
              <w:wordWrap/>
              <w:overflowPunct/>
              <w:topLinePunct w:val="0"/>
              <w:autoSpaceDE/>
              <w:autoSpaceDN/>
              <w:bidi w:val="0"/>
              <w:spacing w:line="460" w:lineRule="exact"/>
              <w:ind w:firstLine="480"/>
              <w:textAlignment w:val="auto"/>
              <w:rPr>
                <w:color w:val="auto"/>
                <w:sz w:val="24"/>
                <w:highlight w:val="none"/>
              </w:rPr>
            </w:pPr>
            <w:r>
              <w:rPr>
                <w:rFonts w:hint="eastAsia"/>
                <w:color w:val="auto"/>
                <w:sz w:val="24"/>
                <w:highlight w:val="none"/>
              </w:rPr>
              <w:t>（3）</w:t>
            </w:r>
            <w:r>
              <w:rPr>
                <w:color w:val="auto"/>
                <w:sz w:val="24"/>
                <w:highlight w:val="none"/>
              </w:rPr>
              <w:t>企业应经常检查</w:t>
            </w:r>
            <w:r>
              <w:rPr>
                <w:rFonts w:hint="eastAsia"/>
                <w:color w:val="auto"/>
                <w:sz w:val="24"/>
                <w:highlight w:val="none"/>
                <w:shd w:val="clear" w:color="auto" w:fill="FFFFFF"/>
              </w:rPr>
              <w:t>重油垢清洗剂存放情况，</w:t>
            </w:r>
            <w:r>
              <w:rPr>
                <w:color w:val="auto"/>
                <w:sz w:val="24"/>
                <w:highlight w:val="none"/>
              </w:rPr>
              <w:t>按规定设置建筑构筑物的安全通道，以便紧急状态下时保证人员疏散。设置必要的生产卫生用室、生活卫生用室、医务室和安全教育室，配备必要的劳动保护用品，如防毒面具、防护手套。</w:t>
            </w:r>
          </w:p>
          <w:p w14:paraId="34F0DF55">
            <w:pPr>
              <w:pStyle w:val="2"/>
              <w:pageBreakBefore w:val="0"/>
              <w:kinsoku/>
              <w:wordWrap/>
              <w:overflowPunct/>
              <w:topLinePunct w:val="0"/>
              <w:autoSpaceDE/>
              <w:autoSpaceDN/>
              <w:bidi w:val="0"/>
              <w:spacing w:line="460" w:lineRule="exact"/>
              <w:ind w:left="420" w:leftChars="200" w:firstLine="0" w:firstLineChars="0"/>
              <w:textAlignment w:val="auto"/>
              <w:rPr>
                <w:color w:val="auto"/>
                <w:sz w:val="24"/>
                <w:highlight w:val="none"/>
              </w:rPr>
            </w:pPr>
            <w:r>
              <w:rPr>
                <w:rFonts w:hint="eastAsia"/>
                <w:color w:val="auto"/>
                <w:sz w:val="24"/>
                <w:highlight w:val="none"/>
              </w:rPr>
              <w:t>（4）</w:t>
            </w:r>
            <w:r>
              <w:rPr>
                <w:color w:val="auto"/>
                <w:sz w:val="24"/>
                <w:highlight w:val="none"/>
              </w:rPr>
              <w:t>水环境风险防范措施</w:t>
            </w:r>
          </w:p>
          <w:p w14:paraId="2FA3B3D9">
            <w:pPr>
              <w:pStyle w:val="2"/>
              <w:pageBreakBefore w:val="0"/>
              <w:kinsoku/>
              <w:wordWrap/>
              <w:overflowPunct/>
              <w:topLinePunct w:val="0"/>
              <w:autoSpaceDE/>
              <w:autoSpaceDN/>
              <w:bidi w:val="0"/>
              <w:spacing w:line="460" w:lineRule="exact"/>
              <w:ind w:firstLine="480"/>
              <w:textAlignment w:val="auto"/>
              <w:rPr>
                <w:color w:val="auto"/>
                <w:sz w:val="24"/>
                <w:highlight w:val="none"/>
              </w:rPr>
            </w:pPr>
            <w:r>
              <w:rPr>
                <w:color w:val="auto"/>
                <w:sz w:val="24"/>
                <w:highlight w:val="none"/>
              </w:rPr>
              <w:t>事故状态下废水包括消防废水、事故情况下的雨污水以及泄漏的液体物料。事故废水采用沙包围挡的方式截留在厂区内，事故结束后事故废水由有资质单位清运处理。对污水及雨水总排口设置截断措施，将污染物封堵在厂区内，防止事故状态下污染物通过污水或雨水管道进入周边地表水体。</w:t>
            </w:r>
          </w:p>
          <w:p w14:paraId="65985530">
            <w:pPr>
              <w:pStyle w:val="2"/>
              <w:pageBreakBefore w:val="0"/>
              <w:kinsoku/>
              <w:wordWrap/>
              <w:overflowPunct/>
              <w:topLinePunct w:val="0"/>
              <w:autoSpaceDE/>
              <w:autoSpaceDN/>
              <w:bidi w:val="0"/>
              <w:spacing w:line="460" w:lineRule="exact"/>
              <w:ind w:firstLine="480"/>
              <w:textAlignment w:val="auto"/>
              <w:rPr>
                <w:color w:val="auto"/>
                <w:sz w:val="24"/>
                <w:highlight w:val="none"/>
              </w:rPr>
            </w:pPr>
            <w:r>
              <w:rPr>
                <w:color w:val="auto"/>
                <w:sz w:val="24"/>
                <w:highlight w:val="none"/>
              </w:rPr>
              <w:t>厂区应设置应急事故水池，水池容积能够达到接收事故状态下的事故废水。</w:t>
            </w:r>
          </w:p>
          <w:p w14:paraId="745420A7">
            <w:pPr>
              <w:pageBreakBefore w:val="0"/>
              <w:numPr>
                <w:ilvl w:val="0"/>
                <w:numId w:val="0"/>
              </w:numPr>
              <w:kinsoku/>
              <w:wordWrap/>
              <w:overflowPunct/>
              <w:topLinePunct w:val="0"/>
              <w:autoSpaceDE/>
              <w:autoSpaceDN/>
              <w:bidi w:val="0"/>
              <w:adjustRightInd w:val="0"/>
              <w:snapToGrid w:val="0"/>
              <w:spacing w:line="460" w:lineRule="exact"/>
              <w:ind w:firstLine="482" w:firstLineChars="200"/>
              <w:textAlignment w:val="auto"/>
              <w:rPr>
                <w:b/>
                <w:bCs/>
                <w:color w:val="auto"/>
                <w:sz w:val="24"/>
                <w:highlight w:val="none"/>
              </w:rPr>
            </w:pPr>
            <w:r>
              <w:rPr>
                <w:rFonts w:ascii="Times New Roman" w:hAnsi="Times New Roman" w:eastAsia="宋体" w:cs="Times New Roman"/>
                <w:b/>
                <w:bCs/>
                <w:color w:val="auto"/>
                <w:kern w:val="2"/>
                <w:sz w:val="24"/>
                <w:szCs w:val="24"/>
                <w:lang w:val="en-US" w:eastAsia="zh-CN" w:bidi="ar-SA"/>
              </w:rPr>
              <w:t>3.</w:t>
            </w:r>
            <w:r>
              <w:rPr>
                <w:b/>
                <w:bCs/>
                <w:color w:val="auto"/>
                <w:sz w:val="24"/>
                <w:highlight w:val="none"/>
              </w:rPr>
              <w:t>突发环境事件应急预案</w:t>
            </w:r>
          </w:p>
          <w:p w14:paraId="33FC49BB">
            <w:pPr>
              <w:pageBreakBefore w:val="0"/>
              <w:kinsoku/>
              <w:wordWrap/>
              <w:overflowPunct/>
              <w:topLinePunct w:val="0"/>
              <w:autoSpaceDE/>
              <w:autoSpaceDN/>
              <w:bidi w:val="0"/>
              <w:adjustRightInd w:val="0"/>
              <w:snapToGrid w:val="0"/>
              <w:spacing w:line="460" w:lineRule="exact"/>
              <w:ind w:firstLine="480" w:firstLineChars="200"/>
              <w:textAlignment w:val="auto"/>
              <w:rPr>
                <w:color w:val="auto"/>
                <w:sz w:val="24"/>
                <w:highlight w:val="none"/>
              </w:rPr>
            </w:pPr>
            <w:r>
              <w:rPr>
                <w:color w:val="auto"/>
                <w:sz w:val="24"/>
                <w:highlight w:val="none"/>
              </w:rPr>
              <w:t>项目生产过程中产生的事故环境风险往往具有较大的不确定性和后果的较严重性，因此，制定事故发生后应采取的紧急措施和应急方法，对指导项目重大事故风险预防具有十分重要的意义。</w:t>
            </w:r>
          </w:p>
          <w:p w14:paraId="61BBEA46">
            <w:pPr>
              <w:pStyle w:val="3"/>
              <w:pageBreakBefore w:val="0"/>
              <w:kinsoku/>
              <w:wordWrap/>
              <w:overflowPunct/>
              <w:topLinePunct w:val="0"/>
              <w:autoSpaceDE/>
              <w:autoSpaceDN/>
              <w:bidi w:val="0"/>
              <w:adjustRightInd w:val="0"/>
              <w:snapToGrid w:val="0"/>
              <w:spacing w:line="460" w:lineRule="exact"/>
              <w:ind w:firstLine="480"/>
              <w:textAlignment w:val="auto"/>
              <w:outlineLvl w:val="3"/>
              <w:rPr>
                <w:rFonts w:hint="eastAsia"/>
                <w:color w:val="auto"/>
                <w:szCs w:val="24"/>
                <w:highlight w:val="none"/>
              </w:rPr>
            </w:pPr>
            <w:r>
              <w:rPr>
                <w:color w:val="auto"/>
                <w:szCs w:val="24"/>
                <w:highlight w:val="none"/>
              </w:rPr>
              <w:t>建设单位需按照《突发环境事件应急预案管理办法》、《企业事业单位突发环境事件应急预案管理办法》、《环境保护行政主管部门突发环境事件信息报告办法》</w:t>
            </w:r>
            <w:r>
              <w:rPr>
                <w:rFonts w:hint="eastAsia"/>
                <w:color w:val="auto"/>
                <w:szCs w:val="24"/>
                <w:highlight w:val="none"/>
              </w:rPr>
              <w:t>修改公司</w:t>
            </w:r>
            <w:r>
              <w:rPr>
                <w:color w:val="auto"/>
                <w:szCs w:val="24"/>
                <w:highlight w:val="none"/>
              </w:rPr>
              <w:t>突发环境事件应急预案，并报送至当地环境保护部门备案。</w:t>
            </w:r>
          </w:p>
          <w:p w14:paraId="0EDB9A90">
            <w:pPr>
              <w:pageBreakBefore w:val="0"/>
              <w:numPr>
                <w:ilvl w:val="0"/>
                <w:numId w:val="0"/>
              </w:numPr>
              <w:kinsoku/>
              <w:wordWrap/>
              <w:overflowPunct/>
              <w:topLinePunct w:val="0"/>
              <w:autoSpaceDE/>
              <w:autoSpaceDN/>
              <w:bidi w:val="0"/>
              <w:adjustRightInd w:val="0"/>
              <w:snapToGrid w:val="0"/>
              <w:spacing w:line="460" w:lineRule="exact"/>
              <w:ind w:firstLine="482" w:firstLineChars="200"/>
              <w:textAlignment w:val="auto"/>
              <w:rPr>
                <w:rFonts w:hint="default" w:ascii="Times New Roman" w:hAnsi="Times New Roman" w:eastAsia="宋体" w:cs="Times New Roman"/>
                <w:b/>
                <w:bCs/>
                <w:color w:val="auto"/>
                <w:kern w:val="2"/>
                <w:sz w:val="24"/>
                <w:szCs w:val="24"/>
                <w:lang w:val="en-US" w:eastAsia="zh-CN" w:bidi="ar-SA"/>
              </w:rPr>
            </w:pPr>
            <w:r>
              <w:rPr>
                <w:rFonts w:hint="eastAsia" w:ascii="Times New Roman" w:hAnsi="Times New Roman" w:eastAsia="宋体" w:cs="Times New Roman"/>
                <w:b/>
                <w:bCs/>
                <w:color w:val="auto"/>
                <w:kern w:val="2"/>
                <w:sz w:val="24"/>
                <w:szCs w:val="24"/>
                <w:lang w:val="en-US" w:eastAsia="zh-CN" w:bidi="ar-SA"/>
              </w:rPr>
              <w:t>4、</w:t>
            </w:r>
            <w:r>
              <w:rPr>
                <w:rFonts w:hint="default" w:ascii="Times New Roman" w:hAnsi="Times New Roman" w:eastAsia="宋体" w:cs="Times New Roman"/>
                <w:b/>
                <w:bCs/>
                <w:color w:val="auto"/>
                <w:kern w:val="2"/>
                <w:sz w:val="24"/>
                <w:szCs w:val="24"/>
                <w:lang w:val="en-US" w:eastAsia="zh-CN" w:bidi="ar-SA"/>
              </w:rPr>
              <w:t>环境风险评价结论</w:t>
            </w:r>
          </w:p>
          <w:p w14:paraId="0EBD7154">
            <w:pPr>
              <w:pStyle w:val="112"/>
              <w:keepNext w:val="0"/>
              <w:keepLines w:val="0"/>
              <w:pageBreakBefore w:val="0"/>
              <w:kinsoku/>
              <w:wordWrap/>
              <w:overflowPunct/>
              <w:topLinePunct w:val="0"/>
              <w:autoSpaceDE/>
              <w:autoSpaceDN/>
              <w:bidi w:val="0"/>
              <w:spacing w:line="480" w:lineRule="exact"/>
              <w:textAlignment w:val="auto"/>
              <w:rPr>
                <w:rFonts w:hint="default"/>
                <w:color w:val="auto"/>
                <w:sz w:val="24"/>
                <w:szCs w:val="24"/>
                <w:highlight w:val="none"/>
              </w:rPr>
            </w:pPr>
            <w:r>
              <w:rPr>
                <w:rFonts w:hint="default"/>
                <w:color w:val="auto"/>
                <w:sz w:val="24"/>
                <w:szCs w:val="24"/>
                <w:highlight w:val="none"/>
              </w:rPr>
              <w:t>建设项目在严格执行环境风险防范措施的前提下，项目环境风险可以防控。</w:t>
            </w:r>
          </w:p>
          <w:p w14:paraId="32B9640F">
            <w:pPr>
              <w:keepNext w:val="0"/>
              <w:keepLines w:val="0"/>
              <w:pageBreakBefore w:val="0"/>
              <w:kinsoku/>
              <w:wordWrap/>
              <w:overflowPunct/>
              <w:topLinePunct w:val="0"/>
              <w:bidi w:val="0"/>
              <w:spacing w:line="480" w:lineRule="exact"/>
              <w:ind w:firstLine="482" w:firstLineChars="200"/>
              <w:textAlignment w:val="auto"/>
              <w:outlineLvl w:val="2"/>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八、排污许可制度衔接</w:t>
            </w:r>
          </w:p>
          <w:p w14:paraId="543BEEB4">
            <w:pPr>
              <w:keepNext w:val="0"/>
              <w:keepLines w:val="0"/>
              <w:pageBreakBefore w:val="0"/>
              <w:kinsoku/>
              <w:wordWrap/>
              <w:overflowPunct/>
              <w:topLinePunct w:val="0"/>
              <w:bidi w:val="0"/>
              <w:adjustRightInd w:val="0"/>
              <w:snapToGrid w:val="0"/>
              <w:spacing w:line="480" w:lineRule="exact"/>
              <w:ind w:firstLine="480" w:firstLineChars="200"/>
              <w:textAlignment w:val="auto"/>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根据《关于做好环境影响评价制度与排污许可制衔接相关工作的通知》（环办环评[2017]84号）及《固定污染源排污许可分类管理名录（2019年版）（生态环境部令 第11号）》，项目应当在启动生产设施或发生实际排污之前实施排污许可分类管理</w:t>
            </w:r>
            <w:r>
              <w:rPr>
                <w:rFonts w:hint="eastAsia" w:cs="Times New Roman"/>
                <w:color w:val="auto"/>
                <w:sz w:val="24"/>
                <w:szCs w:val="24"/>
                <w:highlight w:val="none"/>
                <w:lang w:val="en-US" w:eastAsia="zh-CN"/>
              </w:rPr>
              <w:t>，主动申请排污许可证，做到持证排污</w:t>
            </w:r>
            <w:r>
              <w:rPr>
                <w:rFonts w:hint="eastAsia" w:ascii="Times New Roman" w:hAnsi="Times New Roman" w:eastAsia="宋体" w:cs="Times New Roman"/>
                <w:color w:val="auto"/>
                <w:sz w:val="24"/>
                <w:szCs w:val="24"/>
                <w:highlight w:val="none"/>
                <w:lang w:val="en-US" w:eastAsia="zh-CN"/>
              </w:rPr>
              <w:t>。</w:t>
            </w:r>
          </w:p>
          <w:p w14:paraId="5A5CE068">
            <w:pPr>
              <w:pStyle w:val="34"/>
              <w:rPr>
                <w:rFonts w:hint="eastAsia" w:ascii="Times New Roman" w:hAnsi="Times New Roman" w:eastAsia="宋体" w:cs="Times New Roman"/>
                <w:color w:val="auto"/>
                <w:sz w:val="24"/>
                <w:szCs w:val="24"/>
                <w:highlight w:val="none"/>
                <w:lang w:val="en-US" w:eastAsia="zh-CN"/>
              </w:rPr>
            </w:pPr>
          </w:p>
          <w:p w14:paraId="19609EFB">
            <w:pPr>
              <w:rPr>
                <w:rFonts w:hint="eastAsia" w:ascii="Times New Roman" w:hAnsi="Times New Roman" w:eastAsia="宋体" w:cs="Times New Roman"/>
                <w:color w:val="auto"/>
                <w:sz w:val="24"/>
                <w:szCs w:val="24"/>
                <w:highlight w:val="none"/>
                <w:lang w:val="en-US" w:eastAsia="zh-CN"/>
              </w:rPr>
            </w:pPr>
          </w:p>
          <w:p w14:paraId="04CA1E17">
            <w:pPr>
              <w:pStyle w:val="34"/>
              <w:rPr>
                <w:rFonts w:hint="eastAsia" w:ascii="Times New Roman" w:hAnsi="Times New Roman" w:eastAsia="宋体" w:cs="Times New Roman"/>
                <w:color w:val="auto"/>
                <w:sz w:val="24"/>
                <w:szCs w:val="24"/>
                <w:highlight w:val="none"/>
                <w:lang w:val="en-US" w:eastAsia="zh-CN"/>
              </w:rPr>
            </w:pPr>
          </w:p>
          <w:p w14:paraId="62C70254">
            <w:pPr>
              <w:rPr>
                <w:rFonts w:hint="eastAsia" w:ascii="Times New Roman" w:hAnsi="Times New Roman" w:eastAsia="宋体" w:cs="Times New Roman"/>
                <w:color w:val="auto"/>
                <w:sz w:val="24"/>
                <w:szCs w:val="24"/>
                <w:highlight w:val="none"/>
                <w:lang w:val="en-US" w:eastAsia="zh-CN"/>
              </w:rPr>
            </w:pPr>
          </w:p>
          <w:p w14:paraId="4F4012DA">
            <w:pPr>
              <w:adjustRightInd w:val="0"/>
              <w:snapToGrid w:val="0"/>
              <w:spacing w:line="360" w:lineRule="auto"/>
              <w:rPr>
                <w:rFonts w:hint="eastAsia" w:ascii="Times New Roman" w:hAnsi="Times New Roman" w:eastAsia="宋体" w:cs="Times New Roman"/>
                <w:color w:val="auto"/>
                <w:sz w:val="24"/>
                <w:szCs w:val="24"/>
                <w:highlight w:val="none"/>
                <w:lang w:val="en-US" w:eastAsia="zh-CN"/>
              </w:rPr>
            </w:pPr>
          </w:p>
          <w:p w14:paraId="7286AD7E">
            <w:pPr>
              <w:adjustRightInd w:val="0"/>
              <w:snapToGrid w:val="0"/>
              <w:spacing w:line="360" w:lineRule="auto"/>
              <w:rPr>
                <w:rFonts w:hint="default" w:eastAsia="宋体"/>
                <w:bCs/>
                <w:color w:val="auto"/>
                <w:spacing w:val="-10"/>
                <w:szCs w:val="21"/>
                <w:highlight w:val="none"/>
                <w:lang w:val="en-US" w:eastAsia="zh-CN"/>
              </w:rPr>
            </w:pPr>
          </w:p>
        </w:tc>
      </w:tr>
    </w:tbl>
    <w:p w14:paraId="5B53D586">
      <w:pPr>
        <w:pStyle w:val="2"/>
        <w:ind w:firstLine="0" w:firstLineChars="0"/>
        <w:rPr>
          <w:color w:val="auto"/>
          <w:highlight w:val="none"/>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p w14:paraId="11A87C5A">
      <w:pPr>
        <w:pStyle w:val="30"/>
        <w:keepNext w:val="0"/>
        <w:keepLines w:val="0"/>
        <w:pageBreakBefore w:val="0"/>
        <w:widowControl/>
        <w:numPr>
          <w:ilvl w:val="0"/>
          <w:numId w:val="0"/>
        </w:numPr>
        <w:kinsoku/>
        <w:wordWrap/>
        <w:overflowPunct/>
        <w:topLinePunct w:val="0"/>
        <w:autoSpaceDE/>
        <w:autoSpaceDN/>
        <w:bidi w:val="0"/>
        <w:adjustRightInd/>
        <w:snapToGrid/>
        <w:jc w:val="center"/>
        <w:textAlignment w:val="auto"/>
        <w:outlineLvl w:val="0"/>
        <w:rPr>
          <w:rFonts w:ascii="Times New Roman" w:hAnsi="Times New Roman" w:eastAsia="黑体"/>
          <w:snapToGrid w:val="0"/>
          <w:color w:val="auto"/>
          <w:sz w:val="30"/>
          <w:szCs w:val="30"/>
          <w:highlight w:val="none"/>
        </w:rPr>
      </w:pPr>
      <w:bookmarkStart w:id="15" w:name="_Hlk54167917"/>
      <w:bookmarkStart w:id="16" w:name="_Toc24863"/>
      <w:r>
        <w:rPr>
          <w:rFonts w:hint="eastAsia" w:ascii="Times New Roman" w:hAnsi="Times New Roman" w:eastAsia="黑体"/>
          <w:snapToGrid w:val="0"/>
          <w:color w:val="auto"/>
          <w:sz w:val="30"/>
          <w:szCs w:val="30"/>
          <w:highlight w:val="none"/>
          <w:lang w:val="en-US" w:eastAsia="zh-CN"/>
        </w:rPr>
        <w:t>五、</w:t>
      </w:r>
      <w:r>
        <w:rPr>
          <w:rFonts w:ascii="Times New Roman" w:hAnsi="Times New Roman" w:eastAsia="黑体"/>
          <w:snapToGrid w:val="0"/>
          <w:color w:val="auto"/>
          <w:sz w:val="30"/>
          <w:szCs w:val="30"/>
          <w:highlight w:val="none"/>
        </w:rPr>
        <w:t>环境保护措施监督检查清单</w:t>
      </w:r>
      <w:bookmarkEnd w:id="15"/>
      <w:bookmarkEnd w:id="16"/>
    </w:p>
    <w:tbl>
      <w:tblPr>
        <w:tblStyle w:val="36"/>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69"/>
        <w:gridCol w:w="1301"/>
        <w:gridCol w:w="1413"/>
        <w:gridCol w:w="2355"/>
        <w:gridCol w:w="3018"/>
      </w:tblGrid>
      <w:tr w14:paraId="1488B8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35" w:type="pct"/>
            <w:tcBorders>
              <w:tl2br w:val="single" w:color="auto" w:sz="4" w:space="0"/>
            </w:tcBorders>
            <w:noWrap w:val="0"/>
            <w:vAlign w:val="top"/>
          </w:tcPr>
          <w:p w14:paraId="6E69A019">
            <w:pPr>
              <w:adjustRightInd w:val="0"/>
              <w:snapToGrid w:val="0"/>
              <w:ind w:firstLine="210" w:firstLineChars="100"/>
              <w:rPr>
                <w:color w:val="auto"/>
                <w:sz w:val="21"/>
                <w:szCs w:val="21"/>
                <w:highlight w:val="none"/>
              </w:rPr>
            </w:pPr>
            <w:r>
              <w:rPr>
                <w:color w:val="auto"/>
                <w:sz w:val="21"/>
                <w:szCs w:val="21"/>
                <w:highlight w:val="none"/>
              </w:rPr>
              <w:t>内容</w:t>
            </w:r>
          </w:p>
          <w:p w14:paraId="28F55BB3">
            <w:pPr>
              <w:adjustRightInd w:val="0"/>
              <w:snapToGrid w:val="0"/>
              <w:rPr>
                <w:color w:val="auto"/>
                <w:sz w:val="21"/>
                <w:szCs w:val="21"/>
                <w:highlight w:val="none"/>
              </w:rPr>
            </w:pPr>
          </w:p>
          <w:p w14:paraId="5D14F3EC">
            <w:pPr>
              <w:adjustRightInd w:val="0"/>
              <w:snapToGrid w:val="0"/>
              <w:rPr>
                <w:color w:val="auto"/>
                <w:sz w:val="21"/>
                <w:szCs w:val="21"/>
                <w:highlight w:val="none"/>
              </w:rPr>
            </w:pPr>
          </w:p>
          <w:p w14:paraId="05B53463">
            <w:pPr>
              <w:adjustRightInd w:val="0"/>
              <w:snapToGrid w:val="0"/>
              <w:rPr>
                <w:color w:val="auto"/>
                <w:sz w:val="21"/>
                <w:szCs w:val="21"/>
                <w:highlight w:val="none"/>
              </w:rPr>
            </w:pPr>
            <w:r>
              <w:rPr>
                <w:color w:val="auto"/>
                <w:sz w:val="21"/>
                <w:szCs w:val="21"/>
                <w:highlight w:val="none"/>
              </w:rPr>
              <w:t>要素</w:t>
            </w:r>
          </w:p>
        </w:tc>
        <w:tc>
          <w:tcPr>
            <w:tcW w:w="718" w:type="pct"/>
            <w:noWrap w:val="0"/>
            <w:vAlign w:val="center"/>
          </w:tcPr>
          <w:p w14:paraId="6FACC986">
            <w:pPr>
              <w:adjustRightInd w:val="0"/>
              <w:snapToGrid w:val="0"/>
              <w:jc w:val="center"/>
              <w:rPr>
                <w:color w:val="auto"/>
                <w:sz w:val="21"/>
                <w:szCs w:val="21"/>
                <w:highlight w:val="none"/>
              </w:rPr>
            </w:pPr>
            <w:r>
              <w:rPr>
                <w:color w:val="auto"/>
                <w:sz w:val="21"/>
                <w:szCs w:val="21"/>
                <w:highlight w:val="none"/>
              </w:rPr>
              <w:t>排放口(编号、</w:t>
            </w:r>
          </w:p>
          <w:p w14:paraId="2745C4A9">
            <w:pPr>
              <w:adjustRightInd w:val="0"/>
              <w:snapToGrid w:val="0"/>
              <w:jc w:val="center"/>
              <w:rPr>
                <w:color w:val="auto"/>
                <w:sz w:val="21"/>
                <w:szCs w:val="21"/>
                <w:highlight w:val="none"/>
              </w:rPr>
            </w:pPr>
            <w:r>
              <w:rPr>
                <w:color w:val="auto"/>
                <w:sz w:val="21"/>
                <w:szCs w:val="21"/>
                <w:highlight w:val="none"/>
              </w:rPr>
              <w:t>名称)/污染源</w:t>
            </w:r>
          </w:p>
        </w:tc>
        <w:tc>
          <w:tcPr>
            <w:tcW w:w="780" w:type="pct"/>
            <w:noWrap w:val="0"/>
            <w:vAlign w:val="center"/>
          </w:tcPr>
          <w:p w14:paraId="11685A55">
            <w:pPr>
              <w:adjustRightInd w:val="0"/>
              <w:snapToGrid w:val="0"/>
              <w:jc w:val="center"/>
              <w:rPr>
                <w:color w:val="auto"/>
                <w:sz w:val="21"/>
                <w:szCs w:val="21"/>
                <w:highlight w:val="none"/>
              </w:rPr>
            </w:pPr>
            <w:r>
              <w:rPr>
                <w:color w:val="auto"/>
                <w:sz w:val="21"/>
                <w:szCs w:val="21"/>
                <w:highlight w:val="none"/>
              </w:rPr>
              <w:t>污染物项目</w:t>
            </w:r>
          </w:p>
        </w:tc>
        <w:tc>
          <w:tcPr>
            <w:tcW w:w="1300" w:type="pct"/>
            <w:noWrap w:val="0"/>
            <w:vAlign w:val="center"/>
          </w:tcPr>
          <w:p w14:paraId="7D38F240">
            <w:pPr>
              <w:adjustRightInd w:val="0"/>
              <w:snapToGrid w:val="0"/>
              <w:jc w:val="center"/>
              <w:rPr>
                <w:color w:val="auto"/>
                <w:sz w:val="21"/>
                <w:szCs w:val="21"/>
                <w:highlight w:val="none"/>
              </w:rPr>
            </w:pPr>
            <w:r>
              <w:rPr>
                <w:color w:val="auto"/>
                <w:sz w:val="21"/>
                <w:szCs w:val="21"/>
                <w:highlight w:val="none"/>
              </w:rPr>
              <w:t>环境保护措施</w:t>
            </w:r>
          </w:p>
        </w:tc>
        <w:tc>
          <w:tcPr>
            <w:tcW w:w="1664" w:type="pct"/>
            <w:noWrap w:val="0"/>
            <w:vAlign w:val="center"/>
          </w:tcPr>
          <w:p w14:paraId="23830A63">
            <w:pPr>
              <w:adjustRightInd w:val="0"/>
              <w:snapToGrid w:val="0"/>
              <w:jc w:val="center"/>
              <w:rPr>
                <w:color w:val="auto"/>
                <w:sz w:val="21"/>
                <w:szCs w:val="21"/>
                <w:highlight w:val="none"/>
              </w:rPr>
            </w:pPr>
            <w:r>
              <w:rPr>
                <w:color w:val="auto"/>
                <w:sz w:val="21"/>
                <w:szCs w:val="21"/>
                <w:highlight w:val="none"/>
              </w:rPr>
              <w:t>执行标准</w:t>
            </w:r>
          </w:p>
        </w:tc>
      </w:tr>
      <w:tr w14:paraId="523228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4" w:hRule="atLeast"/>
          <w:jc w:val="center"/>
        </w:trPr>
        <w:tc>
          <w:tcPr>
            <w:tcW w:w="535" w:type="pct"/>
            <w:noWrap w:val="0"/>
            <w:vAlign w:val="center"/>
          </w:tcPr>
          <w:p w14:paraId="00974E4C">
            <w:pPr>
              <w:adjustRightInd w:val="0"/>
              <w:snapToGrid w:val="0"/>
              <w:jc w:val="center"/>
              <w:rPr>
                <w:color w:val="auto"/>
                <w:sz w:val="21"/>
                <w:szCs w:val="21"/>
                <w:highlight w:val="none"/>
              </w:rPr>
            </w:pPr>
            <w:r>
              <w:rPr>
                <w:color w:val="auto"/>
                <w:sz w:val="21"/>
                <w:szCs w:val="21"/>
                <w:highlight w:val="none"/>
              </w:rPr>
              <w:t>地表水环境</w:t>
            </w:r>
          </w:p>
        </w:tc>
        <w:tc>
          <w:tcPr>
            <w:tcW w:w="718" w:type="pct"/>
            <w:noWrap w:val="0"/>
            <w:vAlign w:val="center"/>
          </w:tcPr>
          <w:p w14:paraId="1BC9B0FF">
            <w:pPr>
              <w:pStyle w:val="77"/>
              <w:spacing w:line="240" w:lineRule="auto"/>
              <w:rPr>
                <w:color w:val="auto"/>
                <w:sz w:val="21"/>
                <w:szCs w:val="21"/>
                <w:highlight w:val="none"/>
              </w:rPr>
            </w:pPr>
            <w:r>
              <w:rPr>
                <w:rFonts w:hint="eastAsia"/>
                <w:color w:val="auto"/>
                <w:sz w:val="21"/>
                <w:szCs w:val="21"/>
                <w:highlight w:val="none"/>
              </w:rPr>
              <w:t>喷漆前清洗、烘干线</w:t>
            </w:r>
          </w:p>
        </w:tc>
        <w:tc>
          <w:tcPr>
            <w:tcW w:w="780" w:type="pct"/>
            <w:noWrap w:val="0"/>
            <w:vAlign w:val="center"/>
          </w:tcPr>
          <w:p w14:paraId="24FB2A99">
            <w:pPr>
              <w:spacing w:line="0" w:lineRule="atLeast"/>
              <w:jc w:val="center"/>
              <w:rPr>
                <w:rFonts w:hint="eastAsia"/>
                <w:color w:val="auto"/>
                <w:sz w:val="21"/>
                <w:szCs w:val="21"/>
                <w:highlight w:val="none"/>
                <w:lang w:val="pt-BR"/>
              </w:rPr>
            </w:pPr>
            <w:r>
              <w:rPr>
                <w:color w:val="auto"/>
                <w:sz w:val="21"/>
                <w:szCs w:val="21"/>
                <w:highlight w:val="none"/>
              </w:rPr>
              <w:t>pH</w:t>
            </w:r>
            <w:r>
              <w:rPr>
                <w:rFonts w:hint="eastAsia"/>
                <w:color w:val="auto"/>
                <w:sz w:val="21"/>
                <w:szCs w:val="21"/>
                <w:highlight w:val="none"/>
              </w:rPr>
              <w:t>、</w:t>
            </w:r>
            <w:r>
              <w:rPr>
                <w:color w:val="auto"/>
                <w:sz w:val="21"/>
                <w:szCs w:val="21"/>
                <w:highlight w:val="none"/>
                <w:lang w:val="pt-BR"/>
              </w:rPr>
              <w:t>COD</w:t>
            </w:r>
            <w:r>
              <w:rPr>
                <w:rFonts w:hint="eastAsia"/>
                <w:color w:val="auto"/>
                <w:sz w:val="21"/>
                <w:szCs w:val="21"/>
                <w:highlight w:val="none"/>
                <w:lang w:val="pt-BR"/>
              </w:rPr>
              <w:t>、</w:t>
            </w:r>
            <w:r>
              <w:rPr>
                <w:color w:val="auto"/>
                <w:sz w:val="21"/>
                <w:szCs w:val="21"/>
                <w:highlight w:val="none"/>
                <w:lang w:val="pt-BR"/>
              </w:rPr>
              <w:t>BOD</w:t>
            </w:r>
            <w:r>
              <w:rPr>
                <w:color w:val="auto"/>
                <w:sz w:val="21"/>
                <w:szCs w:val="21"/>
                <w:highlight w:val="none"/>
                <w:vertAlign w:val="subscript"/>
                <w:lang w:val="pt-BR"/>
              </w:rPr>
              <w:t>5</w:t>
            </w:r>
            <w:r>
              <w:rPr>
                <w:rFonts w:hint="eastAsia"/>
                <w:color w:val="auto"/>
                <w:sz w:val="21"/>
                <w:szCs w:val="21"/>
                <w:highlight w:val="none"/>
                <w:lang w:val="pt-BR"/>
              </w:rPr>
              <w:t>、</w:t>
            </w:r>
            <w:r>
              <w:rPr>
                <w:color w:val="auto"/>
                <w:sz w:val="21"/>
                <w:szCs w:val="21"/>
                <w:highlight w:val="none"/>
                <w:lang w:val="pt-BR"/>
              </w:rPr>
              <w:t>SS</w:t>
            </w:r>
            <w:r>
              <w:rPr>
                <w:rFonts w:hint="eastAsia"/>
                <w:color w:val="auto"/>
                <w:sz w:val="21"/>
                <w:szCs w:val="21"/>
                <w:highlight w:val="none"/>
                <w:lang w:val="pt-BR"/>
              </w:rPr>
              <w:t>、</w:t>
            </w:r>
          </w:p>
          <w:p w14:paraId="4344062A">
            <w:pPr>
              <w:spacing w:line="0" w:lineRule="atLeast"/>
              <w:jc w:val="center"/>
              <w:rPr>
                <w:rFonts w:hint="eastAsia"/>
                <w:color w:val="auto"/>
                <w:sz w:val="21"/>
                <w:szCs w:val="21"/>
                <w:highlight w:val="none"/>
              </w:rPr>
            </w:pPr>
            <w:r>
              <w:rPr>
                <w:color w:val="auto"/>
                <w:sz w:val="21"/>
                <w:szCs w:val="21"/>
                <w:highlight w:val="none"/>
                <w:lang w:val="pt-BR"/>
              </w:rPr>
              <w:t>氨氮</w:t>
            </w:r>
            <w:r>
              <w:rPr>
                <w:rFonts w:hint="eastAsia"/>
                <w:color w:val="auto"/>
                <w:sz w:val="21"/>
                <w:szCs w:val="21"/>
                <w:highlight w:val="none"/>
                <w:lang w:val="pt-BR"/>
              </w:rPr>
              <w:t>、</w:t>
            </w:r>
            <w:r>
              <w:rPr>
                <w:rFonts w:hint="eastAsia"/>
                <w:color w:val="auto"/>
                <w:sz w:val="21"/>
                <w:szCs w:val="21"/>
                <w:highlight w:val="none"/>
              </w:rPr>
              <w:t>总氮</w:t>
            </w:r>
            <w:r>
              <w:rPr>
                <w:rFonts w:hint="eastAsia"/>
                <w:color w:val="auto"/>
                <w:sz w:val="21"/>
                <w:szCs w:val="21"/>
                <w:highlight w:val="none"/>
                <w:lang w:val="pt-BR"/>
              </w:rPr>
              <w:t>、</w:t>
            </w:r>
          </w:p>
          <w:p w14:paraId="7B2BA637">
            <w:pPr>
              <w:spacing w:line="0" w:lineRule="atLeast"/>
              <w:jc w:val="center"/>
              <w:rPr>
                <w:color w:val="auto"/>
                <w:sz w:val="21"/>
                <w:szCs w:val="21"/>
                <w:highlight w:val="none"/>
              </w:rPr>
            </w:pPr>
            <w:r>
              <w:rPr>
                <w:rFonts w:hint="eastAsia"/>
                <w:color w:val="auto"/>
                <w:sz w:val="21"/>
                <w:szCs w:val="21"/>
                <w:highlight w:val="none"/>
              </w:rPr>
              <w:t>总磷</w:t>
            </w:r>
            <w:r>
              <w:rPr>
                <w:rFonts w:hint="eastAsia"/>
                <w:color w:val="auto"/>
                <w:sz w:val="21"/>
                <w:szCs w:val="21"/>
                <w:highlight w:val="none"/>
                <w:lang w:val="pt-BR"/>
              </w:rPr>
              <w:t>、</w:t>
            </w:r>
            <w:r>
              <w:rPr>
                <w:rFonts w:hint="eastAsia"/>
                <w:color w:val="auto"/>
                <w:sz w:val="21"/>
                <w:szCs w:val="21"/>
                <w:highlight w:val="none"/>
              </w:rPr>
              <w:t>动植物油</w:t>
            </w:r>
            <w:r>
              <w:rPr>
                <w:rFonts w:hint="eastAsia"/>
                <w:color w:val="auto"/>
                <w:sz w:val="21"/>
                <w:szCs w:val="21"/>
                <w:highlight w:val="none"/>
                <w:lang w:val="pt-BR"/>
              </w:rPr>
              <w:t>、</w:t>
            </w:r>
            <w:r>
              <w:rPr>
                <w:rFonts w:hint="eastAsia"/>
                <w:color w:val="auto"/>
                <w:sz w:val="21"/>
                <w:szCs w:val="21"/>
                <w:highlight w:val="none"/>
              </w:rPr>
              <w:t>石油类</w:t>
            </w:r>
          </w:p>
        </w:tc>
        <w:tc>
          <w:tcPr>
            <w:tcW w:w="1300" w:type="pct"/>
            <w:noWrap w:val="0"/>
            <w:vAlign w:val="center"/>
          </w:tcPr>
          <w:p w14:paraId="0F19DCF4">
            <w:pPr>
              <w:numPr>
                <w:ilvl w:val="0"/>
                <w:numId w:val="15"/>
              </w:numPr>
              <w:spacing w:line="0" w:lineRule="atLeast"/>
              <w:jc w:val="left"/>
              <w:rPr>
                <w:rFonts w:hint="eastAsia"/>
                <w:color w:val="auto"/>
                <w:sz w:val="21"/>
                <w:szCs w:val="21"/>
                <w:highlight w:val="none"/>
              </w:rPr>
            </w:pPr>
            <w:r>
              <w:rPr>
                <w:rFonts w:hint="eastAsia"/>
                <w:color w:val="auto"/>
                <w:sz w:val="21"/>
                <w:szCs w:val="21"/>
                <w:highlight w:val="none"/>
              </w:rPr>
              <w:t>预脱脂、主脱脂均自带</w:t>
            </w:r>
            <w:r>
              <w:rPr>
                <w:rFonts w:hint="eastAsia"/>
                <w:color w:val="auto"/>
                <w:sz w:val="21"/>
                <w:szCs w:val="21"/>
                <w:highlight w:val="none"/>
                <w:lang w:val="en-US" w:eastAsia="zh-CN"/>
              </w:rPr>
              <w:t>油水分离装置</w:t>
            </w:r>
            <w:r>
              <w:rPr>
                <w:rFonts w:hint="eastAsia"/>
                <w:color w:val="auto"/>
                <w:sz w:val="21"/>
                <w:szCs w:val="21"/>
                <w:highlight w:val="none"/>
              </w:rPr>
              <w:t>；</w:t>
            </w:r>
          </w:p>
          <w:p w14:paraId="7AA679EB">
            <w:pPr>
              <w:numPr>
                <w:ilvl w:val="0"/>
                <w:numId w:val="15"/>
              </w:numPr>
              <w:spacing w:line="0" w:lineRule="atLeast"/>
              <w:jc w:val="left"/>
              <w:rPr>
                <w:rFonts w:hint="eastAsia"/>
                <w:color w:val="auto"/>
                <w:sz w:val="21"/>
                <w:szCs w:val="21"/>
                <w:highlight w:val="none"/>
              </w:rPr>
            </w:pPr>
            <w:r>
              <w:rPr>
                <w:rFonts w:hint="eastAsia"/>
                <w:color w:val="auto"/>
                <w:sz w:val="21"/>
                <w:szCs w:val="21"/>
                <w:highlight w:val="none"/>
              </w:rPr>
              <w:t>生产间歇添加絮凝剂；</w:t>
            </w:r>
          </w:p>
          <w:p w14:paraId="2DD0C74B">
            <w:pPr>
              <w:numPr>
                <w:ilvl w:val="0"/>
                <w:numId w:val="15"/>
              </w:numPr>
              <w:spacing w:line="0" w:lineRule="atLeast"/>
              <w:jc w:val="left"/>
              <w:rPr>
                <w:color w:val="auto"/>
                <w:sz w:val="21"/>
                <w:szCs w:val="21"/>
                <w:highlight w:val="none"/>
              </w:rPr>
            </w:pPr>
            <w:r>
              <w:rPr>
                <w:rFonts w:hint="eastAsia"/>
                <w:color w:val="auto"/>
                <w:sz w:val="21"/>
                <w:szCs w:val="21"/>
                <w:highlight w:val="none"/>
              </w:rPr>
              <w:t>水槽槽底采用斜底结构并设有集污沟，安装二级过滤装置；</w:t>
            </w:r>
          </w:p>
          <w:p w14:paraId="7E95FFE0">
            <w:pPr>
              <w:numPr>
                <w:ilvl w:val="0"/>
                <w:numId w:val="15"/>
              </w:numPr>
              <w:spacing w:line="0" w:lineRule="atLeast"/>
              <w:jc w:val="left"/>
              <w:rPr>
                <w:color w:val="auto"/>
                <w:sz w:val="21"/>
                <w:szCs w:val="21"/>
                <w:highlight w:val="none"/>
              </w:rPr>
            </w:pPr>
            <w:r>
              <w:rPr>
                <w:rFonts w:hint="eastAsia"/>
                <w:color w:val="auto"/>
                <w:sz w:val="21"/>
                <w:szCs w:val="21"/>
                <w:highlight w:val="none"/>
              </w:rPr>
              <w:t>进入园区管网，最终进入第二污水处理厂。</w:t>
            </w:r>
          </w:p>
        </w:tc>
        <w:tc>
          <w:tcPr>
            <w:tcW w:w="1664" w:type="pct"/>
            <w:noWrap w:val="0"/>
            <w:vAlign w:val="center"/>
          </w:tcPr>
          <w:p w14:paraId="1CD0D8C4">
            <w:pPr>
              <w:spacing w:line="0" w:lineRule="atLeast"/>
              <w:jc w:val="left"/>
              <w:rPr>
                <w:color w:val="auto"/>
                <w:sz w:val="21"/>
                <w:szCs w:val="21"/>
                <w:highlight w:val="none"/>
              </w:rPr>
            </w:pPr>
            <w:r>
              <w:rPr>
                <w:color w:val="auto"/>
                <w:sz w:val="21"/>
                <w:szCs w:val="21"/>
                <w:highlight w:val="none"/>
              </w:rPr>
              <w:t>《污水综合排放标准》(GB8978-1996)表4中的三级标准，同时满足</w:t>
            </w:r>
            <w:r>
              <w:rPr>
                <w:rFonts w:hint="eastAsia"/>
                <w:color w:val="auto"/>
                <w:sz w:val="21"/>
                <w:szCs w:val="21"/>
                <w:highlight w:val="none"/>
              </w:rPr>
              <w:t>第二污水处理厂现行</w:t>
            </w:r>
            <w:r>
              <w:rPr>
                <w:color w:val="auto"/>
                <w:sz w:val="21"/>
                <w:szCs w:val="21"/>
                <w:highlight w:val="none"/>
              </w:rPr>
              <w:t>进水水质要求</w:t>
            </w:r>
            <w:r>
              <w:rPr>
                <w:rFonts w:hint="eastAsia"/>
                <w:color w:val="auto"/>
                <w:sz w:val="21"/>
                <w:szCs w:val="21"/>
                <w:highlight w:val="none"/>
              </w:rPr>
              <w:t>及协议标准</w:t>
            </w:r>
            <w:r>
              <w:rPr>
                <w:color w:val="auto"/>
                <w:sz w:val="21"/>
                <w:szCs w:val="21"/>
                <w:highlight w:val="none"/>
              </w:rPr>
              <w:t>pH</w:t>
            </w:r>
            <w:r>
              <w:rPr>
                <w:rFonts w:hint="eastAsia"/>
                <w:color w:val="auto"/>
                <w:sz w:val="21"/>
                <w:szCs w:val="21"/>
                <w:highlight w:val="none"/>
              </w:rPr>
              <w:t>：</w:t>
            </w:r>
            <w:r>
              <w:rPr>
                <w:color w:val="auto"/>
                <w:sz w:val="21"/>
                <w:szCs w:val="21"/>
                <w:highlight w:val="none"/>
              </w:rPr>
              <w:t>6-9</w:t>
            </w:r>
            <w:r>
              <w:rPr>
                <w:rFonts w:hint="eastAsia"/>
                <w:color w:val="auto"/>
                <w:sz w:val="21"/>
                <w:szCs w:val="21"/>
                <w:highlight w:val="none"/>
              </w:rPr>
              <w:t>、</w:t>
            </w:r>
            <w:r>
              <w:rPr>
                <w:color w:val="auto"/>
                <w:sz w:val="21"/>
                <w:szCs w:val="21"/>
                <w:highlight w:val="none"/>
                <w:lang w:val="pt-BR"/>
              </w:rPr>
              <w:t>COD</w:t>
            </w:r>
            <w:r>
              <w:rPr>
                <w:rFonts w:hint="eastAsia"/>
                <w:color w:val="auto"/>
                <w:sz w:val="21"/>
                <w:szCs w:val="21"/>
                <w:highlight w:val="none"/>
                <w:lang w:val="pt-BR"/>
              </w:rPr>
              <w:t>：</w:t>
            </w:r>
            <w:r>
              <w:rPr>
                <w:rFonts w:hint="eastAsia"/>
                <w:color w:val="auto"/>
                <w:sz w:val="21"/>
                <w:szCs w:val="21"/>
                <w:highlight w:val="none"/>
              </w:rPr>
              <w:t>45</w:t>
            </w:r>
            <w:r>
              <w:rPr>
                <w:color w:val="auto"/>
                <w:sz w:val="21"/>
                <w:szCs w:val="21"/>
                <w:highlight w:val="none"/>
              </w:rPr>
              <w:t>0mg/L</w:t>
            </w:r>
            <w:r>
              <w:rPr>
                <w:rFonts w:hint="eastAsia"/>
                <w:color w:val="auto"/>
                <w:sz w:val="21"/>
                <w:szCs w:val="21"/>
                <w:highlight w:val="none"/>
              </w:rPr>
              <w:t>、</w:t>
            </w:r>
            <w:r>
              <w:rPr>
                <w:color w:val="auto"/>
                <w:sz w:val="21"/>
                <w:szCs w:val="21"/>
                <w:highlight w:val="none"/>
                <w:lang w:val="pt-BR"/>
              </w:rPr>
              <w:t>BOD</w:t>
            </w:r>
            <w:r>
              <w:rPr>
                <w:color w:val="auto"/>
                <w:sz w:val="21"/>
                <w:szCs w:val="21"/>
                <w:highlight w:val="none"/>
                <w:vertAlign w:val="subscript"/>
                <w:lang w:val="pt-BR"/>
              </w:rPr>
              <w:t>5</w:t>
            </w:r>
            <w:r>
              <w:rPr>
                <w:rFonts w:hint="eastAsia"/>
                <w:color w:val="auto"/>
                <w:sz w:val="21"/>
                <w:szCs w:val="21"/>
                <w:highlight w:val="none"/>
                <w:lang w:val="pt-BR"/>
              </w:rPr>
              <w:t>：</w:t>
            </w:r>
            <w:r>
              <w:rPr>
                <w:rFonts w:hint="eastAsia"/>
                <w:color w:val="auto"/>
                <w:sz w:val="21"/>
                <w:szCs w:val="21"/>
                <w:highlight w:val="none"/>
              </w:rPr>
              <w:t>200</w:t>
            </w:r>
            <w:r>
              <w:rPr>
                <w:color w:val="auto"/>
                <w:sz w:val="21"/>
                <w:szCs w:val="21"/>
                <w:highlight w:val="none"/>
              </w:rPr>
              <w:t>mg/L</w:t>
            </w:r>
            <w:r>
              <w:rPr>
                <w:rFonts w:hint="eastAsia"/>
                <w:color w:val="auto"/>
                <w:sz w:val="21"/>
                <w:szCs w:val="21"/>
                <w:highlight w:val="none"/>
              </w:rPr>
              <w:t>、</w:t>
            </w:r>
            <w:r>
              <w:rPr>
                <w:color w:val="auto"/>
                <w:sz w:val="21"/>
                <w:szCs w:val="21"/>
                <w:highlight w:val="none"/>
                <w:lang w:val="pt-BR"/>
              </w:rPr>
              <w:t>SS</w:t>
            </w:r>
            <w:r>
              <w:rPr>
                <w:rFonts w:hint="eastAsia"/>
                <w:color w:val="auto"/>
                <w:sz w:val="21"/>
                <w:szCs w:val="21"/>
                <w:highlight w:val="none"/>
                <w:lang w:val="pt-BR"/>
              </w:rPr>
              <w:t>：</w:t>
            </w:r>
            <w:r>
              <w:rPr>
                <w:rFonts w:hint="eastAsia"/>
                <w:color w:val="auto"/>
                <w:sz w:val="21"/>
                <w:szCs w:val="21"/>
                <w:highlight w:val="none"/>
              </w:rPr>
              <w:t>20</w:t>
            </w:r>
            <w:r>
              <w:rPr>
                <w:color w:val="auto"/>
                <w:sz w:val="21"/>
                <w:szCs w:val="21"/>
                <w:highlight w:val="none"/>
              </w:rPr>
              <w:t>0mg/L</w:t>
            </w:r>
            <w:r>
              <w:rPr>
                <w:rFonts w:hint="eastAsia"/>
                <w:color w:val="auto"/>
                <w:sz w:val="21"/>
                <w:szCs w:val="21"/>
                <w:highlight w:val="none"/>
              </w:rPr>
              <w:t>、</w:t>
            </w:r>
            <w:r>
              <w:rPr>
                <w:color w:val="auto"/>
                <w:sz w:val="21"/>
                <w:szCs w:val="21"/>
                <w:highlight w:val="none"/>
                <w:lang w:val="pt-BR"/>
              </w:rPr>
              <w:t>氨氮</w:t>
            </w:r>
            <w:r>
              <w:rPr>
                <w:rFonts w:hint="eastAsia"/>
                <w:color w:val="auto"/>
                <w:sz w:val="21"/>
                <w:szCs w:val="21"/>
                <w:highlight w:val="none"/>
              </w:rPr>
              <w:t>：40</w:t>
            </w:r>
            <w:r>
              <w:rPr>
                <w:color w:val="auto"/>
                <w:sz w:val="21"/>
                <w:szCs w:val="21"/>
                <w:highlight w:val="none"/>
              </w:rPr>
              <w:t>mg/L</w:t>
            </w:r>
            <w:r>
              <w:rPr>
                <w:rFonts w:hint="eastAsia"/>
                <w:color w:val="auto"/>
                <w:sz w:val="21"/>
                <w:szCs w:val="21"/>
                <w:highlight w:val="none"/>
              </w:rPr>
              <w:t>、总磷：5.0mg/L、动植物油：100mg/L、石油类：20mg/L</w:t>
            </w:r>
          </w:p>
        </w:tc>
      </w:tr>
      <w:tr w14:paraId="683886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4" w:hRule="exact"/>
          <w:jc w:val="center"/>
        </w:trPr>
        <w:tc>
          <w:tcPr>
            <w:tcW w:w="535" w:type="pct"/>
            <w:noWrap w:val="0"/>
            <w:vAlign w:val="center"/>
          </w:tcPr>
          <w:p w14:paraId="7AF5245A">
            <w:pPr>
              <w:adjustRightInd w:val="0"/>
              <w:snapToGrid w:val="0"/>
              <w:jc w:val="center"/>
              <w:rPr>
                <w:color w:val="auto"/>
                <w:sz w:val="21"/>
                <w:szCs w:val="21"/>
                <w:highlight w:val="none"/>
              </w:rPr>
            </w:pPr>
            <w:r>
              <w:rPr>
                <w:color w:val="auto"/>
                <w:sz w:val="21"/>
                <w:szCs w:val="21"/>
                <w:highlight w:val="none"/>
              </w:rPr>
              <w:t>声环境</w:t>
            </w:r>
          </w:p>
        </w:tc>
        <w:tc>
          <w:tcPr>
            <w:tcW w:w="718" w:type="pct"/>
            <w:noWrap w:val="0"/>
            <w:vAlign w:val="center"/>
          </w:tcPr>
          <w:p w14:paraId="428D4567">
            <w:pPr>
              <w:adjustRightInd w:val="0"/>
              <w:snapToGrid w:val="0"/>
              <w:jc w:val="center"/>
              <w:rPr>
                <w:color w:val="auto"/>
                <w:sz w:val="21"/>
                <w:szCs w:val="21"/>
                <w:highlight w:val="none"/>
              </w:rPr>
            </w:pPr>
            <w:r>
              <w:rPr>
                <w:rFonts w:hint="eastAsia"/>
                <w:color w:val="auto"/>
                <w:sz w:val="21"/>
                <w:szCs w:val="21"/>
                <w:highlight w:val="none"/>
              </w:rPr>
              <w:t>清洗、烘干生产线</w:t>
            </w:r>
          </w:p>
        </w:tc>
        <w:tc>
          <w:tcPr>
            <w:tcW w:w="780" w:type="pct"/>
            <w:noWrap w:val="0"/>
            <w:vAlign w:val="center"/>
          </w:tcPr>
          <w:p w14:paraId="2604CB31">
            <w:pPr>
              <w:adjustRightInd w:val="0"/>
              <w:snapToGrid w:val="0"/>
              <w:jc w:val="center"/>
              <w:rPr>
                <w:color w:val="auto"/>
                <w:sz w:val="21"/>
                <w:szCs w:val="21"/>
                <w:highlight w:val="none"/>
              </w:rPr>
            </w:pPr>
            <w:r>
              <w:rPr>
                <w:rFonts w:hint="eastAsia"/>
                <w:color w:val="auto"/>
                <w:sz w:val="21"/>
                <w:szCs w:val="21"/>
                <w:highlight w:val="none"/>
              </w:rPr>
              <w:t>等效连续A声级</w:t>
            </w:r>
          </w:p>
        </w:tc>
        <w:tc>
          <w:tcPr>
            <w:tcW w:w="1300" w:type="pct"/>
            <w:noWrap w:val="0"/>
            <w:vAlign w:val="center"/>
          </w:tcPr>
          <w:p w14:paraId="06929761">
            <w:pPr>
              <w:adjustRightInd w:val="0"/>
              <w:snapToGrid w:val="0"/>
              <w:jc w:val="center"/>
              <w:rPr>
                <w:color w:val="auto"/>
                <w:sz w:val="21"/>
                <w:szCs w:val="21"/>
                <w:highlight w:val="none"/>
              </w:rPr>
            </w:pPr>
            <w:r>
              <w:rPr>
                <w:color w:val="auto"/>
                <w:sz w:val="21"/>
                <w:szCs w:val="21"/>
                <w:highlight w:val="none"/>
              </w:rPr>
              <w:t>选用低噪声设备、合理布局、厂房隔声、距离衰减</w:t>
            </w:r>
          </w:p>
        </w:tc>
        <w:tc>
          <w:tcPr>
            <w:tcW w:w="1664" w:type="pct"/>
            <w:noWrap w:val="0"/>
            <w:vAlign w:val="center"/>
          </w:tcPr>
          <w:p w14:paraId="7DC826D4">
            <w:pPr>
              <w:adjustRightInd w:val="0"/>
              <w:snapToGrid w:val="0"/>
              <w:jc w:val="left"/>
              <w:rPr>
                <w:color w:val="auto"/>
                <w:sz w:val="21"/>
                <w:szCs w:val="21"/>
                <w:highlight w:val="none"/>
              </w:rPr>
            </w:pPr>
            <w:r>
              <w:rPr>
                <w:color w:val="auto"/>
                <w:sz w:val="21"/>
                <w:szCs w:val="21"/>
                <w:highlight w:val="none"/>
              </w:rPr>
              <w:t>《工业企业厂界环境噪声排放标准》（GB12348-2008）表1中</w:t>
            </w:r>
            <w:r>
              <w:rPr>
                <w:rFonts w:hint="eastAsia"/>
                <w:color w:val="auto"/>
                <w:sz w:val="21"/>
                <w:szCs w:val="21"/>
                <w:highlight w:val="none"/>
              </w:rPr>
              <w:t>3</w:t>
            </w:r>
            <w:r>
              <w:rPr>
                <w:color w:val="auto"/>
                <w:sz w:val="21"/>
                <w:szCs w:val="21"/>
                <w:highlight w:val="none"/>
              </w:rPr>
              <w:t>类</w:t>
            </w:r>
            <w:r>
              <w:rPr>
                <w:rFonts w:hint="eastAsia"/>
                <w:color w:val="auto"/>
                <w:sz w:val="21"/>
                <w:szCs w:val="21"/>
                <w:highlight w:val="none"/>
                <w:lang w:eastAsia="zh-CN"/>
              </w:rPr>
              <w:t>、</w:t>
            </w:r>
            <w:r>
              <w:rPr>
                <w:rFonts w:hint="eastAsia"/>
                <w:color w:val="auto"/>
                <w:sz w:val="21"/>
                <w:szCs w:val="21"/>
                <w:highlight w:val="none"/>
                <w:lang w:val="en-US" w:eastAsia="zh-CN"/>
              </w:rPr>
              <w:t>4类</w:t>
            </w:r>
            <w:r>
              <w:rPr>
                <w:color w:val="auto"/>
                <w:sz w:val="21"/>
                <w:szCs w:val="21"/>
                <w:highlight w:val="none"/>
              </w:rPr>
              <w:t>标准要求</w:t>
            </w:r>
          </w:p>
        </w:tc>
      </w:tr>
      <w:tr w14:paraId="6EC293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8" w:hRule="atLeast"/>
          <w:jc w:val="center"/>
        </w:trPr>
        <w:tc>
          <w:tcPr>
            <w:tcW w:w="535" w:type="pct"/>
            <w:vMerge w:val="restart"/>
            <w:noWrap w:val="0"/>
            <w:vAlign w:val="center"/>
          </w:tcPr>
          <w:p w14:paraId="6D92EB40">
            <w:pPr>
              <w:adjustRightInd w:val="0"/>
              <w:snapToGrid w:val="0"/>
              <w:jc w:val="center"/>
              <w:rPr>
                <w:rFonts w:hint="eastAsia"/>
                <w:color w:val="auto"/>
                <w:sz w:val="21"/>
                <w:szCs w:val="21"/>
                <w:highlight w:val="none"/>
              </w:rPr>
            </w:pPr>
            <w:r>
              <w:rPr>
                <w:rFonts w:hint="eastAsia"/>
                <w:color w:val="auto"/>
                <w:sz w:val="21"/>
                <w:szCs w:val="21"/>
                <w:highlight w:val="none"/>
              </w:rPr>
              <w:t>固体废物</w:t>
            </w:r>
          </w:p>
        </w:tc>
        <w:tc>
          <w:tcPr>
            <w:tcW w:w="718" w:type="pct"/>
            <w:noWrap w:val="0"/>
            <w:vAlign w:val="center"/>
          </w:tcPr>
          <w:p w14:paraId="0E4D5F6B">
            <w:pPr>
              <w:adjustRightInd w:val="0"/>
              <w:snapToGrid w:val="0"/>
              <w:jc w:val="center"/>
              <w:rPr>
                <w:rFonts w:hint="default" w:eastAsia="宋体"/>
                <w:color w:val="auto"/>
                <w:sz w:val="21"/>
                <w:szCs w:val="21"/>
                <w:highlight w:val="none"/>
                <w:lang w:val="en-US" w:eastAsia="zh-CN"/>
              </w:rPr>
            </w:pPr>
            <w:r>
              <w:rPr>
                <w:rFonts w:hint="eastAsia"/>
                <w:color w:val="auto"/>
                <w:kern w:val="0"/>
                <w:sz w:val="21"/>
                <w:szCs w:val="21"/>
                <w:highlight w:val="none"/>
                <w:lang w:val="en-US" w:eastAsia="zh-CN"/>
              </w:rPr>
              <w:t>清洗喷淋液配制</w:t>
            </w:r>
          </w:p>
        </w:tc>
        <w:tc>
          <w:tcPr>
            <w:tcW w:w="780" w:type="pct"/>
            <w:noWrap w:val="0"/>
            <w:vAlign w:val="center"/>
          </w:tcPr>
          <w:p w14:paraId="23249B76">
            <w:pPr>
              <w:widowControl/>
              <w:jc w:val="center"/>
              <w:rPr>
                <w:rFonts w:hint="eastAsia"/>
                <w:color w:val="auto"/>
                <w:kern w:val="0"/>
                <w:sz w:val="21"/>
                <w:szCs w:val="21"/>
                <w:highlight w:val="none"/>
              </w:rPr>
            </w:pPr>
            <w:r>
              <w:rPr>
                <w:rFonts w:hint="eastAsia" w:ascii="Times New Roman" w:hAnsi="Times New Roman" w:eastAsia="宋体" w:cs="Times New Roman"/>
                <w:color w:val="auto"/>
                <w:kern w:val="0"/>
                <w:sz w:val="21"/>
                <w:szCs w:val="21"/>
                <w:highlight w:val="none"/>
                <w:lang w:val="en-US" w:eastAsia="zh-CN"/>
              </w:rPr>
              <w:t>清洗剂、防锈剂废包装桶</w:t>
            </w:r>
            <w:r>
              <w:rPr>
                <w:rFonts w:hint="eastAsia" w:cs="Times New Roman"/>
                <w:color w:val="auto"/>
                <w:kern w:val="0"/>
                <w:sz w:val="21"/>
                <w:szCs w:val="21"/>
                <w:highlight w:val="none"/>
                <w:lang w:val="en-US" w:eastAsia="zh-CN"/>
              </w:rPr>
              <w:t>（未沾染）</w:t>
            </w:r>
          </w:p>
        </w:tc>
        <w:tc>
          <w:tcPr>
            <w:tcW w:w="1300" w:type="pct"/>
            <w:noWrap w:val="0"/>
            <w:vAlign w:val="center"/>
          </w:tcPr>
          <w:p w14:paraId="2544F1E9">
            <w:pPr>
              <w:adjustRightInd w:val="0"/>
              <w:snapToGrid w:val="0"/>
              <w:jc w:val="center"/>
              <w:textAlignment w:val="baseline"/>
              <w:rPr>
                <w:rFonts w:hint="default" w:eastAsia="宋体"/>
                <w:color w:val="auto"/>
                <w:sz w:val="21"/>
                <w:szCs w:val="21"/>
                <w:highlight w:val="none"/>
                <w:lang w:val="en-US" w:eastAsia="zh-CN"/>
              </w:rPr>
            </w:pPr>
            <w:r>
              <w:rPr>
                <w:rFonts w:hint="eastAsia"/>
                <w:color w:val="auto"/>
                <w:sz w:val="21"/>
                <w:szCs w:val="21"/>
                <w:highlight w:val="none"/>
                <w:lang w:val="en-US" w:eastAsia="zh-CN"/>
              </w:rPr>
              <w:t>供应商回收利用</w:t>
            </w:r>
          </w:p>
        </w:tc>
        <w:tc>
          <w:tcPr>
            <w:tcW w:w="1664" w:type="pct"/>
            <w:vMerge w:val="restart"/>
            <w:noWrap w:val="0"/>
            <w:vAlign w:val="center"/>
          </w:tcPr>
          <w:p w14:paraId="6F88FD5E">
            <w:pPr>
              <w:adjustRightInd w:val="0"/>
              <w:snapToGrid w:val="0"/>
              <w:jc w:val="left"/>
              <w:rPr>
                <w:rFonts w:hint="eastAsia" w:eastAsia="宋体"/>
                <w:color w:val="auto"/>
                <w:sz w:val="21"/>
                <w:szCs w:val="21"/>
                <w:highlight w:val="none"/>
                <w:lang w:eastAsia="zh-CN"/>
              </w:rPr>
            </w:pPr>
            <w:r>
              <w:rPr>
                <w:color w:val="auto"/>
                <w:spacing w:val="6"/>
                <w:sz w:val="21"/>
                <w:szCs w:val="21"/>
                <w:highlight w:val="none"/>
              </w:rPr>
              <w:t>《一般工业固体废物贮存和填埋污染控制标准》（GB18599-2020）相关标准要求</w:t>
            </w:r>
            <w:r>
              <w:rPr>
                <w:rFonts w:hint="eastAsia"/>
                <w:color w:val="auto"/>
                <w:spacing w:val="6"/>
                <w:sz w:val="21"/>
                <w:szCs w:val="21"/>
                <w:highlight w:val="none"/>
                <w:lang w:eastAsia="zh-CN"/>
              </w:rPr>
              <w:t>。</w:t>
            </w:r>
          </w:p>
        </w:tc>
      </w:tr>
      <w:tr w14:paraId="739E8D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535" w:type="pct"/>
            <w:vMerge w:val="continue"/>
            <w:noWrap w:val="0"/>
            <w:vAlign w:val="center"/>
          </w:tcPr>
          <w:p w14:paraId="29C64BFD">
            <w:pPr>
              <w:adjustRightInd w:val="0"/>
              <w:snapToGrid w:val="0"/>
              <w:jc w:val="left"/>
              <w:rPr>
                <w:color w:val="auto"/>
                <w:spacing w:val="6"/>
                <w:sz w:val="21"/>
                <w:szCs w:val="21"/>
                <w:highlight w:val="none"/>
              </w:rPr>
            </w:pPr>
          </w:p>
        </w:tc>
        <w:tc>
          <w:tcPr>
            <w:tcW w:w="718" w:type="pct"/>
            <w:noWrap w:val="0"/>
            <w:vAlign w:val="center"/>
          </w:tcPr>
          <w:p w14:paraId="20FA5917">
            <w:pPr>
              <w:widowControl/>
              <w:jc w:val="center"/>
              <w:rPr>
                <w:rFonts w:hint="eastAsia"/>
                <w:color w:val="auto"/>
                <w:kern w:val="0"/>
                <w:sz w:val="21"/>
                <w:szCs w:val="21"/>
                <w:highlight w:val="none"/>
              </w:rPr>
            </w:pPr>
            <w:r>
              <w:rPr>
                <w:rFonts w:hint="eastAsia"/>
                <w:color w:val="auto"/>
                <w:kern w:val="0"/>
                <w:sz w:val="21"/>
                <w:szCs w:val="21"/>
                <w:highlight w:val="none"/>
              </w:rPr>
              <w:t>水槽过滤装置</w:t>
            </w:r>
          </w:p>
        </w:tc>
        <w:tc>
          <w:tcPr>
            <w:tcW w:w="780" w:type="pct"/>
            <w:noWrap w:val="0"/>
            <w:vAlign w:val="center"/>
          </w:tcPr>
          <w:p w14:paraId="625D575D">
            <w:pPr>
              <w:widowControl/>
              <w:jc w:val="center"/>
              <w:rPr>
                <w:rFonts w:hint="eastAsia"/>
                <w:color w:val="auto"/>
                <w:kern w:val="0"/>
                <w:sz w:val="21"/>
                <w:szCs w:val="21"/>
                <w:highlight w:val="none"/>
              </w:rPr>
            </w:pPr>
            <w:r>
              <w:rPr>
                <w:rFonts w:hint="eastAsia" w:ascii="Times New Roman" w:hAnsi="Times New Roman" w:eastAsia="宋体" w:cs="Times New Roman"/>
                <w:color w:val="auto"/>
                <w:kern w:val="0"/>
                <w:sz w:val="21"/>
                <w:szCs w:val="21"/>
                <w:highlight w:val="none"/>
                <w:lang w:val="en-US" w:eastAsia="zh-CN"/>
              </w:rPr>
              <w:t>铁屑等</w:t>
            </w:r>
          </w:p>
        </w:tc>
        <w:tc>
          <w:tcPr>
            <w:tcW w:w="1300" w:type="pct"/>
            <w:noWrap w:val="0"/>
            <w:vAlign w:val="center"/>
          </w:tcPr>
          <w:p w14:paraId="3AB6A173">
            <w:pPr>
              <w:widowControl/>
              <w:jc w:val="center"/>
              <w:rPr>
                <w:rFonts w:hint="eastAsia"/>
                <w:color w:val="auto"/>
                <w:kern w:val="0"/>
                <w:sz w:val="21"/>
                <w:szCs w:val="21"/>
                <w:highlight w:val="none"/>
              </w:rPr>
            </w:pPr>
            <w:r>
              <w:rPr>
                <w:rFonts w:hint="eastAsia" w:ascii="Times New Roman" w:hAnsi="Times New Roman" w:eastAsia="宋体" w:cs="Times New Roman"/>
                <w:color w:val="auto"/>
                <w:kern w:val="0"/>
                <w:sz w:val="21"/>
                <w:szCs w:val="21"/>
                <w:highlight w:val="none"/>
                <w:lang w:val="en-US" w:eastAsia="zh-CN"/>
              </w:rPr>
              <w:t>中频电炉回收利用</w:t>
            </w:r>
          </w:p>
        </w:tc>
        <w:tc>
          <w:tcPr>
            <w:tcW w:w="1664" w:type="pct"/>
            <w:vMerge w:val="continue"/>
            <w:noWrap w:val="0"/>
            <w:vAlign w:val="center"/>
          </w:tcPr>
          <w:p w14:paraId="2B7B4227">
            <w:pPr>
              <w:widowControl/>
              <w:jc w:val="center"/>
              <w:rPr>
                <w:rFonts w:hint="eastAsia"/>
                <w:color w:val="auto"/>
                <w:kern w:val="0"/>
                <w:sz w:val="21"/>
                <w:szCs w:val="21"/>
                <w:highlight w:val="none"/>
              </w:rPr>
            </w:pPr>
          </w:p>
        </w:tc>
      </w:tr>
      <w:tr w14:paraId="35EF5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535" w:type="pct"/>
            <w:vMerge w:val="continue"/>
            <w:noWrap w:val="0"/>
            <w:vAlign w:val="center"/>
          </w:tcPr>
          <w:p w14:paraId="44C26576">
            <w:pPr>
              <w:adjustRightInd w:val="0"/>
              <w:snapToGrid w:val="0"/>
              <w:jc w:val="left"/>
              <w:rPr>
                <w:color w:val="auto"/>
                <w:spacing w:val="6"/>
                <w:sz w:val="21"/>
                <w:szCs w:val="21"/>
                <w:highlight w:val="none"/>
              </w:rPr>
            </w:pPr>
          </w:p>
        </w:tc>
        <w:tc>
          <w:tcPr>
            <w:tcW w:w="718" w:type="pct"/>
            <w:noWrap w:val="0"/>
            <w:vAlign w:val="center"/>
          </w:tcPr>
          <w:p w14:paraId="01C157CC">
            <w:pPr>
              <w:widowControl/>
              <w:jc w:val="center"/>
              <w:rPr>
                <w:rFonts w:hint="eastAsia"/>
                <w:color w:val="auto"/>
                <w:kern w:val="0"/>
                <w:sz w:val="21"/>
                <w:szCs w:val="21"/>
                <w:highlight w:val="none"/>
              </w:rPr>
            </w:pPr>
            <w:r>
              <w:rPr>
                <w:rFonts w:hint="eastAsia"/>
                <w:color w:val="auto"/>
                <w:kern w:val="0"/>
                <w:sz w:val="21"/>
                <w:szCs w:val="21"/>
                <w:highlight w:val="none"/>
              </w:rPr>
              <w:t>预脱脂、主脱脂隔油装置</w:t>
            </w:r>
          </w:p>
        </w:tc>
        <w:tc>
          <w:tcPr>
            <w:tcW w:w="780" w:type="pct"/>
            <w:noWrap w:val="0"/>
            <w:vAlign w:val="center"/>
          </w:tcPr>
          <w:p w14:paraId="2B53AD31">
            <w:pPr>
              <w:widowControl/>
              <w:jc w:val="center"/>
              <w:rPr>
                <w:rFonts w:hint="eastAsia"/>
                <w:color w:val="auto"/>
                <w:kern w:val="0"/>
                <w:sz w:val="21"/>
                <w:szCs w:val="21"/>
                <w:highlight w:val="none"/>
              </w:rPr>
            </w:pPr>
            <w:r>
              <w:rPr>
                <w:rFonts w:hint="eastAsia"/>
                <w:color w:val="auto"/>
                <w:kern w:val="0"/>
                <w:sz w:val="21"/>
                <w:szCs w:val="21"/>
                <w:highlight w:val="none"/>
              </w:rPr>
              <w:t>废矿物油</w:t>
            </w:r>
          </w:p>
        </w:tc>
        <w:tc>
          <w:tcPr>
            <w:tcW w:w="1300" w:type="pct"/>
            <w:vMerge w:val="restart"/>
            <w:noWrap w:val="0"/>
            <w:vAlign w:val="center"/>
          </w:tcPr>
          <w:p w14:paraId="6AD198F7">
            <w:pPr>
              <w:widowControl/>
              <w:jc w:val="center"/>
              <w:rPr>
                <w:rFonts w:hint="eastAsia"/>
                <w:color w:val="auto"/>
                <w:kern w:val="0"/>
                <w:sz w:val="21"/>
                <w:szCs w:val="21"/>
                <w:highlight w:val="none"/>
              </w:rPr>
            </w:pPr>
            <w:r>
              <w:rPr>
                <w:rFonts w:hint="eastAsia"/>
                <w:color w:val="auto"/>
                <w:kern w:val="0"/>
                <w:sz w:val="21"/>
                <w:szCs w:val="21"/>
                <w:highlight w:val="none"/>
              </w:rPr>
              <w:t>交资质单位处置</w:t>
            </w:r>
          </w:p>
        </w:tc>
        <w:tc>
          <w:tcPr>
            <w:tcW w:w="1664" w:type="pct"/>
            <w:vMerge w:val="restart"/>
            <w:noWrap w:val="0"/>
            <w:vAlign w:val="center"/>
          </w:tcPr>
          <w:p w14:paraId="325D1702">
            <w:pPr>
              <w:widowControl/>
              <w:jc w:val="center"/>
              <w:rPr>
                <w:rFonts w:hint="eastAsia"/>
                <w:color w:val="auto"/>
                <w:kern w:val="0"/>
                <w:sz w:val="21"/>
                <w:szCs w:val="21"/>
                <w:highlight w:val="none"/>
              </w:rPr>
            </w:pPr>
            <w:r>
              <w:rPr>
                <w:rFonts w:hint="eastAsia"/>
                <w:color w:val="auto"/>
                <w:kern w:val="0"/>
                <w:sz w:val="21"/>
                <w:szCs w:val="21"/>
                <w:highlight w:val="none"/>
              </w:rPr>
              <w:t>《危险废物贮存污染控制标准》(GB18597-2023）</w:t>
            </w:r>
          </w:p>
        </w:tc>
      </w:tr>
      <w:tr w14:paraId="4F87D3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535" w:type="pct"/>
            <w:vMerge w:val="continue"/>
            <w:noWrap w:val="0"/>
            <w:vAlign w:val="center"/>
          </w:tcPr>
          <w:p w14:paraId="446C114F">
            <w:pPr>
              <w:adjustRightInd w:val="0"/>
              <w:snapToGrid w:val="0"/>
              <w:jc w:val="left"/>
              <w:rPr>
                <w:color w:val="auto"/>
                <w:spacing w:val="6"/>
                <w:sz w:val="21"/>
                <w:szCs w:val="21"/>
                <w:highlight w:val="none"/>
              </w:rPr>
            </w:pPr>
          </w:p>
        </w:tc>
        <w:tc>
          <w:tcPr>
            <w:tcW w:w="718" w:type="pct"/>
            <w:noWrap w:val="0"/>
            <w:vAlign w:val="center"/>
          </w:tcPr>
          <w:p w14:paraId="14CFA109">
            <w:pPr>
              <w:widowControl/>
              <w:jc w:val="center"/>
              <w:rPr>
                <w:rFonts w:hint="default" w:eastAsia="宋体"/>
                <w:color w:val="auto"/>
                <w:kern w:val="0"/>
                <w:sz w:val="21"/>
                <w:szCs w:val="21"/>
                <w:highlight w:val="none"/>
                <w:lang w:val="en-US" w:eastAsia="zh-CN"/>
              </w:rPr>
            </w:pPr>
            <w:r>
              <w:rPr>
                <w:rFonts w:hint="eastAsia"/>
                <w:color w:val="auto"/>
                <w:kern w:val="0"/>
                <w:sz w:val="21"/>
                <w:szCs w:val="21"/>
                <w:highlight w:val="none"/>
                <w:lang w:val="en-US" w:eastAsia="zh-CN"/>
              </w:rPr>
              <w:t>清洗线絮凝沉淀</w:t>
            </w:r>
          </w:p>
        </w:tc>
        <w:tc>
          <w:tcPr>
            <w:tcW w:w="780" w:type="pct"/>
            <w:noWrap w:val="0"/>
            <w:vAlign w:val="center"/>
          </w:tcPr>
          <w:p w14:paraId="2FA93A27">
            <w:pPr>
              <w:widowControl/>
              <w:jc w:val="center"/>
              <w:rPr>
                <w:rFonts w:hint="eastAsia"/>
                <w:color w:val="auto"/>
                <w:kern w:val="0"/>
                <w:sz w:val="21"/>
                <w:szCs w:val="21"/>
                <w:highlight w:val="none"/>
              </w:rPr>
            </w:pPr>
            <w:r>
              <w:rPr>
                <w:rFonts w:hint="eastAsia"/>
                <w:color w:val="auto"/>
                <w:kern w:val="0"/>
                <w:sz w:val="21"/>
                <w:szCs w:val="21"/>
                <w:highlight w:val="none"/>
              </w:rPr>
              <w:t>絮凝沉淀物</w:t>
            </w:r>
          </w:p>
        </w:tc>
        <w:tc>
          <w:tcPr>
            <w:tcW w:w="1300" w:type="pct"/>
            <w:vMerge w:val="continue"/>
            <w:noWrap w:val="0"/>
            <w:vAlign w:val="center"/>
          </w:tcPr>
          <w:p w14:paraId="2808F864">
            <w:pPr>
              <w:adjustRightInd w:val="0"/>
              <w:snapToGrid w:val="0"/>
              <w:jc w:val="left"/>
              <w:rPr>
                <w:rFonts w:hint="eastAsia"/>
                <w:color w:val="auto"/>
                <w:spacing w:val="6"/>
                <w:sz w:val="21"/>
                <w:szCs w:val="21"/>
                <w:highlight w:val="none"/>
              </w:rPr>
            </w:pPr>
          </w:p>
        </w:tc>
        <w:tc>
          <w:tcPr>
            <w:tcW w:w="1664" w:type="pct"/>
            <w:vMerge w:val="continue"/>
            <w:noWrap w:val="0"/>
            <w:vAlign w:val="center"/>
          </w:tcPr>
          <w:p w14:paraId="33553873">
            <w:pPr>
              <w:adjustRightInd w:val="0"/>
              <w:snapToGrid w:val="0"/>
              <w:jc w:val="left"/>
              <w:rPr>
                <w:color w:val="auto"/>
                <w:sz w:val="21"/>
                <w:szCs w:val="21"/>
                <w:highlight w:val="none"/>
              </w:rPr>
            </w:pPr>
          </w:p>
        </w:tc>
      </w:tr>
      <w:tr w14:paraId="08F8C6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535" w:type="pct"/>
            <w:vMerge w:val="continue"/>
            <w:noWrap w:val="0"/>
            <w:vAlign w:val="center"/>
          </w:tcPr>
          <w:p w14:paraId="3B6E9095">
            <w:pPr>
              <w:adjustRightInd w:val="0"/>
              <w:snapToGrid w:val="0"/>
              <w:jc w:val="left"/>
              <w:rPr>
                <w:color w:val="auto"/>
                <w:spacing w:val="6"/>
                <w:sz w:val="21"/>
                <w:szCs w:val="21"/>
                <w:highlight w:val="none"/>
              </w:rPr>
            </w:pPr>
          </w:p>
        </w:tc>
        <w:tc>
          <w:tcPr>
            <w:tcW w:w="718" w:type="pct"/>
            <w:noWrap w:val="0"/>
            <w:vAlign w:val="center"/>
          </w:tcPr>
          <w:p w14:paraId="137562EB">
            <w:pPr>
              <w:widowControl/>
              <w:jc w:val="center"/>
              <w:rPr>
                <w:rFonts w:hint="eastAsia"/>
                <w:color w:val="auto"/>
                <w:kern w:val="0"/>
                <w:sz w:val="21"/>
                <w:szCs w:val="21"/>
                <w:highlight w:val="none"/>
              </w:rPr>
            </w:pPr>
            <w:r>
              <w:rPr>
                <w:rFonts w:hint="eastAsia"/>
                <w:color w:val="auto"/>
                <w:kern w:val="0"/>
                <w:sz w:val="21"/>
                <w:szCs w:val="21"/>
                <w:highlight w:val="none"/>
              </w:rPr>
              <w:t>清洗喷淋液配制</w:t>
            </w:r>
          </w:p>
        </w:tc>
        <w:tc>
          <w:tcPr>
            <w:tcW w:w="780" w:type="pct"/>
            <w:noWrap w:val="0"/>
            <w:vAlign w:val="center"/>
          </w:tcPr>
          <w:p w14:paraId="39571D94">
            <w:pPr>
              <w:widowControl/>
              <w:jc w:val="center"/>
              <w:rPr>
                <w:rFonts w:hint="default" w:eastAsia="宋体"/>
                <w:color w:val="auto"/>
                <w:kern w:val="0"/>
                <w:sz w:val="21"/>
                <w:szCs w:val="21"/>
                <w:highlight w:val="none"/>
                <w:lang w:val="en-US" w:eastAsia="zh-CN"/>
              </w:rPr>
            </w:pPr>
            <w:r>
              <w:rPr>
                <w:rFonts w:hint="eastAsia"/>
                <w:color w:val="auto"/>
                <w:kern w:val="0"/>
                <w:sz w:val="21"/>
                <w:szCs w:val="21"/>
                <w:highlight w:val="none"/>
              </w:rPr>
              <w:t>清洗剂、防锈剂</w:t>
            </w:r>
            <w:r>
              <w:rPr>
                <w:rFonts w:hint="eastAsia"/>
                <w:color w:val="auto"/>
                <w:kern w:val="0"/>
                <w:sz w:val="21"/>
                <w:szCs w:val="21"/>
                <w:highlight w:val="none"/>
                <w:lang w:val="en-US" w:eastAsia="zh-CN"/>
              </w:rPr>
              <w:t>塑料内衬袋</w:t>
            </w:r>
          </w:p>
        </w:tc>
        <w:tc>
          <w:tcPr>
            <w:tcW w:w="1300" w:type="pct"/>
            <w:vMerge w:val="continue"/>
            <w:noWrap w:val="0"/>
            <w:vAlign w:val="center"/>
          </w:tcPr>
          <w:p w14:paraId="688EF420">
            <w:pPr>
              <w:adjustRightInd w:val="0"/>
              <w:snapToGrid w:val="0"/>
              <w:jc w:val="left"/>
              <w:rPr>
                <w:rFonts w:hint="eastAsia"/>
                <w:color w:val="auto"/>
                <w:spacing w:val="6"/>
                <w:sz w:val="21"/>
                <w:szCs w:val="21"/>
                <w:highlight w:val="none"/>
              </w:rPr>
            </w:pPr>
          </w:p>
        </w:tc>
        <w:tc>
          <w:tcPr>
            <w:tcW w:w="1664" w:type="pct"/>
            <w:vMerge w:val="continue"/>
            <w:noWrap w:val="0"/>
            <w:vAlign w:val="center"/>
          </w:tcPr>
          <w:p w14:paraId="0E290AA4">
            <w:pPr>
              <w:adjustRightInd w:val="0"/>
              <w:snapToGrid w:val="0"/>
              <w:jc w:val="left"/>
              <w:rPr>
                <w:color w:val="auto"/>
                <w:sz w:val="21"/>
                <w:szCs w:val="21"/>
                <w:highlight w:val="none"/>
              </w:rPr>
            </w:pPr>
          </w:p>
        </w:tc>
      </w:tr>
      <w:tr w14:paraId="4F2C52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7" w:hRule="atLeast"/>
          <w:jc w:val="center"/>
        </w:trPr>
        <w:tc>
          <w:tcPr>
            <w:tcW w:w="535" w:type="pct"/>
            <w:noWrap w:val="0"/>
            <w:vAlign w:val="center"/>
          </w:tcPr>
          <w:p w14:paraId="75E221D4">
            <w:pPr>
              <w:adjustRightInd w:val="0"/>
              <w:snapToGrid w:val="0"/>
              <w:jc w:val="center"/>
              <w:rPr>
                <w:color w:val="auto"/>
                <w:sz w:val="21"/>
                <w:szCs w:val="21"/>
                <w:highlight w:val="none"/>
              </w:rPr>
            </w:pPr>
            <w:r>
              <w:rPr>
                <w:color w:val="auto"/>
                <w:sz w:val="21"/>
                <w:szCs w:val="21"/>
                <w:highlight w:val="none"/>
              </w:rPr>
              <w:t>土壤及地下水污染防治措施</w:t>
            </w:r>
          </w:p>
        </w:tc>
        <w:tc>
          <w:tcPr>
            <w:tcW w:w="4464" w:type="pct"/>
            <w:gridSpan w:val="4"/>
            <w:noWrap w:val="0"/>
            <w:vAlign w:val="center"/>
          </w:tcPr>
          <w:p w14:paraId="218D5B80">
            <w:pPr>
              <w:pStyle w:val="112"/>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firstLine="420" w:firstLineChars="200"/>
              <w:textAlignment w:val="auto"/>
              <w:rPr>
                <w:color w:val="auto"/>
                <w:sz w:val="21"/>
                <w:szCs w:val="21"/>
                <w:highlight w:val="none"/>
              </w:rPr>
            </w:pPr>
            <w:r>
              <w:rPr>
                <w:rFonts w:hint="eastAsia"/>
                <w:color w:val="auto"/>
                <w:sz w:val="21"/>
                <w:szCs w:val="21"/>
                <w:highlight w:val="none"/>
              </w:rPr>
              <w:t>采用分区防渗的措施：</w:t>
            </w:r>
            <w:r>
              <w:rPr>
                <w:rFonts w:hint="eastAsia"/>
                <w:color w:val="auto"/>
                <w:sz w:val="21"/>
                <w:szCs w:val="21"/>
                <w:highlight w:val="none"/>
                <w:lang w:val="en-US" w:eastAsia="zh-CN"/>
              </w:rPr>
              <w:t>清洗共干线所在区域</w:t>
            </w:r>
            <w:r>
              <w:rPr>
                <w:rFonts w:hint="eastAsia" w:ascii="Times New Roman" w:hAnsi="Times New Roman" w:eastAsia="宋体" w:cs="Times New Roman"/>
                <w:color w:val="auto"/>
                <w:sz w:val="21"/>
                <w:szCs w:val="21"/>
                <w:highlight w:val="none"/>
                <w:lang w:val="en-US" w:eastAsia="zh-CN"/>
              </w:rPr>
              <w:t xml:space="preserve">防渗层为至少 </w:t>
            </w:r>
            <w:r>
              <w:rPr>
                <w:rFonts w:hint="default" w:ascii="Times New Roman" w:hAnsi="Times New Roman" w:eastAsia="宋体" w:cs="Times New Roman"/>
                <w:color w:val="auto"/>
                <w:sz w:val="21"/>
                <w:szCs w:val="21"/>
                <w:highlight w:val="none"/>
                <w:lang w:val="en-US" w:eastAsia="zh-CN"/>
              </w:rPr>
              <w:t xml:space="preserve">1 m </w:t>
            </w:r>
            <w:r>
              <w:rPr>
                <w:rFonts w:hint="eastAsia" w:ascii="Times New Roman" w:hAnsi="Times New Roman" w:eastAsia="宋体" w:cs="Times New Roman"/>
                <w:color w:val="auto"/>
                <w:sz w:val="21"/>
                <w:szCs w:val="21"/>
                <w:highlight w:val="none"/>
                <w:lang w:val="en-US" w:eastAsia="zh-CN"/>
              </w:rPr>
              <w:t>厚黏土层（渗透系数不大于</w:t>
            </w:r>
            <w:r>
              <w:rPr>
                <w:rFonts w:hint="default" w:ascii="Times New Roman" w:hAnsi="Times New Roman" w:eastAsia="宋体" w:cs="Times New Roman"/>
                <w:color w:val="auto"/>
                <w:sz w:val="21"/>
                <w:szCs w:val="21"/>
                <w:highlight w:val="none"/>
                <w:lang w:val="en-US" w:eastAsia="zh-CN"/>
              </w:rPr>
              <w:t xml:space="preserve">10 </w:t>
            </w:r>
            <w:r>
              <w:rPr>
                <w:rFonts w:hint="default" w:ascii="Times New Roman" w:hAnsi="Times New Roman" w:eastAsia="宋体" w:cs="Times New Roman"/>
                <w:color w:val="auto"/>
                <w:sz w:val="21"/>
                <w:szCs w:val="21"/>
                <w:highlight w:val="none"/>
                <w:vertAlign w:val="superscript"/>
                <w:lang w:val="en-US" w:eastAsia="zh-CN"/>
              </w:rPr>
              <w:t xml:space="preserve">-7 </w:t>
            </w:r>
            <w:r>
              <w:rPr>
                <w:rFonts w:hint="default" w:ascii="Times New Roman" w:hAnsi="Times New Roman" w:eastAsia="宋体" w:cs="Times New Roman"/>
                <w:color w:val="auto"/>
                <w:sz w:val="21"/>
                <w:szCs w:val="21"/>
                <w:highlight w:val="none"/>
                <w:lang w:val="en-US" w:eastAsia="zh-CN"/>
              </w:rPr>
              <w:t>cm/s</w:t>
            </w:r>
            <w:r>
              <w:rPr>
                <w:rFonts w:hint="eastAsia" w:ascii="Times New Roman" w:hAnsi="Times New Roman" w:eastAsia="宋体" w:cs="Times New Roman"/>
                <w:color w:val="auto"/>
                <w:sz w:val="21"/>
                <w:szCs w:val="21"/>
                <w:highlight w:val="none"/>
                <w:lang w:val="en-US" w:eastAsia="zh-CN"/>
              </w:rPr>
              <w:t>），或至少</w:t>
            </w:r>
            <w:r>
              <w:rPr>
                <w:rFonts w:hint="default" w:ascii="Times New Roman" w:hAnsi="Times New Roman" w:eastAsia="宋体" w:cs="Times New Roman"/>
                <w:color w:val="auto"/>
                <w:sz w:val="21"/>
                <w:szCs w:val="21"/>
                <w:highlight w:val="none"/>
                <w:lang w:val="en-US" w:eastAsia="zh-CN"/>
              </w:rPr>
              <w:t>2 mm</w:t>
            </w:r>
            <w:r>
              <w:rPr>
                <w:rFonts w:hint="eastAsia" w:ascii="Times New Roman" w:hAnsi="Times New Roman" w:eastAsia="宋体" w:cs="Times New Roman"/>
                <w:color w:val="auto"/>
                <w:sz w:val="21"/>
                <w:szCs w:val="21"/>
                <w:highlight w:val="none"/>
                <w:lang w:val="en-US" w:eastAsia="zh-CN"/>
              </w:rPr>
              <w:t>厚高密度聚乙烯膜等人工防渗材料（渗透系数不大于</w:t>
            </w:r>
            <w:r>
              <w:rPr>
                <w:rFonts w:hint="default" w:ascii="Times New Roman" w:hAnsi="Times New Roman" w:eastAsia="宋体" w:cs="Times New Roman"/>
                <w:color w:val="auto"/>
                <w:sz w:val="21"/>
                <w:szCs w:val="21"/>
                <w:highlight w:val="none"/>
                <w:lang w:val="en-US" w:eastAsia="zh-CN"/>
              </w:rPr>
              <w:t xml:space="preserve">10 </w:t>
            </w:r>
            <w:r>
              <w:rPr>
                <w:rFonts w:hint="default" w:ascii="Times New Roman" w:hAnsi="Times New Roman" w:eastAsia="宋体" w:cs="Times New Roman"/>
                <w:color w:val="auto"/>
                <w:sz w:val="21"/>
                <w:szCs w:val="21"/>
                <w:highlight w:val="none"/>
                <w:vertAlign w:val="superscript"/>
                <w:lang w:val="en-US" w:eastAsia="zh-CN"/>
              </w:rPr>
              <w:t>-10</w:t>
            </w:r>
            <w:r>
              <w:rPr>
                <w:rFonts w:hint="default" w:ascii="Times New Roman" w:hAnsi="Times New Roman" w:eastAsia="宋体" w:cs="Times New Roman"/>
                <w:color w:val="auto"/>
                <w:sz w:val="21"/>
                <w:szCs w:val="21"/>
                <w:highlight w:val="none"/>
                <w:lang w:val="en-US" w:eastAsia="zh-CN"/>
              </w:rPr>
              <w:t xml:space="preserve"> cm/s</w:t>
            </w:r>
            <w:r>
              <w:rPr>
                <w:rFonts w:hint="eastAsia" w:ascii="Times New Roman" w:hAnsi="Times New Roman" w:eastAsia="宋体" w:cs="Times New Roman"/>
                <w:color w:val="auto"/>
                <w:sz w:val="21"/>
                <w:szCs w:val="21"/>
                <w:highlight w:val="none"/>
                <w:lang w:val="en-US" w:eastAsia="zh-CN"/>
              </w:rPr>
              <w:t>），或其他防渗性能等效的材料。</w:t>
            </w:r>
          </w:p>
        </w:tc>
      </w:tr>
      <w:tr w14:paraId="0CD8FD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535" w:type="pct"/>
            <w:noWrap w:val="0"/>
            <w:vAlign w:val="center"/>
          </w:tcPr>
          <w:p w14:paraId="1CD9A642">
            <w:pPr>
              <w:spacing w:line="240" w:lineRule="atLeast"/>
              <w:jc w:val="center"/>
              <w:rPr>
                <w:color w:val="auto"/>
                <w:sz w:val="21"/>
                <w:szCs w:val="21"/>
                <w:highlight w:val="none"/>
              </w:rPr>
            </w:pPr>
            <w:r>
              <w:rPr>
                <w:rFonts w:hint="eastAsia"/>
                <w:color w:val="auto"/>
                <w:kern w:val="0"/>
                <w:szCs w:val="21"/>
                <w:highlight w:val="none"/>
              </w:rPr>
              <w:t>防沙治沙</w:t>
            </w:r>
          </w:p>
        </w:tc>
        <w:tc>
          <w:tcPr>
            <w:tcW w:w="4464" w:type="pct"/>
            <w:gridSpan w:val="4"/>
            <w:noWrap w:val="0"/>
            <w:vAlign w:val="center"/>
          </w:tcPr>
          <w:p w14:paraId="39DA3114">
            <w:pPr>
              <w:widowControl/>
              <w:snapToGrid w:val="0"/>
              <w:ind w:firstLine="420" w:firstLineChars="200"/>
              <w:jc w:val="left"/>
              <w:textAlignment w:val="center"/>
              <w:rPr>
                <w:rFonts w:hint="eastAsia"/>
                <w:color w:val="auto"/>
                <w:sz w:val="21"/>
                <w:szCs w:val="21"/>
                <w:highlight w:val="none"/>
              </w:rPr>
            </w:pPr>
            <w:r>
              <w:rPr>
                <w:rFonts w:hint="eastAsia"/>
                <w:color w:val="auto"/>
                <w:highlight w:val="none"/>
              </w:rPr>
              <w:t>公司属于沙化区</w:t>
            </w:r>
            <w:r>
              <w:rPr>
                <w:rFonts w:hint="eastAsia"/>
                <w:color w:val="auto"/>
                <w:highlight w:val="none"/>
                <w:lang w:val="en-US" w:eastAsia="zh-CN"/>
              </w:rPr>
              <w:t>范围</w:t>
            </w:r>
            <w:r>
              <w:rPr>
                <w:rFonts w:hint="eastAsia"/>
                <w:color w:val="auto"/>
                <w:highlight w:val="none"/>
              </w:rPr>
              <w:t>，经现场调查</w:t>
            </w:r>
            <w:r>
              <w:rPr>
                <w:rFonts w:hint="eastAsia"/>
                <w:color w:val="auto"/>
                <w:highlight w:val="none"/>
                <w:lang w:val="en-US" w:eastAsia="zh-CN"/>
              </w:rPr>
              <w:t>该公司</w:t>
            </w:r>
            <w:r>
              <w:rPr>
                <w:rFonts w:hint="eastAsia"/>
                <w:color w:val="auto"/>
                <w:highlight w:val="none"/>
              </w:rPr>
              <w:t>地面已经硬化</w:t>
            </w:r>
            <w:r>
              <w:rPr>
                <w:rFonts w:hint="eastAsia"/>
                <w:color w:val="auto"/>
                <w:highlight w:val="none"/>
                <w:lang w:eastAsia="zh-CN"/>
              </w:rPr>
              <w:t>，</w:t>
            </w:r>
            <w:r>
              <w:rPr>
                <w:rFonts w:hint="eastAsia"/>
                <w:color w:val="auto"/>
                <w:highlight w:val="none"/>
                <w:lang w:val="en-US" w:eastAsia="zh-CN"/>
              </w:rPr>
              <w:t>生产设备位于厂房内；技改项目位于现有厂房内，对土地沙化无影响</w:t>
            </w:r>
            <w:r>
              <w:rPr>
                <w:rFonts w:hint="eastAsia"/>
                <w:color w:val="auto"/>
                <w:highlight w:val="none"/>
              </w:rPr>
              <w:t>。</w:t>
            </w:r>
          </w:p>
        </w:tc>
      </w:tr>
      <w:tr w14:paraId="1AA044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535" w:type="pct"/>
            <w:noWrap w:val="0"/>
            <w:vAlign w:val="center"/>
          </w:tcPr>
          <w:p w14:paraId="475E9030">
            <w:pPr>
              <w:adjustRightInd w:val="0"/>
              <w:snapToGrid w:val="0"/>
              <w:jc w:val="center"/>
              <w:rPr>
                <w:color w:val="auto"/>
                <w:sz w:val="21"/>
                <w:szCs w:val="21"/>
                <w:highlight w:val="none"/>
              </w:rPr>
            </w:pPr>
            <w:r>
              <w:rPr>
                <w:color w:val="auto"/>
                <w:sz w:val="21"/>
                <w:szCs w:val="21"/>
                <w:highlight w:val="none"/>
              </w:rPr>
              <w:t>生态保护措施</w:t>
            </w:r>
          </w:p>
        </w:tc>
        <w:tc>
          <w:tcPr>
            <w:tcW w:w="4464" w:type="pct"/>
            <w:gridSpan w:val="4"/>
            <w:noWrap w:val="0"/>
            <w:vAlign w:val="center"/>
          </w:tcPr>
          <w:p w14:paraId="33100209">
            <w:pPr>
              <w:adjustRightInd w:val="0"/>
              <w:snapToGrid w:val="0"/>
              <w:jc w:val="center"/>
              <w:rPr>
                <w:rFonts w:hint="eastAsia"/>
                <w:color w:val="auto"/>
                <w:sz w:val="21"/>
                <w:szCs w:val="21"/>
                <w:highlight w:val="none"/>
              </w:rPr>
            </w:pPr>
            <w:r>
              <w:rPr>
                <w:rFonts w:hint="eastAsia"/>
                <w:color w:val="auto"/>
                <w:sz w:val="21"/>
                <w:szCs w:val="21"/>
                <w:highlight w:val="none"/>
              </w:rPr>
              <w:t>无</w:t>
            </w:r>
          </w:p>
        </w:tc>
      </w:tr>
      <w:tr w14:paraId="76A429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535" w:type="pct"/>
            <w:noWrap w:val="0"/>
            <w:vAlign w:val="center"/>
          </w:tcPr>
          <w:p w14:paraId="04C2C405">
            <w:pPr>
              <w:adjustRightInd w:val="0"/>
              <w:snapToGrid w:val="0"/>
              <w:jc w:val="center"/>
              <w:rPr>
                <w:color w:val="auto"/>
                <w:spacing w:val="-8"/>
                <w:sz w:val="21"/>
                <w:szCs w:val="21"/>
                <w:highlight w:val="none"/>
              </w:rPr>
            </w:pPr>
            <w:r>
              <w:rPr>
                <w:color w:val="auto"/>
                <w:spacing w:val="-8"/>
                <w:sz w:val="21"/>
                <w:szCs w:val="21"/>
                <w:highlight w:val="none"/>
              </w:rPr>
              <w:t>环境风险防范措施</w:t>
            </w:r>
          </w:p>
        </w:tc>
        <w:tc>
          <w:tcPr>
            <w:tcW w:w="4464" w:type="pct"/>
            <w:gridSpan w:val="4"/>
            <w:noWrap w:val="0"/>
            <w:vAlign w:val="center"/>
          </w:tcPr>
          <w:p w14:paraId="71FDF5BF">
            <w:pPr>
              <w:adjustRightInd w:val="0"/>
              <w:snapToGrid w:val="0"/>
              <w:ind w:firstLine="420" w:firstLineChars="200"/>
              <w:jc w:val="left"/>
              <w:rPr>
                <w:rFonts w:hint="eastAsia"/>
                <w:color w:val="auto"/>
                <w:sz w:val="21"/>
                <w:szCs w:val="21"/>
                <w:highlight w:val="none"/>
              </w:rPr>
            </w:pPr>
            <w:r>
              <w:rPr>
                <w:color w:val="auto"/>
                <w:sz w:val="21"/>
                <w:szCs w:val="21"/>
                <w:highlight w:val="none"/>
              </w:rPr>
              <w:t>厂区内配备吸附材料、消防器材、等应急设施，成立应急救援指挥领导小组，建立应急预案体系。</w:t>
            </w:r>
          </w:p>
        </w:tc>
      </w:tr>
      <w:tr w14:paraId="154CB8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2" w:hRule="atLeast"/>
          <w:jc w:val="center"/>
        </w:trPr>
        <w:tc>
          <w:tcPr>
            <w:tcW w:w="535" w:type="pct"/>
            <w:noWrap w:val="0"/>
            <w:vAlign w:val="center"/>
          </w:tcPr>
          <w:p w14:paraId="1D8FC5ED">
            <w:pPr>
              <w:adjustRightInd w:val="0"/>
              <w:snapToGrid w:val="0"/>
              <w:jc w:val="center"/>
              <w:rPr>
                <w:color w:val="000000" w:themeColor="text1"/>
                <w:spacing w:val="-8"/>
                <w:sz w:val="21"/>
                <w:szCs w:val="21"/>
                <w:highlight w:val="none"/>
                <w14:textFill>
                  <w14:solidFill>
                    <w14:schemeClr w14:val="tx1"/>
                  </w14:solidFill>
                </w14:textFill>
              </w:rPr>
            </w:pPr>
            <w:r>
              <w:rPr>
                <w:color w:val="000000" w:themeColor="text1"/>
                <w:spacing w:val="-8"/>
                <w:sz w:val="21"/>
                <w:szCs w:val="21"/>
                <w:highlight w:val="none"/>
                <w14:textFill>
                  <w14:solidFill>
                    <w14:schemeClr w14:val="tx1"/>
                  </w14:solidFill>
                </w14:textFill>
              </w:rPr>
              <w:t>其他环境管理要求</w:t>
            </w:r>
          </w:p>
        </w:tc>
        <w:tc>
          <w:tcPr>
            <w:tcW w:w="4464" w:type="pct"/>
            <w:gridSpan w:val="4"/>
            <w:noWrap w:val="0"/>
            <w:vAlign w:val="center"/>
          </w:tcPr>
          <w:p w14:paraId="74AD350A">
            <w:pPr>
              <w:adjustRightInd w:val="0"/>
              <w:snapToGrid w:val="0"/>
              <w:rPr>
                <w:rFonts w:hint="eastAsia"/>
                <w:b w:val="0"/>
                <w:bCs w:val="0"/>
                <w:color w:val="000000" w:themeColor="text1"/>
                <w:sz w:val="21"/>
                <w:szCs w:val="21"/>
                <w:highlight w:val="none"/>
                <w14:textFill>
                  <w14:solidFill>
                    <w14:schemeClr w14:val="tx1"/>
                  </w14:solidFill>
                </w14:textFill>
              </w:rPr>
            </w:pPr>
            <w:r>
              <w:rPr>
                <w:rFonts w:hint="eastAsia"/>
                <w:b w:val="0"/>
                <w:bCs w:val="0"/>
                <w:color w:val="000000" w:themeColor="text1"/>
                <w:sz w:val="21"/>
                <w:szCs w:val="21"/>
                <w:highlight w:val="none"/>
                <w14:textFill>
                  <w14:solidFill>
                    <w14:schemeClr w14:val="tx1"/>
                  </w14:solidFill>
                </w14:textFill>
              </w:rPr>
              <w:t>1、排污口应按相关要求规范化设置；</w:t>
            </w:r>
          </w:p>
          <w:p w14:paraId="40B39F95">
            <w:pPr>
              <w:adjustRightInd w:val="0"/>
              <w:snapToGrid w:val="0"/>
              <w:rPr>
                <w:color w:val="000000" w:themeColor="text1"/>
                <w:sz w:val="21"/>
                <w:szCs w:val="21"/>
                <w:highlight w:val="none"/>
                <w14:textFill>
                  <w14:solidFill>
                    <w14:schemeClr w14:val="tx1"/>
                  </w14:solidFill>
                </w14:textFill>
              </w:rPr>
            </w:pPr>
            <w:r>
              <w:rPr>
                <w:rFonts w:hint="eastAsia"/>
                <w:b w:val="0"/>
                <w:bCs w:val="0"/>
                <w:color w:val="000000" w:themeColor="text1"/>
                <w:sz w:val="21"/>
                <w:szCs w:val="21"/>
                <w:highlight w:val="none"/>
                <w14:textFill>
                  <w14:solidFill>
                    <w14:schemeClr w14:val="tx1"/>
                  </w14:solidFill>
                </w14:textFill>
              </w:rPr>
              <w:t>2、设置相应环境管理人员等。</w:t>
            </w:r>
          </w:p>
        </w:tc>
      </w:tr>
    </w:tbl>
    <w:p w14:paraId="324640B0">
      <w:pPr>
        <w:pStyle w:val="30"/>
        <w:jc w:val="center"/>
        <w:outlineLvl w:val="0"/>
        <w:rPr>
          <w:rFonts w:ascii="Times New Roman" w:hAnsi="Times New Roman" w:eastAsia="黑体"/>
          <w:snapToGrid w:val="0"/>
          <w:color w:val="auto"/>
          <w:sz w:val="30"/>
          <w:szCs w:val="30"/>
          <w:highlight w:val="none"/>
        </w:rPr>
      </w:pPr>
      <w:r>
        <w:rPr>
          <w:rFonts w:hint="default" w:ascii="Times New Roman" w:hAnsi="Times New Roman" w:cs="Times New Roman"/>
          <w:snapToGrid w:val="0"/>
          <w:color w:val="auto"/>
          <w:highlight w:val="none"/>
        </w:rPr>
        <w:br w:type="page"/>
      </w:r>
      <w:bookmarkStart w:id="17" w:name="_Toc5970"/>
      <w:r>
        <w:rPr>
          <w:rFonts w:ascii="Times New Roman" w:hAnsi="Times New Roman" w:eastAsia="黑体"/>
          <w:snapToGrid w:val="0"/>
          <w:color w:val="auto"/>
          <w:sz w:val="30"/>
          <w:szCs w:val="30"/>
          <w:highlight w:val="none"/>
        </w:rPr>
        <w:t>六、结论</w:t>
      </w:r>
      <w:bookmarkEnd w:id="17"/>
    </w:p>
    <w:tbl>
      <w:tblPr>
        <w:tblStyle w:val="3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5E940D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14:paraId="70C3F522">
            <w:pPr>
              <w:spacing w:line="360" w:lineRule="auto"/>
              <w:ind w:firstLine="480" w:firstLineChars="200"/>
              <w:rPr>
                <w:color w:val="auto"/>
                <w:sz w:val="24"/>
                <w:highlight w:val="none"/>
              </w:rPr>
            </w:pPr>
            <w:r>
              <w:rPr>
                <w:color w:val="auto"/>
                <w:sz w:val="24"/>
                <w:highlight w:val="none"/>
              </w:rPr>
              <w:t>项目的建设符合国家和地方产业政策，</w:t>
            </w:r>
            <w:r>
              <w:rPr>
                <w:rFonts w:hint="eastAsia"/>
                <w:color w:val="auto"/>
                <w:sz w:val="24"/>
                <w:highlight w:val="none"/>
                <w:lang w:eastAsia="zh-CN"/>
              </w:rPr>
              <w:t>项目</w:t>
            </w:r>
            <w:r>
              <w:rPr>
                <w:color w:val="auto"/>
                <w:sz w:val="24"/>
                <w:highlight w:val="none"/>
              </w:rPr>
              <w:t>投入使用后，对产生的废</w:t>
            </w:r>
            <w:r>
              <w:rPr>
                <w:rFonts w:hint="eastAsia"/>
                <w:color w:val="auto"/>
                <w:sz w:val="24"/>
                <w:highlight w:val="none"/>
                <w:lang w:val="en-US" w:eastAsia="zh-CN"/>
              </w:rPr>
              <w:t>水</w:t>
            </w:r>
            <w:r>
              <w:rPr>
                <w:color w:val="auto"/>
                <w:sz w:val="24"/>
                <w:highlight w:val="none"/>
              </w:rPr>
              <w:t>、噪声</w:t>
            </w:r>
            <w:r>
              <w:rPr>
                <w:rFonts w:hint="eastAsia"/>
                <w:color w:val="auto"/>
                <w:sz w:val="24"/>
                <w:highlight w:val="none"/>
                <w:lang w:eastAsia="zh-CN"/>
              </w:rPr>
              <w:t>、</w:t>
            </w:r>
            <w:r>
              <w:rPr>
                <w:rFonts w:hint="eastAsia"/>
                <w:color w:val="auto"/>
                <w:sz w:val="24"/>
                <w:highlight w:val="none"/>
                <w:lang w:val="en-US" w:eastAsia="zh-CN"/>
              </w:rPr>
              <w:t>固废</w:t>
            </w:r>
            <w:r>
              <w:rPr>
                <w:color w:val="auto"/>
                <w:sz w:val="24"/>
                <w:highlight w:val="none"/>
              </w:rPr>
              <w:t>等均采取了相应的处理及防治措施，可以做到“达标排放”。从环境保护的角度分析，在全面落实本评价提出的各项环保措施的前提下，</w:t>
            </w:r>
            <w:r>
              <w:rPr>
                <w:rFonts w:hint="eastAsia"/>
                <w:color w:val="auto"/>
                <w:sz w:val="24"/>
                <w:highlight w:val="none"/>
                <w:lang w:eastAsia="zh-CN"/>
              </w:rPr>
              <w:t>项目</w:t>
            </w:r>
            <w:r>
              <w:rPr>
                <w:color w:val="auto"/>
                <w:sz w:val="24"/>
                <w:highlight w:val="none"/>
              </w:rPr>
              <w:t>的建设是可行的。</w:t>
            </w:r>
          </w:p>
          <w:p w14:paraId="4819599E">
            <w:pPr>
              <w:spacing w:line="360" w:lineRule="auto"/>
              <w:rPr>
                <w:color w:val="auto"/>
                <w:sz w:val="24"/>
                <w:highlight w:val="none"/>
              </w:rPr>
            </w:pPr>
          </w:p>
        </w:tc>
      </w:tr>
    </w:tbl>
    <w:p w14:paraId="7AF88DCC">
      <w:pPr>
        <w:rPr>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14:paraId="7EEB29AC">
      <w:pPr>
        <w:pStyle w:val="30"/>
        <w:adjustRightInd w:val="0"/>
        <w:snapToGrid w:val="0"/>
        <w:spacing w:before="0" w:beforeAutospacing="0" w:after="0" w:afterAutospacing="0" w:line="360" w:lineRule="auto"/>
        <w:outlineLvl w:val="0"/>
        <w:rPr>
          <w:rFonts w:ascii="Times New Roman" w:hAnsi="Times New Roman" w:eastAsia="黑体"/>
          <w:snapToGrid w:val="0"/>
          <w:color w:val="auto"/>
          <w:sz w:val="32"/>
          <w:szCs w:val="32"/>
          <w:highlight w:val="none"/>
        </w:rPr>
      </w:pPr>
      <w:bookmarkStart w:id="18" w:name="_Toc15395"/>
      <w:r>
        <w:rPr>
          <w:rFonts w:ascii="Times New Roman" w:hAnsi="Times New Roman" w:eastAsia="黑体"/>
          <w:snapToGrid w:val="0"/>
          <w:color w:val="auto"/>
          <w:sz w:val="32"/>
          <w:szCs w:val="32"/>
          <w:highlight w:val="none"/>
        </w:rPr>
        <w:t>附表</w:t>
      </w:r>
      <w:bookmarkEnd w:id="18"/>
    </w:p>
    <w:p w14:paraId="284DF413">
      <w:pPr>
        <w:pStyle w:val="30"/>
        <w:adjustRightInd w:val="0"/>
        <w:snapToGrid w:val="0"/>
        <w:spacing w:before="0" w:beforeAutospacing="0" w:after="0" w:afterAutospacing="0" w:line="360" w:lineRule="auto"/>
        <w:jc w:val="center"/>
        <w:outlineLvl w:val="9"/>
        <w:rPr>
          <w:rFonts w:ascii="Times New Roman" w:hAnsi="Times New Roman" w:eastAsia="方正小标宋_GBK"/>
          <w:snapToGrid w:val="0"/>
          <w:color w:val="000000" w:themeColor="text1"/>
          <w:sz w:val="38"/>
          <w:szCs w:val="38"/>
          <w:highlight w:val="none"/>
          <w14:textFill>
            <w14:solidFill>
              <w14:schemeClr w14:val="tx1"/>
            </w14:solidFill>
          </w14:textFill>
        </w:rPr>
      </w:pPr>
      <w:bookmarkStart w:id="19" w:name="_Toc5406"/>
      <w:r>
        <w:rPr>
          <w:rFonts w:ascii="Times New Roman" w:hAnsi="Times New Roman" w:eastAsia="方正小标宋_GBK"/>
          <w:snapToGrid w:val="0"/>
          <w:color w:val="000000" w:themeColor="text1"/>
          <w:sz w:val="38"/>
          <w:szCs w:val="38"/>
          <w:highlight w:val="none"/>
          <w14:textFill>
            <w14:solidFill>
              <w14:schemeClr w14:val="tx1"/>
            </w14:solidFill>
          </w14:textFill>
        </w:rPr>
        <w:t>建设项目污染物排放量汇总表</w:t>
      </w:r>
      <w:bookmarkEnd w:id="19"/>
    </w:p>
    <w:tbl>
      <w:tblPr>
        <w:tblStyle w:val="36"/>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558"/>
        <w:gridCol w:w="1667"/>
        <w:gridCol w:w="1321"/>
      </w:tblGrid>
      <w:tr w14:paraId="5373B7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5" w:hRule="atLeast"/>
        </w:trPr>
        <w:tc>
          <w:tcPr>
            <w:tcW w:w="1588" w:type="dxa"/>
            <w:tcBorders>
              <w:tl2br w:val="single" w:color="auto" w:sz="4" w:space="0"/>
            </w:tcBorders>
            <w:noWrap w:val="0"/>
            <w:tcMar>
              <w:left w:w="28" w:type="dxa"/>
              <w:right w:w="28" w:type="dxa"/>
            </w:tcMar>
            <w:vAlign w:val="center"/>
          </w:tcPr>
          <w:p w14:paraId="5A7CC9C9">
            <w:pPr>
              <w:pStyle w:val="59"/>
              <w:spacing w:beforeLines="0" w:afterLines="0" w:line="240" w:lineRule="auto"/>
              <w:jc w:val="righ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项目</w:t>
            </w:r>
          </w:p>
          <w:p w14:paraId="5475D3C1">
            <w:pPr>
              <w:pStyle w:val="59"/>
              <w:spacing w:beforeLines="0" w:afterLines="0" w:line="240" w:lineRule="auto"/>
              <w:jc w:val="lef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分类</w:t>
            </w:r>
          </w:p>
        </w:tc>
        <w:tc>
          <w:tcPr>
            <w:tcW w:w="1417" w:type="dxa"/>
            <w:noWrap w:val="0"/>
            <w:tcMar>
              <w:left w:w="28" w:type="dxa"/>
              <w:right w:w="28" w:type="dxa"/>
            </w:tcMar>
            <w:vAlign w:val="center"/>
          </w:tcPr>
          <w:p w14:paraId="4B5CCF85">
            <w:pPr>
              <w:pStyle w:val="59"/>
              <w:spacing w:beforeLines="0" w:afterLines="0" w:line="240" w:lineRule="auto"/>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污染物名称</w:t>
            </w:r>
          </w:p>
        </w:tc>
        <w:tc>
          <w:tcPr>
            <w:tcW w:w="1701" w:type="dxa"/>
            <w:noWrap w:val="0"/>
            <w:tcMar>
              <w:left w:w="28" w:type="dxa"/>
              <w:right w:w="28" w:type="dxa"/>
            </w:tcMar>
            <w:vAlign w:val="center"/>
          </w:tcPr>
          <w:p w14:paraId="2F60CDC4">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现有工程</w:t>
            </w:r>
          </w:p>
          <w:p w14:paraId="16FCB666">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 xml:space="preserve">t/a </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1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①</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276" w:type="dxa"/>
            <w:noWrap w:val="0"/>
            <w:tcMar>
              <w:left w:w="28" w:type="dxa"/>
              <w:right w:w="28" w:type="dxa"/>
            </w:tcMar>
            <w:vAlign w:val="center"/>
          </w:tcPr>
          <w:p w14:paraId="3C6E59DE">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现有工程</w:t>
            </w:r>
          </w:p>
          <w:p w14:paraId="1A0DE61D">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许可排放量t/a</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 xml:space="preserve"> </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2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②</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701" w:type="dxa"/>
            <w:noWrap w:val="0"/>
            <w:tcMar>
              <w:left w:w="28" w:type="dxa"/>
              <w:right w:w="28" w:type="dxa"/>
            </w:tcMar>
            <w:vAlign w:val="center"/>
          </w:tcPr>
          <w:p w14:paraId="72D278A4">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在建工程</w:t>
            </w:r>
          </w:p>
          <w:p w14:paraId="045367E6">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t/a</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3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③</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559" w:type="dxa"/>
            <w:noWrap w:val="0"/>
            <w:tcMar>
              <w:left w:w="28" w:type="dxa"/>
              <w:right w:w="28" w:type="dxa"/>
            </w:tcMar>
            <w:vAlign w:val="center"/>
          </w:tcPr>
          <w:p w14:paraId="30C1EB01">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eastAsia" w:ascii="Times New Roman" w:hAnsi="Times New Roman" w:eastAsia="黑体" w:cs="Times New Roman"/>
                <w:snapToGrid w:val="0"/>
                <w:color w:val="000000" w:themeColor="text1"/>
                <w:spacing w:val="-6"/>
                <w:kern w:val="21"/>
                <w:sz w:val="21"/>
                <w:szCs w:val="21"/>
                <w:highlight w:val="none"/>
                <w:lang w:eastAsia="zh-CN"/>
                <w14:textFill>
                  <w14:solidFill>
                    <w14:schemeClr w14:val="tx1"/>
                  </w14:solidFill>
                </w14:textFill>
              </w:rPr>
            </w:pP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本</w:t>
            </w:r>
            <w:r>
              <w:rPr>
                <w:rFonts w:hint="eastAsia" w:ascii="Times New Roman" w:hAnsi="Times New Roman" w:eastAsia="黑体" w:cs="Times New Roman"/>
                <w:snapToGrid w:val="0"/>
                <w:color w:val="000000" w:themeColor="text1"/>
                <w:spacing w:val="-6"/>
                <w:kern w:val="21"/>
                <w:sz w:val="21"/>
                <w:szCs w:val="21"/>
                <w:highlight w:val="none"/>
                <w:lang w:eastAsia="zh-CN"/>
                <w14:textFill>
                  <w14:solidFill>
                    <w14:schemeClr w14:val="tx1"/>
                  </w14:solidFill>
                </w14:textFill>
              </w:rPr>
              <w:t>项目</w:t>
            </w:r>
          </w:p>
          <w:p w14:paraId="6B359355">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t/a</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4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④</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558" w:type="dxa"/>
            <w:noWrap w:val="0"/>
            <w:tcMar>
              <w:left w:w="28" w:type="dxa"/>
              <w:right w:w="28" w:type="dxa"/>
            </w:tcMar>
            <w:vAlign w:val="center"/>
          </w:tcPr>
          <w:p w14:paraId="08FCB477">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以新带老削减量</w:t>
            </w:r>
          </w:p>
          <w:p w14:paraId="3A902D3D">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（新建项目不填）</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t/a</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instrText xml:space="preserve"> = 5 \* GB3 \* MERGEFORMAT </w:instrTex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⑤</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end"/>
            </w:r>
          </w:p>
        </w:tc>
        <w:tc>
          <w:tcPr>
            <w:tcW w:w="1667" w:type="dxa"/>
            <w:noWrap w:val="0"/>
            <w:tcMar>
              <w:left w:w="28" w:type="dxa"/>
              <w:right w:w="28" w:type="dxa"/>
            </w:tcMar>
            <w:vAlign w:val="center"/>
          </w:tcPr>
          <w:p w14:paraId="3C8D9567">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eastAsia" w:ascii="Times New Roman" w:hAnsi="Times New Roman" w:eastAsia="黑体" w:cs="Times New Roman"/>
                <w:snapToGrid w:val="0"/>
                <w:color w:val="000000" w:themeColor="text1"/>
                <w:spacing w:val="-16"/>
                <w:kern w:val="21"/>
                <w:sz w:val="21"/>
                <w:szCs w:val="21"/>
                <w:highlight w:val="none"/>
                <w:lang w:eastAsia="zh-CN"/>
                <w14:textFill>
                  <w14:solidFill>
                    <w14:schemeClr w14:val="tx1"/>
                  </w14:solidFill>
                </w14:textFill>
              </w:rPr>
              <w:t>项目</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建成后</w:t>
            </w:r>
          </w:p>
          <w:p w14:paraId="06C5469A">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全厂排放量（固体废物产生量）</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t/a</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instrText xml:space="preserve"> = 6 \* GB3 \* MERGEFORMAT </w:instrTex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⑥</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end"/>
            </w:r>
          </w:p>
        </w:tc>
        <w:tc>
          <w:tcPr>
            <w:tcW w:w="1321" w:type="dxa"/>
            <w:noWrap w:val="0"/>
            <w:tcMar>
              <w:left w:w="28" w:type="dxa"/>
              <w:right w:w="28" w:type="dxa"/>
            </w:tcMar>
            <w:vAlign w:val="center"/>
          </w:tcPr>
          <w:p w14:paraId="686C62EE">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变化量</w:t>
            </w:r>
            <w:r>
              <w:rPr>
                <w:rFonts w:hint="eastAsia" w:ascii="Times New Roman" w:eastAsia="黑体" w:cs="Times New Roman"/>
                <w:snapToGrid w:val="0"/>
                <w:color w:val="000000" w:themeColor="text1"/>
                <w:spacing w:val="-6"/>
                <w:kern w:val="21"/>
                <w:sz w:val="21"/>
                <w:szCs w:val="21"/>
                <w:highlight w:val="none"/>
                <w:lang w:val="en-US" w:eastAsia="zh-CN"/>
                <w14:textFill>
                  <w14:solidFill>
                    <w14:schemeClr w14:val="tx1"/>
                  </w14:solidFill>
                </w14:textFill>
              </w:rPr>
              <w:t>t/a</w:t>
            </w:r>
          </w:p>
          <w:p w14:paraId="120080B4">
            <w:pPr>
              <w:pStyle w:val="59"/>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113"/>
              <w:textAlignment w:val="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7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⑦</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r>
      <w:tr w14:paraId="7C5778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noWrap w:val="0"/>
            <w:vAlign w:val="center"/>
          </w:tcPr>
          <w:p w14:paraId="37632D44">
            <w:pPr>
              <w:pStyle w:val="59"/>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废气</w:t>
            </w:r>
          </w:p>
        </w:tc>
        <w:tc>
          <w:tcPr>
            <w:tcW w:w="1417" w:type="dxa"/>
            <w:noWrap w:val="0"/>
            <w:vAlign w:val="center"/>
          </w:tcPr>
          <w:p w14:paraId="1BC254B9">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snapToGrid w:val="0"/>
                <w:color w:val="auto"/>
                <w:kern w:val="21"/>
                <w:sz w:val="21"/>
                <w:szCs w:val="21"/>
                <w:highlight w:val="none"/>
                <w:lang w:eastAsia="zh-CN"/>
              </w:rPr>
            </w:pPr>
            <w:r>
              <w:rPr>
                <w:rFonts w:hint="eastAsia" w:ascii="Times New Roman" w:hAnsi="Times New Roman" w:eastAsia="宋体" w:cs="Times New Roman"/>
                <w:b w:val="0"/>
                <w:bCs/>
                <w:color w:val="auto"/>
                <w:sz w:val="21"/>
                <w:szCs w:val="21"/>
                <w:highlight w:val="none"/>
                <w:lang w:val="en-US" w:eastAsia="zh-CN"/>
              </w:rPr>
              <w:t>颗粒物</w:t>
            </w:r>
          </w:p>
        </w:tc>
        <w:tc>
          <w:tcPr>
            <w:tcW w:w="1701" w:type="dxa"/>
            <w:noWrap w:val="0"/>
            <w:vAlign w:val="center"/>
          </w:tcPr>
          <w:p w14:paraId="1C91FD0B">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3.233</w:t>
            </w:r>
          </w:p>
        </w:tc>
        <w:tc>
          <w:tcPr>
            <w:tcW w:w="1276" w:type="dxa"/>
            <w:noWrap w:val="0"/>
            <w:vAlign w:val="center"/>
          </w:tcPr>
          <w:p w14:paraId="3333470A">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4.</w:t>
            </w:r>
            <w:r>
              <w:rPr>
                <w:rFonts w:hint="eastAsia" w:cs="Times New Roman"/>
                <w:b w:val="0"/>
                <w:bCs/>
                <w:color w:val="auto"/>
                <w:sz w:val="21"/>
                <w:szCs w:val="21"/>
                <w:highlight w:val="none"/>
                <w:lang w:val="en-US" w:eastAsia="zh-CN"/>
              </w:rPr>
              <w:t>725</w:t>
            </w:r>
          </w:p>
        </w:tc>
        <w:tc>
          <w:tcPr>
            <w:tcW w:w="1701" w:type="dxa"/>
            <w:noWrap w:val="0"/>
            <w:vAlign w:val="center"/>
          </w:tcPr>
          <w:p w14:paraId="1545F091">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7D4A653A">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4632DFA9">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11AC6096">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3.233</w:t>
            </w:r>
          </w:p>
        </w:tc>
        <w:tc>
          <w:tcPr>
            <w:tcW w:w="1321" w:type="dxa"/>
            <w:noWrap w:val="0"/>
            <w:vAlign w:val="center"/>
          </w:tcPr>
          <w:p w14:paraId="7C5684E6">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36F161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FC331B2">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140B9BB">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SO</w:t>
            </w:r>
            <w:r>
              <w:rPr>
                <w:rFonts w:hint="eastAsia" w:ascii="Times New Roman" w:hAnsi="Times New Roman" w:eastAsia="宋体" w:cs="Times New Roman"/>
                <w:b w:val="0"/>
                <w:bCs/>
                <w:color w:val="auto"/>
                <w:sz w:val="21"/>
                <w:szCs w:val="21"/>
                <w:highlight w:val="none"/>
                <w:vertAlign w:val="subscript"/>
                <w:lang w:val="en-US" w:eastAsia="zh-CN"/>
              </w:rPr>
              <w:t>2</w:t>
            </w:r>
          </w:p>
        </w:tc>
        <w:tc>
          <w:tcPr>
            <w:tcW w:w="1701" w:type="dxa"/>
            <w:noWrap w:val="0"/>
            <w:vAlign w:val="center"/>
          </w:tcPr>
          <w:p w14:paraId="1DBA6D30">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w:t>
            </w:r>
          </w:p>
        </w:tc>
        <w:tc>
          <w:tcPr>
            <w:tcW w:w="1276" w:type="dxa"/>
            <w:noWrap w:val="0"/>
            <w:vAlign w:val="center"/>
          </w:tcPr>
          <w:p w14:paraId="1CE57F8C">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0.312</w:t>
            </w:r>
          </w:p>
        </w:tc>
        <w:tc>
          <w:tcPr>
            <w:tcW w:w="1701" w:type="dxa"/>
            <w:noWrap w:val="0"/>
            <w:vAlign w:val="center"/>
          </w:tcPr>
          <w:p w14:paraId="6A8DF33C">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0EA6BCE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5A083BE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D2B761D">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0.312</w:t>
            </w:r>
          </w:p>
        </w:tc>
        <w:tc>
          <w:tcPr>
            <w:tcW w:w="1321" w:type="dxa"/>
            <w:noWrap w:val="0"/>
            <w:vAlign w:val="center"/>
          </w:tcPr>
          <w:p w14:paraId="476B9E0B">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sz w:val="21"/>
                <w:szCs w:val="21"/>
                <w:highlight w:val="none"/>
                <w:lang w:val="en-US" w:eastAsia="zh-CN"/>
              </w:rPr>
              <w:t>/</w:t>
            </w:r>
          </w:p>
        </w:tc>
      </w:tr>
      <w:tr w14:paraId="7F5F28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40DBABEB">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9CFD281">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cs="Times New Roman"/>
                <w:snapToGrid w:val="0"/>
                <w:color w:val="auto"/>
                <w:kern w:val="21"/>
                <w:sz w:val="21"/>
                <w:szCs w:val="21"/>
                <w:highlight w:val="none"/>
                <w:lang w:eastAsia="zh-CN"/>
              </w:rPr>
            </w:pPr>
            <w:r>
              <w:rPr>
                <w:rFonts w:hint="eastAsia" w:ascii="Times New Roman" w:hAnsi="Times New Roman" w:eastAsia="宋体" w:cs="Times New Roman"/>
                <w:b w:val="0"/>
                <w:bCs/>
                <w:color w:val="auto"/>
                <w:sz w:val="21"/>
                <w:szCs w:val="21"/>
                <w:highlight w:val="none"/>
                <w:lang w:val="en-US" w:eastAsia="zh-CN"/>
              </w:rPr>
              <w:t>NOx</w:t>
            </w:r>
          </w:p>
        </w:tc>
        <w:tc>
          <w:tcPr>
            <w:tcW w:w="1701" w:type="dxa"/>
            <w:noWrap w:val="0"/>
            <w:vAlign w:val="center"/>
          </w:tcPr>
          <w:p w14:paraId="1B81B731">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0.041</w:t>
            </w:r>
          </w:p>
        </w:tc>
        <w:tc>
          <w:tcPr>
            <w:tcW w:w="1276" w:type="dxa"/>
            <w:noWrap w:val="0"/>
            <w:vAlign w:val="center"/>
          </w:tcPr>
          <w:p w14:paraId="5309FEBB">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0.936</w:t>
            </w:r>
          </w:p>
        </w:tc>
        <w:tc>
          <w:tcPr>
            <w:tcW w:w="1701" w:type="dxa"/>
            <w:noWrap w:val="0"/>
            <w:vAlign w:val="center"/>
          </w:tcPr>
          <w:p w14:paraId="50E28725">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0D524F88">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592D8D20">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6F57F5BB">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0.041</w:t>
            </w:r>
          </w:p>
        </w:tc>
        <w:tc>
          <w:tcPr>
            <w:tcW w:w="1321" w:type="dxa"/>
            <w:noWrap w:val="0"/>
            <w:vAlign w:val="center"/>
          </w:tcPr>
          <w:p w14:paraId="1EF6129F">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eastAsia" w:cs="Times New Roman"/>
                <w:b w:val="0"/>
                <w:bCs/>
                <w:color w:val="auto"/>
                <w:sz w:val="21"/>
                <w:szCs w:val="21"/>
                <w:highlight w:val="none"/>
                <w:lang w:val="en-US" w:eastAsia="zh-CN"/>
              </w:rPr>
              <w:t>/</w:t>
            </w:r>
          </w:p>
        </w:tc>
      </w:tr>
      <w:tr w14:paraId="68F86F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4683B08">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66F7CB7F">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cs="Times New Roman"/>
                <w:snapToGrid w:val="0"/>
                <w:color w:val="auto"/>
                <w:kern w:val="21"/>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VOCs</w:t>
            </w:r>
          </w:p>
        </w:tc>
        <w:tc>
          <w:tcPr>
            <w:tcW w:w="1701" w:type="dxa"/>
            <w:noWrap w:val="0"/>
            <w:vAlign w:val="center"/>
          </w:tcPr>
          <w:p w14:paraId="5CDFC28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0.04</w:t>
            </w:r>
            <w:r>
              <w:rPr>
                <w:rFonts w:hint="eastAsia" w:cs="Times New Roman"/>
                <w:b w:val="0"/>
                <w:bCs/>
                <w:color w:val="auto"/>
                <w:sz w:val="21"/>
                <w:szCs w:val="21"/>
                <w:highlight w:val="none"/>
                <w:lang w:val="en-US" w:eastAsia="zh-CN"/>
              </w:rPr>
              <w:t>4</w:t>
            </w:r>
          </w:p>
        </w:tc>
        <w:tc>
          <w:tcPr>
            <w:tcW w:w="1276" w:type="dxa"/>
            <w:noWrap w:val="0"/>
            <w:vAlign w:val="center"/>
          </w:tcPr>
          <w:p w14:paraId="1787367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b w:val="0"/>
                <w:bCs/>
                <w:color w:val="auto"/>
                <w:sz w:val="21"/>
                <w:szCs w:val="21"/>
                <w:highlight w:val="none"/>
                <w:lang w:val="en-US" w:eastAsia="zh-CN"/>
              </w:rPr>
              <w:t>0.052</w:t>
            </w:r>
          </w:p>
        </w:tc>
        <w:tc>
          <w:tcPr>
            <w:tcW w:w="1701" w:type="dxa"/>
            <w:noWrap w:val="0"/>
            <w:vAlign w:val="center"/>
          </w:tcPr>
          <w:p w14:paraId="0962C228">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7C3CE2A3">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10616232">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F62E384">
            <w:pPr>
              <w:keepNext w:val="0"/>
              <w:keepLines w:val="0"/>
              <w:pageBreakBefore w:val="0"/>
              <w:widowControl w:val="0"/>
              <w:kinsoku/>
              <w:wordWrap/>
              <w:overflowPunct/>
              <w:topLinePunct w:val="0"/>
              <w:bidi w:val="0"/>
              <w:snapToGrid/>
              <w:spacing w:line="0" w:lineRule="atLeast"/>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0.044</w:t>
            </w:r>
          </w:p>
        </w:tc>
        <w:tc>
          <w:tcPr>
            <w:tcW w:w="1321" w:type="dxa"/>
            <w:noWrap w:val="0"/>
            <w:vAlign w:val="center"/>
          </w:tcPr>
          <w:p w14:paraId="28BC47BE">
            <w:pPr>
              <w:keepNext w:val="0"/>
              <w:keepLines w:val="0"/>
              <w:pageBreakBefore w:val="0"/>
              <w:widowControl w:val="0"/>
              <w:kinsoku/>
              <w:wordWrap/>
              <w:overflowPunct/>
              <w:topLinePunct w:val="0"/>
              <w:bidi w:val="0"/>
              <w:snapToGrid/>
              <w:spacing w:line="0" w:lineRule="atLeast"/>
              <w:jc w:val="center"/>
              <w:textAlignment w:val="auto"/>
              <w:rPr>
                <w:rFonts w:hint="eastAsia"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3F9A70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noWrap w:val="0"/>
            <w:vAlign w:val="center"/>
          </w:tcPr>
          <w:p w14:paraId="6BFABB61">
            <w:pPr>
              <w:pStyle w:val="59"/>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废水</w:t>
            </w:r>
          </w:p>
        </w:tc>
        <w:tc>
          <w:tcPr>
            <w:tcW w:w="1417" w:type="dxa"/>
            <w:noWrap w:val="0"/>
            <w:vAlign w:val="center"/>
          </w:tcPr>
          <w:p w14:paraId="6FE7527C">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color="000000"/>
                <w:lang w:val="en-US" w:eastAsia="zh-CN" w:bidi="ar"/>
              </w:rPr>
              <w:t>化学需氧量</w:t>
            </w:r>
          </w:p>
        </w:tc>
        <w:tc>
          <w:tcPr>
            <w:tcW w:w="1701" w:type="dxa"/>
            <w:noWrap w:val="0"/>
            <w:vAlign w:val="center"/>
          </w:tcPr>
          <w:p w14:paraId="342281BD">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highlight w:val="none"/>
                <w:u w:val="none"/>
                <w:lang w:val="en-US" w:eastAsia="zh-CN" w:bidi="ar"/>
              </w:rPr>
              <w:t>0.132</w:t>
            </w:r>
          </w:p>
        </w:tc>
        <w:tc>
          <w:tcPr>
            <w:tcW w:w="1276" w:type="dxa"/>
            <w:noWrap w:val="0"/>
            <w:vAlign w:val="center"/>
          </w:tcPr>
          <w:p w14:paraId="63C15400">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0.512</w:t>
            </w:r>
          </w:p>
        </w:tc>
        <w:tc>
          <w:tcPr>
            <w:tcW w:w="1701" w:type="dxa"/>
            <w:noWrap w:val="0"/>
            <w:vAlign w:val="center"/>
          </w:tcPr>
          <w:p w14:paraId="611ADE8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715E7C38">
            <w:pPr>
              <w:spacing w:beforeLines="0" w:afterLines="0" w:line="240" w:lineRule="auto"/>
              <w:jc w:val="center"/>
              <w:rPr>
                <w:rFonts w:hint="default" w:ascii="Times New Roman" w:hAnsi="Times New Roman" w:eastAsia="宋体" w:cs="Times New Roman"/>
                <w:color w:val="0000FF"/>
                <w:sz w:val="21"/>
                <w:szCs w:val="21"/>
                <w:highlight w:val="none"/>
                <w:lang w:val="en-US" w:eastAsia="zh-CN"/>
              </w:rPr>
            </w:pPr>
            <w:r>
              <w:rPr>
                <w:rFonts w:hint="eastAsia" w:cs="Times New Roman"/>
                <w:b w:val="0"/>
                <w:bCs/>
                <w:color w:val="000000" w:themeColor="text1"/>
                <w:sz w:val="21"/>
                <w:szCs w:val="21"/>
                <w:highlight w:val="none"/>
                <w:lang w:val="en-US" w:eastAsia="zh-CN"/>
                <w14:textFill>
                  <w14:solidFill>
                    <w14:schemeClr w14:val="tx1"/>
                  </w14:solidFill>
                </w14:textFill>
              </w:rPr>
              <w:t>0.0378</w:t>
            </w:r>
          </w:p>
        </w:tc>
        <w:tc>
          <w:tcPr>
            <w:tcW w:w="1558" w:type="dxa"/>
            <w:noWrap w:val="0"/>
            <w:vAlign w:val="center"/>
          </w:tcPr>
          <w:p w14:paraId="3C44B632">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EBC8742">
            <w:pPr>
              <w:keepNext w:val="0"/>
              <w:keepLines w:val="0"/>
              <w:widowControl/>
              <w:suppressLineNumbers w:val="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w:t>
            </w:r>
            <w:r>
              <w:rPr>
                <w:rFonts w:hint="eastAsia" w:cs="Times New Roman"/>
                <w:i w:val="0"/>
                <w:iCs w:val="0"/>
                <w:color w:val="auto"/>
                <w:kern w:val="0"/>
                <w:sz w:val="21"/>
                <w:szCs w:val="21"/>
                <w:highlight w:val="none"/>
                <w:u w:val="none"/>
                <w:lang w:val="en-US" w:eastAsia="zh-CN" w:bidi="ar"/>
              </w:rPr>
              <w:t>1698</w:t>
            </w:r>
          </w:p>
        </w:tc>
        <w:tc>
          <w:tcPr>
            <w:tcW w:w="1321" w:type="dxa"/>
            <w:noWrap w:val="0"/>
            <w:vAlign w:val="center"/>
          </w:tcPr>
          <w:p w14:paraId="29A30B57">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+0.0378</w:t>
            </w:r>
          </w:p>
        </w:tc>
      </w:tr>
      <w:tr w14:paraId="5CF381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6883645">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1CBCCB4F">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color="000000"/>
                <w:lang w:val="en-US" w:eastAsia="zh-CN" w:bidi="ar"/>
              </w:rPr>
              <w:t>五日生化需氧量</w:t>
            </w:r>
          </w:p>
        </w:tc>
        <w:tc>
          <w:tcPr>
            <w:tcW w:w="1701" w:type="dxa"/>
            <w:noWrap w:val="0"/>
            <w:vAlign w:val="center"/>
          </w:tcPr>
          <w:p w14:paraId="37764C35">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highlight w:val="none"/>
                <w:u w:val="none"/>
                <w:lang w:val="en-US" w:eastAsia="zh-CN" w:bidi="ar"/>
              </w:rPr>
              <w:t>0.036</w:t>
            </w:r>
          </w:p>
        </w:tc>
        <w:tc>
          <w:tcPr>
            <w:tcW w:w="1276" w:type="dxa"/>
            <w:noWrap w:val="0"/>
            <w:vAlign w:val="center"/>
          </w:tcPr>
          <w:p w14:paraId="60615CBD">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6F85823E">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4E64CC69">
            <w:pPr>
              <w:spacing w:beforeLines="0" w:afterLines="0" w:line="240" w:lineRule="auto"/>
              <w:jc w:val="center"/>
              <w:rPr>
                <w:rFonts w:hint="eastAsia" w:ascii="Times New Roman" w:hAnsi="Times New Roman" w:eastAsia="宋体" w:cs="Times New Roman"/>
                <w:color w:val="0000FF"/>
                <w:sz w:val="21"/>
                <w:szCs w:val="21"/>
                <w:highlight w:val="none"/>
                <w:lang w:val="en-US" w:eastAsia="zh-CN"/>
              </w:rPr>
            </w:pPr>
            <w:r>
              <w:rPr>
                <w:rFonts w:hint="eastAsia" w:cs="Times New Roman"/>
                <w:b w:val="0"/>
                <w:bCs/>
                <w:color w:val="0000FF"/>
                <w:sz w:val="21"/>
                <w:szCs w:val="21"/>
                <w:highlight w:val="none"/>
                <w:lang w:val="en-US" w:eastAsia="zh-CN"/>
              </w:rPr>
              <w:t>/</w:t>
            </w:r>
          </w:p>
        </w:tc>
        <w:tc>
          <w:tcPr>
            <w:tcW w:w="1558" w:type="dxa"/>
            <w:noWrap w:val="0"/>
            <w:vAlign w:val="center"/>
          </w:tcPr>
          <w:p w14:paraId="13A2196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3ED610F">
            <w:pPr>
              <w:keepNext w:val="0"/>
              <w:keepLines w:val="0"/>
              <w:widowControl/>
              <w:suppressLineNumbers w:val="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w:t>
            </w:r>
          </w:p>
        </w:tc>
        <w:tc>
          <w:tcPr>
            <w:tcW w:w="1321" w:type="dxa"/>
            <w:noWrap w:val="0"/>
            <w:vAlign w:val="center"/>
          </w:tcPr>
          <w:p w14:paraId="799A3A22">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001E80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299C694">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262CC52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color="000000"/>
                <w:lang w:val="en-US" w:eastAsia="zh-CN" w:bidi="ar"/>
              </w:rPr>
              <w:t>悬浮物</w:t>
            </w:r>
          </w:p>
        </w:tc>
        <w:tc>
          <w:tcPr>
            <w:tcW w:w="1701" w:type="dxa"/>
            <w:noWrap w:val="0"/>
            <w:vAlign w:val="center"/>
          </w:tcPr>
          <w:p w14:paraId="4221D148">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0.095 </w:t>
            </w:r>
          </w:p>
        </w:tc>
        <w:tc>
          <w:tcPr>
            <w:tcW w:w="1276" w:type="dxa"/>
            <w:noWrap w:val="0"/>
            <w:vAlign w:val="center"/>
          </w:tcPr>
          <w:p w14:paraId="11BFE2AB">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6D4FAE41">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5A90EAAE">
            <w:pPr>
              <w:spacing w:beforeLines="0" w:afterLines="0" w:line="240" w:lineRule="auto"/>
              <w:jc w:val="center"/>
              <w:rPr>
                <w:rFonts w:hint="eastAsia" w:ascii="Times New Roman" w:hAnsi="Times New Roman" w:eastAsia="宋体" w:cs="Times New Roman"/>
                <w:color w:val="0000FF"/>
                <w:sz w:val="21"/>
                <w:szCs w:val="21"/>
                <w:highlight w:val="none"/>
                <w:lang w:val="en-US" w:eastAsia="zh-CN"/>
              </w:rPr>
            </w:pPr>
            <w:r>
              <w:rPr>
                <w:rFonts w:hint="eastAsia" w:cs="Times New Roman"/>
                <w:b w:val="0"/>
                <w:bCs/>
                <w:color w:val="0000FF"/>
                <w:sz w:val="21"/>
                <w:szCs w:val="21"/>
                <w:highlight w:val="none"/>
                <w:lang w:val="en-US" w:eastAsia="zh-CN"/>
              </w:rPr>
              <w:t>/</w:t>
            </w:r>
          </w:p>
        </w:tc>
        <w:tc>
          <w:tcPr>
            <w:tcW w:w="1558" w:type="dxa"/>
            <w:noWrap w:val="0"/>
            <w:vAlign w:val="center"/>
          </w:tcPr>
          <w:p w14:paraId="2F2C4182">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311FB953">
            <w:pPr>
              <w:spacing w:beforeLines="0" w:afterLines="0"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w:t>
            </w:r>
          </w:p>
        </w:tc>
        <w:tc>
          <w:tcPr>
            <w:tcW w:w="1321" w:type="dxa"/>
            <w:noWrap w:val="0"/>
            <w:vAlign w:val="center"/>
          </w:tcPr>
          <w:p w14:paraId="12757C39">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005B4F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7972BBA">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147BF539">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color="000000"/>
                <w:lang w:val="en-US" w:eastAsia="zh-CN" w:bidi="ar"/>
              </w:rPr>
              <w:t>氨氮（以</w:t>
            </w:r>
            <w:r>
              <w:rPr>
                <w:rFonts w:hint="default" w:ascii="Times New Roman" w:hAnsi="Times New Roman" w:eastAsia="宋体" w:cs="Times New Roman"/>
                <w:i w:val="0"/>
                <w:iCs w:val="0"/>
                <w:color w:val="auto"/>
                <w:kern w:val="0"/>
                <w:sz w:val="21"/>
                <w:szCs w:val="21"/>
                <w:highlight w:val="none"/>
                <w:u w:val="none" w:color="000000"/>
                <w:lang w:val="en-US" w:eastAsia="zh-CN" w:bidi="ar"/>
              </w:rPr>
              <w:t>N</w:t>
            </w:r>
            <w:r>
              <w:rPr>
                <w:rFonts w:hint="eastAsia" w:ascii="宋体" w:hAnsi="宋体" w:eastAsia="宋体" w:cs="宋体"/>
                <w:i w:val="0"/>
                <w:iCs w:val="0"/>
                <w:color w:val="auto"/>
                <w:kern w:val="0"/>
                <w:sz w:val="21"/>
                <w:szCs w:val="21"/>
                <w:highlight w:val="none"/>
                <w:u w:val="none" w:color="000000"/>
                <w:lang w:val="en-US" w:eastAsia="zh-CN" w:bidi="ar"/>
              </w:rPr>
              <w:t>计）</w:t>
            </w:r>
          </w:p>
        </w:tc>
        <w:tc>
          <w:tcPr>
            <w:tcW w:w="1701" w:type="dxa"/>
            <w:noWrap w:val="0"/>
            <w:vAlign w:val="center"/>
          </w:tcPr>
          <w:p w14:paraId="750A83FE">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0.007</w:t>
            </w:r>
          </w:p>
        </w:tc>
        <w:tc>
          <w:tcPr>
            <w:tcW w:w="1276" w:type="dxa"/>
            <w:noWrap w:val="0"/>
            <w:vAlign w:val="center"/>
          </w:tcPr>
          <w:p w14:paraId="2F9FB1D5">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0.045</w:t>
            </w:r>
          </w:p>
        </w:tc>
        <w:tc>
          <w:tcPr>
            <w:tcW w:w="1701" w:type="dxa"/>
            <w:noWrap w:val="0"/>
            <w:vAlign w:val="center"/>
          </w:tcPr>
          <w:p w14:paraId="223EC6BB">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769E7627">
            <w:pPr>
              <w:spacing w:beforeLines="0" w:afterLines="0" w:line="240" w:lineRule="auto"/>
              <w:jc w:val="center"/>
              <w:rPr>
                <w:rFonts w:hint="default" w:ascii="Times New Roman" w:hAnsi="Times New Roman" w:eastAsia="宋体" w:cs="Times New Roman"/>
                <w:color w:val="0000FF"/>
                <w:sz w:val="21"/>
                <w:szCs w:val="21"/>
                <w:highlight w:val="none"/>
                <w:lang w:val="en-US" w:eastAsia="zh-CN"/>
              </w:rPr>
            </w:pPr>
            <w:r>
              <w:rPr>
                <w:rFonts w:hint="eastAsia" w:cs="Times New Roman"/>
                <w:b w:val="0"/>
                <w:bCs/>
                <w:color w:val="0000FF"/>
                <w:sz w:val="21"/>
                <w:szCs w:val="21"/>
                <w:highlight w:val="none"/>
                <w:lang w:val="en-US" w:eastAsia="zh-CN"/>
              </w:rPr>
              <w:t>/</w:t>
            </w:r>
          </w:p>
        </w:tc>
        <w:tc>
          <w:tcPr>
            <w:tcW w:w="1558" w:type="dxa"/>
            <w:noWrap w:val="0"/>
            <w:vAlign w:val="center"/>
          </w:tcPr>
          <w:p w14:paraId="05BA395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4E3EE839">
            <w:pPr>
              <w:spacing w:beforeLines="0" w:afterLines="0"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w:t>
            </w:r>
          </w:p>
        </w:tc>
        <w:tc>
          <w:tcPr>
            <w:tcW w:w="1321" w:type="dxa"/>
            <w:noWrap w:val="0"/>
            <w:vAlign w:val="center"/>
          </w:tcPr>
          <w:p w14:paraId="622F80B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6573BC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27672F28">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079BD3E">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sz w:val="21"/>
                <w:szCs w:val="21"/>
                <w:highlight w:val="none"/>
                <w:lang w:val="en-US" w:eastAsia="zh-CN"/>
              </w:rPr>
              <w:t>动植物油类</w:t>
            </w:r>
          </w:p>
        </w:tc>
        <w:tc>
          <w:tcPr>
            <w:tcW w:w="1701" w:type="dxa"/>
            <w:noWrap w:val="0"/>
            <w:vAlign w:val="center"/>
          </w:tcPr>
          <w:p w14:paraId="4F4B5E96">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w:t>
            </w:r>
            <w:r>
              <w:rPr>
                <w:rFonts w:hint="eastAsia" w:cs="Times New Roman"/>
                <w:i w:val="0"/>
                <w:iCs w:val="0"/>
                <w:color w:val="auto"/>
                <w:kern w:val="0"/>
                <w:sz w:val="21"/>
                <w:szCs w:val="21"/>
                <w:highlight w:val="none"/>
                <w:u w:val="none"/>
                <w:lang w:val="en-US" w:eastAsia="zh-CN" w:bidi="ar"/>
              </w:rPr>
              <w:t>4</w:t>
            </w:r>
            <w:r>
              <w:rPr>
                <w:rFonts w:hint="default" w:ascii="Times New Roman" w:hAnsi="Times New Roman" w:eastAsia="宋体" w:cs="Times New Roman"/>
                <w:i w:val="0"/>
                <w:iCs w:val="0"/>
                <w:color w:val="auto"/>
                <w:kern w:val="0"/>
                <w:sz w:val="21"/>
                <w:szCs w:val="21"/>
                <w:highlight w:val="none"/>
                <w:u w:val="none"/>
                <w:lang w:val="en-US" w:eastAsia="zh-CN" w:bidi="ar"/>
              </w:rPr>
              <w:t xml:space="preserve"> </w:t>
            </w:r>
          </w:p>
        </w:tc>
        <w:tc>
          <w:tcPr>
            <w:tcW w:w="1276" w:type="dxa"/>
            <w:noWrap w:val="0"/>
            <w:vAlign w:val="center"/>
          </w:tcPr>
          <w:p w14:paraId="5FD5F7FD">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2F6B9BCF">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45FF62F0">
            <w:pPr>
              <w:spacing w:beforeLines="0" w:afterLines="0"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4C439EC8">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71F8A710">
            <w:pPr>
              <w:spacing w:beforeLines="0" w:afterLines="0" w:line="24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i w:val="0"/>
                <w:iCs w:val="0"/>
                <w:color w:val="auto"/>
                <w:kern w:val="0"/>
                <w:sz w:val="21"/>
                <w:szCs w:val="21"/>
                <w:highlight w:val="none"/>
                <w:u w:val="none"/>
                <w:lang w:val="en-US" w:eastAsia="zh-CN" w:bidi="ar"/>
              </w:rPr>
              <w:t>/</w:t>
            </w:r>
            <w:r>
              <w:rPr>
                <w:rFonts w:hint="default" w:ascii="Times New Roman" w:hAnsi="Times New Roman" w:eastAsia="宋体" w:cs="Times New Roman"/>
                <w:i w:val="0"/>
                <w:iCs w:val="0"/>
                <w:color w:val="auto"/>
                <w:kern w:val="0"/>
                <w:sz w:val="21"/>
                <w:szCs w:val="21"/>
                <w:highlight w:val="none"/>
                <w:u w:val="none"/>
                <w:lang w:val="en-US" w:eastAsia="zh-CN" w:bidi="ar"/>
              </w:rPr>
              <w:t xml:space="preserve"> </w:t>
            </w:r>
          </w:p>
        </w:tc>
        <w:tc>
          <w:tcPr>
            <w:tcW w:w="1321" w:type="dxa"/>
            <w:noWrap w:val="0"/>
            <w:vAlign w:val="center"/>
          </w:tcPr>
          <w:p w14:paraId="7E9B7EA5">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474DE7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6891E0B0">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7741B734">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sz w:val="21"/>
                <w:szCs w:val="21"/>
                <w:highlight w:val="none"/>
                <w:lang w:val="en-US" w:eastAsia="zh-CN"/>
              </w:rPr>
              <w:t>总磷</w:t>
            </w:r>
          </w:p>
        </w:tc>
        <w:tc>
          <w:tcPr>
            <w:tcW w:w="1701" w:type="dxa"/>
            <w:noWrap w:val="0"/>
            <w:vAlign w:val="center"/>
          </w:tcPr>
          <w:p w14:paraId="478B8E21">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cs="Times New Roman"/>
                <w:i w:val="0"/>
                <w:iCs w:val="0"/>
                <w:color w:val="auto"/>
                <w:kern w:val="0"/>
                <w:sz w:val="21"/>
                <w:szCs w:val="21"/>
                <w:highlight w:val="none"/>
                <w:u w:val="none"/>
                <w:lang w:val="en-US" w:eastAsia="zh-CN" w:bidi="ar"/>
              </w:rPr>
              <w:t>0.001</w:t>
            </w:r>
          </w:p>
        </w:tc>
        <w:tc>
          <w:tcPr>
            <w:tcW w:w="1276" w:type="dxa"/>
            <w:noWrap w:val="0"/>
            <w:vAlign w:val="center"/>
          </w:tcPr>
          <w:p w14:paraId="36D51FE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007F79EF">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30FBAA6C">
            <w:pPr>
              <w:spacing w:beforeLines="0" w:afterLines="0"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7B6688E5">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3DD227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cs="Times New Roman"/>
                <w:i w:val="0"/>
                <w:iCs w:val="0"/>
                <w:color w:val="auto"/>
                <w:kern w:val="0"/>
                <w:sz w:val="21"/>
                <w:szCs w:val="21"/>
                <w:highlight w:val="none"/>
                <w:u w:val="none"/>
                <w:lang w:val="en-US" w:eastAsia="zh-CN" w:bidi="ar"/>
              </w:rPr>
              <w:t>/</w:t>
            </w:r>
          </w:p>
        </w:tc>
        <w:tc>
          <w:tcPr>
            <w:tcW w:w="1321" w:type="dxa"/>
            <w:noWrap w:val="0"/>
            <w:vAlign w:val="center"/>
          </w:tcPr>
          <w:p w14:paraId="382958A0">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3732AA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C587A47">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bottom w:val="single" w:color="000000" w:sz="4" w:space="0"/>
            </w:tcBorders>
            <w:noWrap w:val="0"/>
            <w:vAlign w:val="center"/>
          </w:tcPr>
          <w:p w14:paraId="3EB341E5">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sz w:val="21"/>
                <w:szCs w:val="21"/>
                <w:highlight w:val="none"/>
                <w:lang w:val="en-US" w:eastAsia="zh-CN"/>
              </w:rPr>
              <w:t>总氮</w:t>
            </w:r>
          </w:p>
        </w:tc>
        <w:tc>
          <w:tcPr>
            <w:tcW w:w="1701" w:type="dxa"/>
            <w:noWrap w:val="0"/>
            <w:vAlign w:val="center"/>
          </w:tcPr>
          <w:p w14:paraId="55343DE5">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cs="Times New Roman"/>
                <w:i w:val="0"/>
                <w:iCs w:val="0"/>
                <w:color w:val="auto"/>
                <w:kern w:val="0"/>
                <w:sz w:val="21"/>
                <w:szCs w:val="21"/>
                <w:highlight w:val="none"/>
                <w:u w:val="none"/>
                <w:lang w:val="en-US" w:eastAsia="zh-CN" w:bidi="ar"/>
              </w:rPr>
              <w:t>0.012</w:t>
            </w:r>
          </w:p>
        </w:tc>
        <w:tc>
          <w:tcPr>
            <w:tcW w:w="1276" w:type="dxa"/>
            <w:noWrap w:val="0"/>
            <w:vAlign w:val="center"/>
          </w:tcPr>
          <w:p w14:paraId="797F3E02">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4A4CE2F0">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08E28799">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8" w:type="dxa"/>
            <w:noWrap w:val="0"/>
            <w:vAlign w:val="center"/>
          </w:tcPr>
          <w:p w14:paraId="281483E5">
            <w:pPr>
              <w:spacing w:beforeLines="0" w:afterLines="0" w:line="240" w:lineRule="auto"/>
              <w:jc w:val="center"/>
              <w:rPr>
                <w:rFonts w:hint="eastAsia"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5D5D4DF7">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cs="Times New Roman"/>
                <w:i w:val="0"/>
                <w:iCs w:val="0"/>
                <w:color w:val="auto"/>
                <w:kern w:val="0"/>
                <w:sz w:val="21"/>
                <w:szCs w:val="21"/>
                <w:highlight w:val="none"/>
                <w:u w:val="none"/>
                <w:lang w:val="en-US" w:eastAsia="zh-CN" w:bidi="ar"/>
              </w:rPr>
              <w:t>/</w:t>
            </w:r>
          </w:p>
        </w:tc>
        <w:tc>
          <w:tcPr>
            <w:tcW w:w="1321" w:type="dxa"/>
            <w:noWrap w:val="0"/>
            <w:vAlign w:val="center"/>
          </w:tcPr>
          <w:p w14:paraId="6ACCADCB">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r>
      <w:tr w14:paraId="6E672F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55F39F05">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bottom w:val="single" w:color="000000" w:sz="4" w:space="0"/>
            </w:tcBorders>
            <w:noWrap w:val="0"/>
            <w:vAlign w:val="center"/>
          </w:tcPr>
          <w:p w14:paraId="35EF7611">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石油类</w:t>
            </w:r>
          </w:p>
        </w:tc>
        <w:tc>
          <w:tcPr>
            <w:tcW w:w="1701" w:type="dxa"/>
            <w:noWrap w:val="0"/>
            <w:vAlign w:val="center"/>
          </w:tcPr>
          <w:p w14:paraId="7D38A0C5">
            <w:pPr>
              <w:keepNext w:val="0"/>
              <w:keepLines w:val="0"/>
              <w:widowControl/>
              <w:suppressLineNumbers w:val="0"/>
              <w:jc w:val="center"/>
              <w:textAlignment w:val="center"/>
              <w:rPr>
                <w:rFonts w:hint="default"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w:t>
            </w:r>
          </w:p>
        </w:tc>
        <w:tc>
          <w:tcPr>
            <w:tcW w:w="1276" w:type="dxa"/>
            <w:noWrap w:val="0"/>
            <w:vAlign w:val="center"/>
          </w:tcPr>
          <w:p w14:paraId="11EAAEBA">
            <w:pPr>
              <w:spacing w:beforeLines="0" w:afterLines="0"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47048384">
            <w:pPr>
              <w:spacing w:beforeLines="0" w:afterLines="0"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277274B1">
            <w:pPr>
              <w:spacing w:beforeLines="0" w:afterLines="0" w:line="240" w:lineRule="auto"/>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0.00026</w:t>
            </w:r>
          </w:p>
        </w:tc>
        <w:tc>
          <w:tcPr>
            <w:tcW w:w="1558" w:type="dxa"/>
            <w:shd w:val="clear" w:color="auto" w:fill="auto"/>
            <w:noWrap w:val="0"/>
            <w:vAlign w:val="center"/>
          </w:tcPr>
          <w:p w14:paraId="5F6D85AA">
            <w:pPr>
              <w:spacing w:beforeLines="0" w:afterLines="0" w:line="240" w:lineRule="auto"/>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1B69354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0.00026</w:t>
            </w:r>
          </w:p>
        </w:tc>
        <w:tc>
          <w:tcPr>
            <w:tcW w:w="1321" w:type="dxa"/>
            <w:noWrap w:val="0"/>
            <w:vAlign w:val="center"/>
          </w:tcPr>
          <w:p w14:paraId="112F419B">
            <w:pPr>
              <w:keepNext w:val="0"/>
              <w:keepLines w:val="0"/>
              <w:widowControl/>
              <w:suppressLineNumbers w:val="0"/>
              <w:jc w:val="center"/>
              <w:textAlignment w:val="center"/>
              <w:rPr>
                <w:rFonts w:hint="default" w:cs="Times New Roman"/>
                <w:b w:val="0"/>
                <w:bCs/>
                <w:color w:val="auto"/>
                <w:sz w:val="21"/>
                <w:szCs w:val="21"/>
                <w:highlight w:val="none"/>
                <w:lang w:val="en-US" w:eastAsia="zh-CN"/>
              </w:rPr>
            </w:pPr>
            <w:r>
              <w:rPr>
                <w:rFonts w:hint="eastAsia" w:cs="Times New Roman"/>
                <w:i w:val="0"/>
                <w:iCs w:val="0"/>
                <w:color w:val="auto"/>
                <w:kern w:val="0"/>
                <w:sz w:val="21"/>
                <w:szCs w:val="21"/>
                <w:highlight w:val="none"/>
                <w:u w:val="none"/>
                <w:lang w:val="en-US" w:eastAsia="zh-CN" w:bidi="ar"/>
              </w:rPr>
              <w:t>+0.00026</w:t>
            </w:r>
          </w:p>
        </w:tc>
      </w:tr>
      <w:tr w14:paraId="099B62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000000" w:sz="4" w:space="0"/>
            </w:tcBorders>
            <w:noWrap w:val="0"/>
            <w:vAlign w:val="center"/>
          </w:tcPr>
          <w:p w14:paraId="70CDB85D">
            <w:pPr>
              <w:pStyle w:val="59"/>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hAnsi="Times New Roman" w:cs="Times New Roman"/>
                <w:snapToGrid w:val="0"/>
                <w:color w:val="auto"/>
                <w:kern w:val="21"/>
                <w:sz w:val="21"/>
                <w:szCs w:val="21"/>
                <w:highlight w:val="none"/>
                <w:lang w:val="en-US" w:eastAsia="zh-CN"/>
              </w:rPr>
              <w:t>固体废弃物</w:t>
            </w:r>
          </w:p>
        </w:tc>
        <w:tc>
          <w:tcPr>
            <w:tcW w:w="1417" w:type="dxa"/>
            <w:tcBorders>
              <w:top w:val="single" w:color="000000" w:sz="4" w:space="0"/>
            </w:tcBorders>
            <w:noWrap w:val="0"/>
            <w:vAlign w:val="center"/>
          </w:tcPr>
          <w:p w14:paraId="642EDE2C">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炉渣</w:t>
            </w:r>
          </w:p>
        </w:tc>
        <w:tc>
          <w:tcPr>
            <w:tcW w:w="1701" w:type="dxa"/>
            <w:noWrap w:val="0"/>
            <w:vAlign w:val="center"/>
          </w:tcPr>
          <w:p w14:paraId="0AD0F69F">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271.858</w:t>
            </w:r>
          </w:p>
        </w:tc>
        <w:tc>
          <w:tcPr>
            <w:tcW w:w="1276" w:type="dxa"/>
            <w:noWrap w:val="0"/>
            <w:vAlign w:val="center"/>
          </w:tcPr>
          <w:p w14:paraId="7C5E1413">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20E3B5A9">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1E887C90">
            <w:pPr>
              <w:spacing w:line="240" w:lineRule="auto"/>
              <w:jc w:val="center"/>
              <w:rPr>
                <w:rFonts w:hint="default" w:ascii="Times New Roman" w:hAnsi="Times New Roman" w:eastAsia="宋体" w:cs="Times New Roman"/>
                <w:b w:val="0"/>
                <w:bCs w:val="0"/>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shd w:val="clear" w:color="auto" w:fill="auto"/>
            <w:noWrap w:val="0"/>
            <w:vAlign w:val="center"/>
          </w:tcPr>
          <w:p w14:paraId="0D1E9C76">
            <w:pPr>
              <w:spacing w:beforeLines="0" w:afterLines="0" w:line="240" w:lineRule="auto"/>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3E13B11B">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271.858</w:t>
            </w:r>
          </w:p>
        </w:tc>
        <w:tc>
          <w:tcPr>
            <w:tcW w:w="1321" w:type="dxa"/>
            <w:noWrap w:val="0"/>
            <w:vAlign w:val="center"/>
          </w:tcPr>
          <w:p w14:paraId="2401E935">
            <w:pPr>
              <w:spacing w:line="240" w:lineRule="auto"/>
              <w:jc w:val="center"/>
              <w:rPr>
                <w:rFonts w:hint="default" w:ascii="Times New Roman" w:hAnsi="Times New Roman" w:eastAsia="宋体" w:cs="Times New Roman"/>
                <w:b w:val="0"/>
                <w:bCs w:val="0"/>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283935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003F2150">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0BBB96D4">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废砂</w:t>
            </w:r>
          </w:p>
        </w:tc>
        <w:tc>
          <w:tcPr>
            <w:tcW w:w="1701" w:type="dxa"/>
            <w:noWrap w:val="0"/>
            <w:vAlign w:val="center"/>
          </w:tcPr>
          <w:p w14:paraId="68EBB37F">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15.15</w:t>
            </w:r>
          </w:p>
        </w:tc>
        <w:tc>
          <w:tcPr>
            <w:tcW w:w="1276" w:type="dxa"/>
            <w:noWrap w:val="0"/>
            <w:vAlign w:val="center"/>
          </w:tcPr>
          <w:p w14:paraId="58FE0650">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1450F21B">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2DBDDAB9">
            <w:pPr>
              <w:spacing w:line="240" w:lineRule="auto"/>
              <w:jc w:val="center"/>
              <w:rPr>
                <w:rFonts w:hint="default" w:ascii="Times New Roman" w:hAnsi="Times New Roman" w:eastAsia="宋体" w:cs="Times New Roman"/>
                <w:b w:val="0"/>
                <w:bCs w:val="0"/>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shd w:val="clear" w:color="auto" w:fill="auto"/>
            <w:noWrap w:val="0"/>
            <w:vAlign w:val="center"/>
          </w:tcPr>
          <w:p w14:paraId="58A6D68A">
            <w:pPr>
              <w:spacing w:beforeLines="0" w:afterLines="0" w:line="240" w:lineRule="auto"/>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5B8078D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15.15</w:t>
            </w:r>
          </w:p>
        </w:tc>
        <w:tc>
          <w:tcPr>
            <w:tcW w:w="1321" w:type="dxa"/>
            <w:noWrap w:val="0"/>
            <w:vAlign w:val="center"/>
          </w:tcPr>
          <w:p w14:paraId="214CA9A6">
            <w:pPr>
              <w:spacing w:line="240" w:lineRule="auto"/>
              <w:jc w:val="center"/>
              <w:rPr>
                <w:rFonts w:hint="default" w:ascii="Times New Roman" w:hAnsi="Times New Roman" w:eastAsia="宋体" w:cs="Times New Roman"/>
                <w:b w:val="0"/>
                <w:bCs w:val="0"/>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2C7564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D41B64A">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23A04A11">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废浇冒口</w:t>
            </w:r>
          </w:p>
        </w:tc>
        <w:tc>
          <w:tcPr>
            <w:tcW w:w="1701" w:type="dxa"/>
            <w:noWrap w:val="0"/>
            <w:vAlign w:val="center"/>
          </w:tcPr>
          <w:p w14:paraId="6D2D9374">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12</w:t>
            </w:r>
          </w:p>
        </w:tc>
        <w:tc>
          <w:tcPr>
            <w:tcW w:w="1276" w:type="dxa"/>
            <w:noWrap w:val="0"/>
            <w:vAlign w:val="center"/>
          </w:tcPr>
          <w:p w14:paraId="01592E5B">
            <w:pPr>
              <w:spacing w:beforeLines="0" w:afterLines="0" w:line="240" w:lineRule="auto"/>
              <w:jc w:val="center"/>
              <w:rPr>
                <w:rFonts w:hint="eastAsia"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634D8761">
            <w:pPr>
              <w:spacing w:beforeLines="0" w:afterLines="0" w:line="240" w:lineRule="auto"/>
              <w:jc w:val="center"/>
              <w:rPr>
                <w:rFonts w:hint="eastAsia"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2FD1B13E">
            <w:pPr>
              <w:spacing w:line="240" w:lineRule="auto"/>
              <w:jc w:val="center"/>
              <w:rPr>
                <w:rFonts w:hint="eastAsia" w:ascii="Times New Roman" w:hAnsi="Times New Roman" w:eastAsia="宋体" w:cs="Times New Roman"/>
                <w:b w:val="0"/>
                <w:bCs w:val="0"/>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shd w:val="clear" w:color="auto" w:fill="auto"/>
            <w:noWrap w:val="0"/>
            <w:vAlign w:val="center"/>
          </w:tcPr>
          <w:p w14:paraId="30F55CE5">
            <w:pPr>
              <w:spacing w:beforeLines="0" w:afterLines="0" w:line="240" w:lineRule="auto"/>
              <w:jc w:val="center"/>
              <w:rPr>
                <w:rFonts w:hint="eastAsia" w:ascii="Times New Roman" w:hAnsi="Times New Roman" w:eastAsia="宋体"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1837090A">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12</w:t>
            </w:r>
          </w:p>
        </w:tc>
        <w:tc>
          <w:tcPr>
            <w:tcW w:w="1321" w:type="dxa"/>
            <w:noWrap w:val="0"/>
            <w:vAlign w:val="center"/>
          </w:tcPr>
          <w:p w14:paraId="3A8F44CF">
            <w:pPr>
              <w:spacing w:line="240" w:lineRule="auto"/>
              <w:jc w:val="center"/>
              <w:rPr>
                <w:rFonts w:hint="eastAsia" w:ascii="Times New Roman" w:hAnsi="Times New Roman" w:eastAsia="宋体" w:cs="Times New Roman"/>
                <w:b w:val="0"/>
                <w:bCs w:val="0"/>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27CC19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746C6D14">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1EB83C73">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金属边角料</w:t>
            </w:r>
            <w:r>
              <w:rPr>
                <w:rFonts w:hint="eastAsia" w:cs="Times New Roman"/>
                <w:i w:val="0"/>
                <w:iCs w:val="0"/>
                <w:color w:val="auto"/>
                <w:kern w:val="0"/>
                <w:sz w:val="21"/>
                <w:szCs w:val="21"/>
                <w:highlight w:val="none"/>
                <w:u w:val="none"/>
                <w:lang w:val="en-US" w:eastAsia="zh-CN" w:bidi="ar"/>
              </w:rPr>
              <w:t>、</w:t>
            </w:r>
            <w:r>
              <w:rPr>
                <w:rFonts w:hint="default" w:ascii="Times New Roman" w:hAnsi="Times New Roman" w:eastAsia="宋体" w:cs="Times New Roman"/>
                <w:i w:val="0"/>
                <w:iCs w:val="0"/>
                <w:color w:val="auto"/>
                <w:kern w:val="0"/>
                <w:sz w:val="21"/>
                <w:szCs w:val="21"/>
                <w:highlight w:val="none"/>
                <w:u w:val="none"/>
                <w:lang w:val="en-US" w:eastAsia="zh-CN" w:bidi="ar"/>
              </w:rPr>
              <w:t>金属屑、废钢丸</w:t>
            </w:r>
          </w:p>
        </w:tc>
        <w:tc>
          <w:tcPr>
            <w:tcW w:w="1701" w:type="dxa"/>
            <w:noWrap w:val="0"/>
            <w:vAlign w:val="center"/>
          </w:tcPr>
          <w:p w14:paraId="1E43EBD0">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992</w:t>
            </w:r>
          </w:p>
        </w:tc>
        <w:tc>
          <w:tcPr>
            <w:tcW w:w="1276" w:type="dxa"/>
            <w:noWrap w:val="0"/>
            <w:vAlign w:val="center"/>
          </w:tcPr>
          <w:p w14:paraId="169E007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6A564F6C">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74653183">
            <w:pPr>
              <w:spacing w:line="240" w:lineRule="auto"/>
              <w:jc w:val="center"/>
              <w:rPr>
                <w:rFonts w:hint="default" w:ascii="Times New Roman" w:hAnsi="Times New Roman" w:eastAsia="宋体" w:cs="Times New Roman"/>
                <w:b w:val="0"/>
                <w:bCs w:val="0"/>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1A7E43D3">
            <w:pPr>
              <w:spacing w:beforeLines="0" w:afterLines="0" w:line="240" w:lineRule="auto"/>
              <w:jc w:val="center"/>
              <w:rPr>
                <w:rFonts w:hint="default" w:ascii="Times New Roman" w:hAnsi="Times New Roman" w:cs="Times New Roman"/>
                <w:b w:val="0"/>
                <w:bCs w:val="0"/>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6FA9CA55">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992</w:t>
            </w:r>
          </w:p>
        </w:tc>
        <w:tc>
          <w:tcPr>
            <w:tcW w:w="1321" w:type="dxa"/>
            <w:noWrap w:val="0"/>
            <w:vAlign w:val="center"/>
          </w:tcPr>
          <w:p w14:paraId="3E8E5689">
            <w:pPr>
              <w:spacing w:line="240" w:lineRule="auto"/>
              <w:jc w:val="center"/>
              <w:rPr>
                <w:rFonts w:hint="default" w:cs="Times New Roman"/>
                <w:b w:val="0"/>
                <w:bCs w:val="0"/>
                <w:color w:val="0000FF"/>
                <w:kern w:val="2"/>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1CC4FC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3FA3B76">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799B86C0">
            <w:pPr>
              <w:keepNext w:val="0"/>
              <w:keepLines w:val="0"/>
              <w:widowControl/>
              <w:suppressLineNumbers w:val="0"/>
              <w:spacing w:line="240" w:lineRule="auto"/>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除尘灰</w:t>
            </w:r>
          </w:p>
        </w:tc>
        <w:tc>
          <w:tcPr>
            <w:tcW w:w="1701" w:type="dxa"/>
            <w:noWrap w:val="0"/>
            <w:vAlign w:val="center"/>
          </w:tcPr>
          <w:p w14:paraId="27DCE6F0">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205.186</w:t>
            </w:r>
          </w:p>
        </w:tc>
        <w:tc>
          <w:tcPr>
            <w:tcW w:w="1276" w:type="dxa"/>
            <w:noWrap w:val="0"/>
            <w:vAlign w:val="center"/>
          </w:tcPr>
          <w:p w14:paraId="51F3CC9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6ADB9653">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4E76DB7E">
            <w:pPr>
              <w:spacing w:line="240" w:lineRule="auto"/>
              <w:jc w:val="center"/>
              <w:rPr>
                <w:rFonts w:hint="default" w:ascii="Times New Roman" w:hAnsi="Times New Roman" w:eastAsia="宋体" w:cs="Times New Roman"/>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0EC42E60">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4857B8DE">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205.186</w:t>
            </w:r>
          </w:p>
        </w:tc>
        <w:tc>
          <w:tcPr>
            <w:tcW w:w="1321" w:type="dxa"/>
            <w:noWrap w:val="0"/>
            <w:vAlign w:val="center"/>
          </w:tcPr>
          <w:p w14:paraId="0C632741">
            <w:pPr>
              <w:spacing w:line="240" w:lineRule="auto"/>
              <w:jc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7EE0A4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0A1950CF">
            <w:pPr>
              <w:pStyle w:val="59"/>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p>
        </w:tc>
        <w:tc>
          <w:tcPr>
            <w:tcW w:w="1417" w:type="dxa"/>
            <w:noWrap w:val="0"/>
            <w:vAlign w:val="center"/>
          </w:tcPr>
          <w:p w14:paraId="508131D0">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生活垃圾</w:t>
            </w:r>
          </w:p>
        </w:tc>
        <w:tc>
          <w:tcPr>
            <w:tcW w:w="1701" w:type="dxa"/>
            <w:noWrap w:val="0"/>
            <w:vAlign w:val="center"/>
          </w:tcPr>
          <w:p w14:paraId="75C70800">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7.95</w:t>
            </w:r>
          </w:p>
        </w:tc>
        <w:tc>
          <w:tcPr>
            <w:tcW w:w="1276" w:type="dxa"/>
            <w:noWrap w:val="0"/>
            <w:vAlign w:val="center"/>
          </w:tcPr>
          <w:p w14:paraId="74273C7F">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3073FDFA">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1A72A71E">
            <w:pPr>
              <w:spacing w:line="240" w:lineRule="auto"/>
              <w:jc w:val="center"/>
              <w:rPr>
                <w:rFonts w:hint="default" w:ascii="Times New Roman" w:hAnsi="Times New Roman" w:eastAsia="宋体" w:cs="Times New Roman"/>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6D899EF6">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1BB8F8E3">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b w:val="0"/>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7.95</w:t>
            </w:r>
          </w:p>
        </w:tc>
        <w:tc>
          <w:tcPr>
            <w:tcW w:w="1321" w:type="dxa"/>
            <w:noWrap w:val="0"/>
            <w:vAlign w:val="center"/>
          </w:tcPr>
          <w:p w14:paraId="7B5EFE76">
            <w:pPr>
              <w:spacing w:line="240" w:lineRule="auto"/>
              <w:jc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68C1A8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9DC50F9">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78C8D520">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化粪池污泥</w:t>
            </w:r>
          </w:p>
        </w:tc>
        <w:tc>
          <w:tcPr>
            <w:tcW w:w="1701" w:type="dxa"/>
            <w:noWrap w:val="0"/>
            <w:vAlign w:val="center"/>
          </w:tcPr>
          <w:p w14:paraId="42264146">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0.084</w:t>
            </w:r>
          </w:p>
        </w:tc>
        <w:tc>
          <w:tcPr>
            <w:tcW w:w="1276" w:type="dxa"/>
            <w:noWrap w:val="0"/>
            <w:vAlign w:val="center"/>
          </w:tcPr>
          <w:p w14:paraId="007D8AD6">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6FFF608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4E3BC3A2">
            <w:pPr>
              <w:spacing w:line="240" w:lineRule="auto"/>
              <w:jc w:val="center"/>
              <w:rPr>
                <w:rFonts w:hint="default" w:ascii="Times New Roman" w:hAnsi="Times New Roman" w:eastAsia="宋体" w:cs="Times New Roman"/>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4FF5C3A2">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413EF23B">
            <w:pPr>
              <w:keepNext w:val="0"/>
              <w:keepLines w:val="0"/>
              <w:pageBreakBefore w:val="0"/>
              <w:widowControl w:val="0"/>
              <w:kinsoku/>
              <w:wordWrap/>
              <w:overflowPunct/>
              <w:topLinePunct w:val="0"/>
              <w:bidi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0.084</w:t>
            </w:r>
          </w:p>
        </w:tc>
        <w:tc>
          <w:tcPr>
            <w:tcW w:w="1321" w:type="dxa"/>
            <w:noWrap w:val="0"/>
            <w:vAlign w:val="center"/>
          </w:tcPr>
          <w:p w14:paraId="3E8B5825">
            <w:pPr>
              <w:spacing w:line="240" w:lineRule="auto"/>
              <w:jc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1193BD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770E106E">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DC6EF6B">
            <w:pPr>
              <w:pStyle w:val="103"/>
              <w:bidi w:val="0"/>
              <w:spacing w:line="240" w:lineRule="auto"/>
              <w:ind w:left="21" w:leftChars="10" w:right="21" w:rightChars="1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漆渣</w:t>
            </w:r>
          </w:p>
        </w:tc>
        <w:tc>
          <w:tcPr>
            <w:tcW w:w="1701" w:type="dxa"/>
            <w:noWrap w:val="0"/>
            <w:vAlign w:val="center"/>
          </w:tcPr>
          <w:p w14:paraId="48091F76">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0.038</w:t>
            </w:r>
          </w:p>
        </w:tc>
        <w:tc>
          <w:tcPr>
            <w:tcW w:w="1276" w:type="dxa"/>
            <w:noWrap w:val="0"/>
            <w:vAlign w:val="center"/>
          </w:tcPr>
          <w:p w14:paraId="2CEFB914">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1290ABFC">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234C6F7E">
            <w:pPr>
              <w:spacing w:line="240" w:lineRule="auto"/>
              <w:jc w:val="center"/>
              <w:rPr>
                <w:rFonts w:hint="default" w:ascii="Times New Roman" w:hAnsi="Times New Roman" w:eastAsia="宋体" w:cs="Times New Roman"/>
                <w:color w:val="auto"/>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1DDD99A7">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4A9A00DA">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0.038</w:t>
            </w:r>
          </w:p>
        </w:tc>
        <w:tc>
          <w:tcPr>
            <w:tcW w:w="1321" w:type="dxa"/>
            <w:noWrap w:val="0"/>
            <w:vAlign w:val="center"/>
          </w:tcPr>
          <w:p w14:paraId="77130630">
            <w:pPr>
              <w:spacing w:line="240" w:lineRule="auto"/>
              <w:jc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31FC13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B640244">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09DD6FE9">
            <w:pPr>
              <w:pStyle w:val="103"/>
              <w:bidi w:val="0"/>
              <w:spacing w:line="240" w:lineRule="auto"/>
              <w:ind w:left="21" w:leftChars="10" w:right="21" w:rightChars="1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废漆桶</w:t>
            </w:r>
          </w:p>
        </w:tc>
        <w:tc>
          <w:tcPr>
            <w:tcW w:w="1701" w:type="dxa"/>
            <w:noWrap w:val="0"/>
            <w:vAlign w:val="center"/>
          </w:tcPr>
          <w:p w14:paraId="79838268">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w:t>
            </w:r>
            <w:r>
              <w:rPr>
                <w:rFonts w:hint="eastAsia" w:cs="Times New Roman"/>
                <w:color w:val="auto"/>
                <w:sz w:val="21"/>
                <w:szCs w:val="21"/>
                <w:highlight w:val="none"/>
                <w:lang w:val="en-US" w:eastAsia="zh-CN"/>
              </w:rPr>
              <w:t>14</w:t>
            </w:r>
          </w:p>
        </w:tc>
        <w:tc>
          <w:tcPr>
            <w:tcW w:w="1276" w:type="dxa"/>
            <w:noWrap w:val="0"/>
            <w:vAlign w:val="center"/>
          </w:tcPr>
          <w:p w14:paraId="01C13A6C">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685F6B20">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7A10A2BA">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4B698E6C">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41DA8BDE">
            <w:pPr>
              <w:pStyle w:val="103"/>
              <w:bidi w:val="0"/>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w:t>
            </w:r>
            <w:r>
              <w:rPr>
                <w:rFonts w:hint="eastAsia" w:cs="Times New Roman"/>
                <w:color w:val="auto"/>
                <w:sz w:val="21"/>
                <w:szCs w:val="21"/>
                <w:highlight w:val="none"/>
                <w:lang w:val="en-US" w:eastAsia="zh-CN"/>
              </w:rPr>
              <w:t>14</w:t>
            </w:r>
          </w:p>
        </w:tc>
        <w:tc>
          <w:tcPr>
            <w:tcW w:w="1321" w:type="dxa"/>
            <w:noWrap w:val="0"/>
            <w:vAlign w:val="center"/>
          </w:tcPr>
          <w:p w14:paraId="5F3F8199">
            <w:pPr>
              <w:keepNext w:val="0"/>
              <w:keepLines w:val="0"/>
              <w:widowControl/>
              <w:suppressLineNumbers w:val="0"/>
              <w:jc w:val="center"/>
              <w:textAlignment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4D2A37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0D4CD34D">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7F103479">
            <w:pPr>
              <w:pStyle w:val="103"/>
              <w:bidi w:val="0"/>
              <w:spacing w:line="240" w:lineRule="auto"/>
              <w:ind w:left="21" w:leftChars="10" w:right="21" w:rightChars="1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w:t>
            </w:r>
          </w:p>
        </w:tc>
        <w:tc>
          <w:tcPr>
            <w:tcW w:w="1701" w:type="dxa"/>
            <w:noWrap w:val="0"/>
            <w:vAlign w:val="center"/>
          </w:tcPr>
          <w:p w14:paraId="62BDF186">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1276" w:type="dxa"/>
            <w:noWrap w:val="0"/>
            <w:vAlign w:val="center"/>
          </w:tcPr>
          <w:p w14:paraId="3F7074CC">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33D0A5F1">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0FB5309E">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53A86A6F">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3DB6027F">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1321" w:type="dxa"/>
            <w:noWrap w:val="0"/>
            <w:vAlign w:val="center"/>
          </w:tcPr>
          <w:p w14:paraId="63CABB58">
            <w:pPr>
              <w:keepNext w:val="0"/>
              <w:keepLines w:val="0"/>
              <w:widowControl/>
              <w:suppressLineNumbers w:val="0"/>
              <w:jc w:val="center"/>
              <w:textAlignment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19F4E4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12972A5F">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5346CB2">
            <w:pPr>
              <w:pStyle w:val="103"/>
              <w:bidi w:val="0"/>
              <w:spacing w:line="240" w:lineRule="auto"/>
              <w:ind w:left="21" w:leftChars="10" w:right="21" w:rightChars="1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废润滑油桶</w:t>
            </w:r>
          </w:p>
        </w:tc>
        <w:tc>
          <w:tcPr>
            <w:tcW w:w="1701" w:type="dxa"/>
            <w:noWrap w:val="0"/>
            <w:vAlign w:val="center"/>
          </w:tcPr>
          <w:p w14:paraId="59ADBA3C">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1276" w:type="dxa"/>
            <w:noWrap w:val="0"/>
            <w:vAlign w:val="center"/>
          </w:tcPr>
          <w:p w14:paraId="5B6E1A37">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459A97D2">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5CE63463">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795BAC85">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69B2F397">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0.02</w:t>
            </w:r>
          </w:p>
        </w:tc>
        <w:tc>
          <w:tcPr>
            <w:tcW w:w="1321" w:type="dxa"/>
            <w:noWrap w:val="0"/>
            <w:vAlign w:val="center"/>
          </w:tcPr>
          <w:p w14:paraId="3CFB818A">
            <w:pPr>
              <w:keepNext w:val="0"/>
              <w:keepLines w:val="0"/>
              <w:widowControl/>
              <w:suppressLineNumbers w:val="0"/>
              <w:jc w:val="center"/>
              <w:textAlignment w:val="center"/>
              <w:rPr>
                <w:rFonts w:hint="default" w:ascii="Times New Roman" w:hAnsi="Times New Roman" w:eastAsia="宋体" w:cs="Times New Roman"/>
                <w:snapToGrid w:val="0"/>
                <w:color w:val="0000FF"/>
                <w:kern w:val="21"/>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4A15E8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6BA0A6CA">
            <w:pPr>
              <w:pStyle w:val="59"/>
              <w:spacing w:beforeLines="0" w:afterLines="0" w:line="240" w:lineRule="auto"/>
              <w:rPr>
                <w:rFonts w:hint="default" w:ascii="Times New Roman" w:hAnsi="Times New Roman" w:cs="Times New Roman"/>
                <w:snapToGrid w:val="0"/>
                <w:color w:val="auto"/>
                <w:kern w:val="21"/>
                <w:sz w:val="21"/>
                <w:szCs w:val="21"/>
                <w:highlight w:val="none"/>
              </w:rPr>
            </w:pPr>
            <w:bookmarkStart w:id="20" w:name="_Toc6870"/>
          </w:p>
        </w:tc>
        <w:tc>
          <w:tcPr>
            <w:tcW w:w="1417" w:type="dxa"/>
            <w:noWrap w:val="0"/>
            <w:vAlign w:val="center"/>
          </w:tcPr>
          <w:p w14:paraId="4EFA6A8D">
            <w:pPr>
              <w:pStyle w:val="103"/>
              <w:bidi w:val="0"/>
              <w:spacing w:line="240" w:lineRule="auto"/>
              <w:ind w:left="21" w:leftChars="10" w:right="21" w:rightChars="10"/>
              <w:jc w:val="center"/>
              <w:rPr>
                <w:rFonts w:hint="eastAsia" w:ascii="Calibri" w:hAnsi="Calibri"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废过滤棉</w:t>
            </w:r>
          </w:p>
        </w:tc>
        <w:tc>
          <w:tcPr>
            <w:tcW w:w="1701" w:type="dxa"/>
            <w:noWrap w:val="0"/>
            <w:vAlign w:val="center"/>
          </w:tcPr>
          <w:p w14:paraId="24B46BE8">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0.148</w:t>
            </w:r>
          </w:p>
        </w:tc>
        <w:tc>
          <w:tcPr>
            <w:tcW w:w="1276" w:type="dxa"/>
            <w:noWrap w:val="0"/>
            <w:vAlign w:val="center"/>
          </w:tcPr>
          <w:p w14:paraId="260B4F46">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10C07375">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627F6FF0">
            <w:pPr>
              <w:spacing w:before="0" w:beforeLines="0" w:after="0" w:afterLines="0" w:line="240" w:lineRule="exact"/>
              <w:ind w:left="0" w:leftChars="0" w:right="0" w:rightChars="0"/>
              <w:jc w:val="center"/>
              <w:rPr>
                <w:rFonts w:hint="eastAsia"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52F7F68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6C145CFB">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0.148</w:t>
            </w:r>
          </w:p>
        </w:tc>
        <w:tc>
          <w:tcPr>
            <w:tcW w:w="1321" w:type="dxa"/>
            <w:noWrap w:val="0"/>
            <w:vAlign w:val="center"/>
          </w:tcPr>
          <w:p w14:paraId="040A1586">
            <w:pPr>
              <w:spacing w:before="0" w:beforeLines="0" w:after="0" w:afterLines="0" w:line="240" w:lineRule="exact"/>
              <w:ind w:left="0" w:leftChars="0" w:right="0" w:rightChars="0"/>
              <w:jc w:val="center"/>
              <w:rPr>
                <w:rFonts w:hint="eastAsia" w:ascii="Times New Roman" w:hAnsi="Times New Roman" w:eastAsia="宋体" w:cs="Times New Roman"/>
                <w:color w:val="0000FF"/>
                <w:kern w:val="0"/>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294206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068749F">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052182A3">
            <w:pPr>
              <w:pStyle w:val="103"/>
              <w:bidi w:val="0"/>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1701" w:type="dxa"/>
            <w:noWrap w:val="0"/>
            <w:vAlign w:val="center"/>
          </w:tcPr>
          <w:p w14:paraId="00FA55F9">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2.6</w:t>
            </w:r>
          </w:p>
        </w:tc>
        <w:tc>
          <w:tcPr>
            <w:tcW w:w="1276" w:type="dxa"/>
            <w:noWrap w:val="0"/>
            <w:vAlign w:val="center"/>
          </w:tcPr>
          <w:p w14:paraId="367BC3AA">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46DA7566">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6AAEFF56">
            <w:pPr>
              <w:spacing w:before="0" w:beforeLines="0" w:after="0" w:afterLines="0" w:line="240" w:lineRule="exact"/>
              <w:ind w:left="0" w:leftChars="0" w:right="0" w:rightChars="0"/>
              <w:jc w:val="center"/>
              <w:rPr>
                <w:rFonts w:hint="eastAsia"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232A6E47">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18A3C8E8">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2.6</w:t>
            </w:r>
          </w:p>
        </w:tc>
        <w:tc>
          <w:tcPr>
            <w:tcW w:w="1321" w:type="dxa"/>
            <w:noWrap w:val="0"/>
            <w:vAlign w:val="center"/>
          </w:tcPr>
          <w:p w14:paraId="7D982447">
            <w:pPr>
              <w:spacing w:before="0" w:beforeLines="0" w:after="0" w:afterLines="0" w:line="240" w:lineRule="exact"/>
              <w:ind w:left="0" w:leftChars="0" w:right="0" w:rightChars="0"/>
              <w:jc w:val="center"/>
              <w:rPr>
                <w:rFonts w:hint="eastAsia" w:ascii="Times New Roman" w:hAnsi="Times New Roman" w:eastAsia="宋体" w:cs="Times New Roman"/>
                <w:color w:val="0000FF"/>
                <w:kern w:val="0"/>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68AC62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099BACF4">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72B2CA4">
            <w:pPr>
              <w:pStyle w:val="103"/>
              <w:bidi w:val="0"/>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废催化剂</w:t>
            </w:r>
          </w:p>
        </w:tc>
        <w:tc>
          <w:tcPr>
            <w:tcW w:w="1701" w:type="dxa"/>
            <w:noWrap w:val="0"/>
            <w:vAlign w:val="center"/>
          </w:tcPr>
          <w:p w14:paraId="0CEB32B3">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0.004</w:t>
            </w:r>
          </w:p>
        </w:tc>
        <w:tc>
          <w:tcPr>
            <w:tcW w:w="1276" w:type="dxa"/>
            <w:noWrap w:val="0"/>
            <w:vAlign w:val="center"/>
          </w:tcPr>
          <w:p w14:paraId="0001CAC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701" w:type="dxa"/>
            <w:noWrap w:val="0"/>
            <w:vAlign w:val="center"/>
          </w:tcPr>
          <w:p w14:paraId="7F50173B">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9" w:type="dxa"/>
            <w:noWrap w:val="0"/>
            <w:vAlign w:val="center"/>
          </w:tcPr>
          <w:p w14:paraId="4ED62A61">
            <w:pPr>
              <w:spacing w:before="0" w:beforeLines="0" w:after="0" w:afterLines="0" w:line="240" w:lineRule="exact"/>
              <w:ind w:left="0" w:leftChars="0" w:right="0" w:rightChars="0"/>
              <w:jc w:val="center"/>
              <w:rPr>
                <w:rFonts w:hint="eastAsia" w:ascii="Times New Roman" w:hAnsi="Times New Roman" w:eastAsia="宋体" w:cs="Times New Roman"/>
                <w:color w:val="auto"/>
                <w:kern w:val="0"/>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558" w:type="dxa"/>
            <w:noWrap w:val="0"/>
            <w:vAlign w:val="center"/>
          </w:tcPr>
          <w:p w14:paraId="4D55DF18">
            <w:pPr>
              <w:spacing w:beforeLines="0" w:afterLines="0" w:line="240" w:lineRule="auto"/>
              <w:jc w:val="center"/>
              <w:rPr>
                <w:rFonts w:hint="default" w:ascii="Times New Roman" w:hAnsi="Times New Roman" w:cs="Times New Roman"/>
                <w:snapToGrid w:val="0"/>
                <w:color w:val="auto"/>
                <w:kern w:val="21"/>
                <w:sz w:val="21"/>
                <w:szCs w:val="21"/>
                <w:highlight w:val="none"/>
                <w:lang w:val="en-US" w:eastAsia="zh-CN" w:bidi="ar-SA"/>
              </w:rPr>
            </w:pPr>
            <w:r>
              <w:rPr>
                <w:rFonts w:hint="eastAsia" w:cs="Times New Roman"/>
                <w:b w:val="0"/>
                <w:bCs/>
                <w:color w:val="auto"/>
                <w:sz w:val="21"/>
                <w:szCs w:val="21"/>
                <w:highlight w:val="none"/>
                <w:lang w:val="en-US" w:eastAsia="zh-CN"/>
              </w:rPr>
              <w:t>/</w:t>
            </w:r>
          </w:p>
        </w:tc>
        <w:tc>
          <w:tcPr>
            <w:tcW w:w="1667" w:type="dxa"/>
            <w:noWrap w:val="0"/>
            <w:vAlign w:val="center"/>
          </w:tcPr>
          <w:p w14:paraId="27111647">
            <w:pPr>
              <w:pStyle w:val="103"/>
              <w:keepNext w:val="0"/>
              <w:keepLines w:val="0"/>
              <w:pageBreakBefore w:val="0"/>
              <w:widowControl w:val="0"/>
              <w:kinsoku/>
              <w:wordWrap/>
              <w:overflowPunct/>
              <w:topLinePunct w:val="0"/>
              <w:autoSpaceDE/>
              <w:autoSpaceDN/>
              <w:bidi w:val="0"/>
              <w:adjustRightInd/>
              <w:snapToGrid/>
              <w:spacing w:line="240" w:lineRule="auto"/>
              <w:ind w:left="21" w:leftChars="10" w:right="21" w:rightChars="10"/>
              <w:jc w:val="center"/>
              <w:rPr>
                <w:rFonts w:hint="eastAsia"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0.004</w:t>
            </w:r>
          </w:p>
        </w:tc>
        <w:tc>
          <w:tcPr>
            <w:tcW w:w="1321" w:type="dxa"/>
            <w:noWrap w:val="0"/>
            <w:vAlign w:val="center"/>
          </w:tcPr>
          <w:p w14:paraId="04FE5CCD">
            <w:pPr>
              <w:spacing w:before="0" w:beforeLines="0" w:after="0" w:afterLines="0" w:line="240" w:lineRule="exact"/>
              <w:ind w:left="0" w:leftChars="0" w:right="0" w:rightChars="0"/>
              <w:jc w:val="center"/>
              <w:rPr>
                <w:rFonts w:hint="eastAsia" w:ascii="Times New Roman" w:hAnsi="Times New Roman" w:eastAsia="宋体" w:cs="Times New Roman"/>
                <w:color w:val="0000FF"/>
                <w:kern w:val="0"/>
                <w:sz w:val="21"/>
                <w:szCs w:val="21"/>
                <w:highlight w:val="none"/>
                <w:lang w:val="en-US" w:eastAsia="zh-CN" w:bidi="ar-SA"/>
              </w:rPr>
            </w:pPr>
            <w:r>
              <w:rPr>
                <w:rFonts w:hint="eastAsia" w:cs="Times New Roman"/>
                <w:b w:val="0"/>
                <w:bCs/>
                <w:color w:val="0000FF"/>
                <w:sz w:val="21"/>
                <w:szCs w:val="21"/>
                <w:highlight w:val="none"/>
                <w:lang w:val="en-US" w:eastAsia="zh-CN"/>
              </w:rPr>
              <w:t>/</w:t>
            </w:r>
          </w:p>
        </w:tc>
      </w:tr>
      <w:tr w14:paraId="77DE98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6A59F925">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786D9195">
            <w:pPr>
              <w:pStyle w:val="103"/>
              <w:bidi w:val="0"/>
              <w:spacing w:line="240" w:lineRule="auto"/>
              <w:ind w:left="21" w:leftChars="10" w:right="21" w:rightChars="1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过滤铁屑</w:t>
            </w:r>
          </w:p>
        </w:tc>
        <w:tc>
          <w:tcPr>
            <w:tcW w:w="1701" w:type="dxa"/>
            <w:noWrap w:val="0"/>
            <w:vAlign w:val="center"/>
          </w:tcPr>
          <w:p w14:paraId="34C36996">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276" w:type="dxa"/>
            <w:noWrap w:val="0"/>
            <w:vAlign w:val="center"/>
          </w:tcPr>
          <w:p w14:paraId="728049E6">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64166B53">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728EF1D9">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0.0588</w:t>
            </w:r>
          </w:p>
        </w:tc>
        <w:tc>
          <w:tcPr>
            <w:tcW w:w="1558" w:type="dxa"/>
            <w:noWrap w:val="0"/>
            <w:vAlign w:val="center"/>
          </w:tcPr>
          <w:p w14:paraId="3640D290">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1E557D64">
            <w:pPr>
              <w:spacing w:before="0" w:beforeLines="0" w:after="0" w:afterLines="0" w:line="24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0.0588</w:t>
            </w:r>
          </w:p>
        </w:tc>
        <w:tc>
          <w:tcPr>
            <w:tcW w:w="1321" w:type="dxa"/>
            <w:noWrap w:val="0"/>
            <w:vAlign w:val="center"/>
          </w:tcPr>
          <w:p w14:paraId="5118123D">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+0.0588</w:t>
            </w:r>
          </w:p>
        </w:tc>
      </w:tr>
      <w:tr w14:paraId="3FFB3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4543A471">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2DEBD2C4">
            <w:pPr>
              <w:pStyle w:val="103"/>
              <w:bidi w:val="0"/>
              <w:spacing w:line="240" w:lineRule="auto"/>
              <w:ind w:left="21" w:leftChars="10" w:right="21" w:rightChars="1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清洗剂、防锈剂包装桶（未沾染）</w:t>
            </w:r>
          </w:p>
        </w:tc>
        <w:tc>
          <w:tcPr>
            <w:tcW w:w="1701" w:type="dxa"/>
            <w:noWrap w:val="0"/>
            <w:vAlign w:val="center"/>
          </w:tcPr>
          <w:p w14:paraId="2CCDD8FA">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276" w:type="dxa"/>
            <w:noWrap w:val="0"/>
            <w:vAlign w:val="center"/>
          </w:tcPr>
          <w:p w14:paraId="3EB1E74D">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0537F707">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4068844C">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0.280</w:t>
            </w:r>
          </w:p>
        </w:tc>
        <w:tc>
          <w:tcPr>
            <w:tcW w:w="1558" w:type="dxa"/>
            <w:noWrap w:val="0"/>
            <w:vAlign w:val="center"/>
          </w:tcPr>
          <w:p w14:paraId="02C43AC1">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2B2F35CA">
            <w:pPr>
              <w:spacing w:before="0" w:beforeLines="0" w:after="0" w:afterLines="0" w:line="24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0.280</w:t>
            </w:r>
          </w:p>
        </w:tc>
        <w:tc>
          <w:tcPr>
            <w:tcW w:w="1321" w:type="dxa"/>
            <w:noWrap w:val="0"/>
            <w:vAlign w:val="center"/>
          </w:tcPr>
          <w:p w14:paraId="1CE5204A">
            <w:pPr>
              <w:spacing w:before="0" w:beforeLines="0" w:after="0" w:afterLines="0" w:line="240" w:lineRule="exact"/>
              <w:ind w:left="0" w:leftChars="0" w:right="0" w:rightChars="0"/>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+0.280</w:t>
            </w:r>
          </w:p>
        </w:tc>
      </w:tr>
      <w:tr w14:paraId="34F47C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02649BBA">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4C25C7A7">
            <w:pPr>
              <w:pStyle w:val="103"/>
              <w:bidi w:val="0"/>
              <w:spacing w:line="240" w:lineRule="auto"/>
              <w:ind w:left="21" w:leftChars="10" w:right="21" w:rightChars="1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废矿物油</w:t>
            </w:r>
          </w:p>
        </w:tc>
        <w:tc>
          <w:tcPr>
            <w:tcW w:w="1701" w:type="dxa"/>
            <w:noWrap w:val="0"/>
            <w:vAlign w:val="center"/>
          </w:tcPr>
          <w:p w14:paraId="1606566B">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276" w:type="dxa"/>
            <w:noWrap w:val="0"/>
            <w:vAlign w:val="center"/>
          </w:tcPr>
          <w:p w14:paraId="6FD1B301">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0505F711">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3DAA3D4A">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0.01425</w:t>
            </w:r>
          </w:p>
        </w:tc>
        <w:tc>
          <w:tcPr>
            <w:tcW w:w="1558" w:type="dxa"/>
            <w:noWrap w:val="0"/>
            <w:vAlign w:val="center"/>
          </w:tcPr>
          <w:p w14:paraId="5585C410">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586A0C16">
            <w:pPr>
              <w:spacing w:before="0" w:beforeLines="0" w:after="0" w:afterLines="0" w:line="24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0.01425</w:t>
            </w:r>
          </w:p>
        </w:tc>
        <w:tc>
          <w:tcPr>
            <w:tcW w:w="1321" w:type="dxa"/>
            <w:noWrap w:val="0"/>
            <w:vAlign w:val="center"/>
          </w:tcPr>
          <w:p w14:paraId="5657427C">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+0.01425</w:t>
            </w:r>
          </w:p>
        </w:tc>
      </w:tr>
      <w:tr w14:paraId="267A18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7319B430">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5452EBBE">
            <w:pPr>
              <w:pStyle w:val="103"/>
              <w:bidi w:val="0"/>
              <w:spacing w:line="240" w:lineRule="auto"/>
              <w:ind w:left="21" w:leftChars="10" w:right="21" w:rightChars="1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絮凝沉淀物</w:t>
            </w:r>
          </w:p>
        </w:tc>
        <w:tc>
          <w:tcPr>
            <w:tcW w:w="1701" w:type="dxa"/>
            <w:noWrap w:val="0"/>
            <w:vAlign w:val="center"/>
          </w:tcPr>
          <w:p w14:paraId="6AC81A83">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276" w:type="dxa"/>
            <w:noWrap w:val="0"/>
            <w:vAlign w:val="center"/>
          </w:tcPr>
          <w:p w14:paraId="009D69D8">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54C60EFE">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0C7C919B">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0.02</w:t>
            </w:r>
          </w:p>
        </w:tc>
        <w:tc>
          <w:tcPr>
            <w:tcW w:w="1558" w:type="dxa"/>
            <w:noWrap w:val="0"/>
            <w:vAlign w:val="center"/>
          </w:tcPr>
          <w:p w14:paraId="73105DFB">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6C69E5AC">
            <w:pPr>
              <w:spacing w:before="0" w:beforeLines="0" w:after="0" w:afterLines="0" w:line="24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0.02</w:t>
            </w:r>
          </w:p>
        </w:tc>
        <w:tc>
          <w:tcPr>
            <w:tcW w:w="1321" w:type="dxa"/>
            <w:noWrap w:val="0"/>
            <w:vAlign w:val="center"/>
          </w:tcPr>
          <w:p w14:paraId="30290541">
            <w:pPr>
              <w:spacing w:before="0" w:beforeLines="0" w:after="0" w:afterLines="0" w:line="240" w:lineRule="exact"/>
              <w:ind w:left="0" w:leftChars="0" w:right="0" w:rightChars="0"/>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+0.02</w:t>
            </w:r>
          </w:p>
        </w:tc>
      </w:tr>
      <w:tr w14:paraId="45698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noWrap w:val="0"/>
            <w:vAlign w:val="center"/>
          </w:tcPr>
          <w:p w14:paraId="3077DC4B">
            <w:pPr>
              <w:pStyle w:val="59"/>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noWrap w:val="0"/>
            <w:vAlign w:val="center"/>
          </w:tcPr>
          <w:p w14:paraId="31D148A5">
            <w:pPr>
              <w:pStyle w:val="103"/>
              <w:bidi w:val="0"/>
              <w:spacing w:line="240" w:lineRule="auto"/>
              <w:ind w:left="21" w:leftChars="10" w:right="21" w:rightChars="10"/>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沾染清洗剂、防锈剂内衬袋</w:t>
            </w:r>
          </w:p>
        </w:tc>
        <w:tc>
          <w:tcPr>
            <w:tcW w:w="1701" w:type="dxa"/>
            <w:noWrap w:val="0"/>
            <w:vAlign w:val="center"/>
          </w:tcPr>
          <w:p w14:paraId="27764E2E">
            <w:pPr>
              <w:spacing w:beforeLines="0" w:afterLines="0"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276" w:type="dxa"/>
            <w:noWrap w:val="0"/>
            <w:vAlign w:val="center"/>
          </w:tcPr>
          <w:p w14:paraId="264FBD4C">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701" w:type="dxa"/>
            <w:noWrap w:val="0"/>
            <w:vAlign w:val="center"/>
          </w:tcPr>
          <w:p w14:paraId="537D2B07">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559" w:type="dxa"/>
            <w:noWrap w:val="0"/>
            <w:vAlign w:val="center"/>
          </w:tcPr>
          <w:p w14:paraId="6EFB9F71">
            <w:pPr>
              <w:spacing w:before="0" w:beforeLines="0" w:after="0" w:afterLines="0" w:line="240" w:lineRule="exact"/>
              <w:ind w:left="0" w:leftChars="0" w:right="0" w:rightChars="0"/>
              <w:jc w:val="center"/>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0.014</w:t>
            </w:r>
          </w:p>
        </w:tc>
        <w:tc>
          <w:tcPr>
            <w:tcW w:w="1558" w:type="dxa"/>
            <w:noWrap w:val="0"/>
            <w:vAlign w:val="center"/>
          </w:tcPr>
          <w:p w14:paraId="62308DDC">
            <w:pPr>
              <w:spacing w:beforeLines="0" w:afterLines="0" w:line="240" w:lineRule="auto"/>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w:t>
            </w:r>
          </w:p>
        </w:tc>
        <w:tc>
          <w:tcPr>
            <w:tcW w:w="1667" w:type="dxa"/>
            <w:noWrap w:val="0"/>
            <w:vAlign w:val="center"/>
          </w:tcPr>
          <w:p w14:paraId="19FFCD31">
            <w:pPr>
              <w:spacing w:before="0" w:beforeLines="0" w:after="0" w:afterLines="0" w:line="240" w:lineRule="exact"/>
              <w:ind w:left="0" w:leftChars="0" w:right="0" w:rightChars="0"/>
              <w:jc w:val="center"/>
              <w:rPr>
                <w:rFonts w:hint="default" w:ascii="Times New Roman" w:hAnsi="Times New Roman" w:eastAsia="宋体" w:cs="Times New Roman"/>
                <w:color w:val="auto"/>
                <w:sz w:val="21"/>
                <w:szCs w:val="21"/>
                <w:highlight w:val="none"/>
                <w:lang w:val="en-US" w:eastAsia="zh-CN"/>
              </w:rPr>
            </w:pPr>
            <w:r>
              <w:rPr>
                <w:rFonts w:hint="eastAsia" w:cs="Times New Roman"/>
                <w:b w:val="0"/>
                <w:bCs/>
                <w:color w:val="auto"/>
                <w:sz w:val="21"/>
                <w:szCs w:val="21"/>
                <w:highlight w:val="none"/>
                <w:lang w:val="en-US" w:eastAsia="zh-CN"/>
              </w:rPr>
              <w:t>0.014</w:t>
            </w:r>
          </w:p>
        </w:tc>
        <w:tc>
          <w:tcPr>
            <w:tcW w:w="1321" w:type="dxa"/>
            <w:noWrap w:val="0"/>
            <w:vAlign w:val="center"/>
          </w:tcPr>
          <w:p w14:paraId="22331A2F">
            <w:pPr>
              <w:spacing w:before="0" w:beforeLines="0" w:after="0" w:afterLines="0" w:line="240" w:lineRule="exact"/>
              <w:ind w:left="0" w:leftChars="0" w:right="0" w:rightChars="0"/>
              <w:jc w:val="center"/>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+0.014</w:t>
            </w:r>
          </w:p>
        </w:tc>
      </w:tr>
    </w:tbl>
    <w:p w14:paraId="11FE4938">
      <w:pPr>
        <w:pStyle w:val="59"/>
        <w:keepNext w:val="0"/>
        <w:keepLines w:val="0"/>
        <w:pageBreakBefore w:val="0"/>
        <w:widowControl/>
        <w:kinsoku/>
        <w:wordWrap/>
        <w:overflowPunct/>
        <w:topLinePunct w:val="0"/>
        <w:autoSpaceDE/>
        <w:autoSpaceDN/>
        <w:bidi w:val="0"/>
        <w:adjustRightInd w:val="0"/>
        <w:snapToGrid w:val="0"/>
        <w:spacing w:before="192" w:beforeLines="80" w:after="24" w:line="260" w:lineRule="auto"/>
        <w:ind w:right="113"/>
        <w:jc w:val="left"/>
        <w:textAlignment w:val="auto"/>
        <w:outlineLvl w:val="9"/>
        <w:rPr>
          <w:rFonts w:hint="default" w:ascii="Times New Roman" w:hAnsi="Times New Roman" w:cs="Times New Roman"/>
          <w:color w:val="auto"/>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bookmarkEnd w:id="20"/>
    </w:p>
    <w:p w14:paraId="3CE8FE95">
      <w:pPr>
        <w:rPr>
          <w:rFonts w:eastAsia="黑体"/>
          <w:color w:val="auto"/>
          <w:highlight w:val="none"/>
        </w:rPr>
      </w:pPr>
    </w:p>
    <w:p w14:paraId="62633779">
      <w:pPr>
        <w:rPr>
          <w:color w:val="auto"/>
          <w:highlight w:val="none"/>
        </w:rPr>
      </w:pPr>
    </w:p>
    <w:sectPr>
      <w:footerReference r:id="rId6" w:type="default"/>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B57997-9C2A-4794-B24D-73966203CD32}"/>
  </w:font>
  <w:font w:name="Courier New">
    <w:panose1 w:val="02070309020205020404"/>
    <w:charset w:val="01"/>
    <w:family w:val="modern"/>
    <w:pitch w:val="default"/>
    <w:sig w:usb0="E0002EFF" w:usb1="C0007843" w:usb2="00000009" w:usb3="00000000" w:csb0="400001FF" w:csb1="FFFF0000"/>
    <w:embedRegular r:id="rId2" w:fontKey="{263EDF62-5107-44B9-9004-0EFF707709FE}"/>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B204B73-5AE7-479F-957F-1150F98EA028}"/>
  </w:font>
  <w:font w:name="Calibri Light">
    <w:panose1 w:val="020F0302020204030204"/>
    <w:charset w:val="00"/>
    <w:family w:val="swiss"/>
    <w:pitch w:val="default"/>
    <w:sig w:usb0="E4002EFF" w:usb1="C000247B" w:usb2="00000009" w:usb3="00000000" w:csb0="200001FF" w:csb1="00000000"/>
  </w:font>
  <w:font w:name="Arial Unicode MS">
    <w:altName w:val="宋体"/>
    <w:panose1 w:val="020B0604020202020204"/>
    <w:charset w:val="86"/>
    <w:family w:val="auto"/>
    <w:pitch w:val="default"/>
    <w:sig w:usb0="00000000" w:usb1="00000000" w:usb2="0000003F" w:usb3="00000000" w:csb0="603F01FF" w:csb1="FFFF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4" w:fontKey="{6ECEAAA8-9A24-49B6-97A6-E23131EA8129}"/>
  </w:font>
  <w:font w:name="仿宋_GB2312">
    <w:panose1 w:val="02010609030101010101"/>
    <w:charset w:val="86"/>
    <w:family w:val="modern"/>
    <w:pitch w:val="default"/>
    <w:sig w:usb0="00000001" w:usb1="080E0000" w:usb2="00000000" w:usb3="00000000" w:csb0="00040000" w:csb1="00000000"/>
    <w:embedRegular r:id="rId5" w:fontKey="{6CA47D19-EC80-457C-9415-45BD5A06F141}"/>
  </w:font>
  <w:font w:name="方正小标宋_GBK">
    <w:panose1 w:val="02000000000000000000"/>
    <w:charset w:val="86"/>
    <w:family w:val="script"/>
    <w:pitch w:val="default"/>
    <w:sig w:usb0="A00002BF" w:usb1="38CF7CFA" w:usb2="00082016" w:usb3="00000000" w:csb0="00040001" w:csb1="00000000"/>
    <w:embedRegular r:id="rId6" w:fontKey="{92772E0C-E0F1-4E72-8039-CB627F383626}"/>
  </w:font>
  <w:font w:name="仿宋">
    <w:panose1 w:val="02010609060101010101"/>
    <w:charset w:val="86"/>
    <w:family w:val="auto"/>
    <w:pitch w:val="default"/>
    <w:sig w:usb0="800002BF" w:usb1="38CF7CFA" w:usb2="00000016" w:usb3="00000000" w:csb0="00040001" w:csb1="00000000"/>
    <w:embedRegular r:id="rId7" w:fontKey="{87673BB2-F4F3-49AB-B1E6-4CEBAD811C58}"/>
  </w:font>
  <w:font w:name="Wingdings 2">
    <w:panose1 w:val="05020102010507070707"/>
    <w:charset w:val="02"/>
    <w:family w:val="auto"/>
    <w:pitch w:val="default"/>
    <w:sig w:usb0="00000000" w:usb1="00000000" w:usb2="00000000" w:usb3="00000000" w:csb0="80000000" w:csb1="00000000"/>
    <w:embedRegular r:id="rId8" w:fontKey="{D7A2562C-146D-4102-AE95-25C0EDF124AC}"/>
  </w:font>
  <w:font w:name="微软雅黑">
    <w:panose1 w:val="020B0503020204020204"/>
    <w:charset w:val="86"/>
    <w:family w:val="auto"/>
    <w:pitch w:val="default"/>
    <w:sig w:usb0="80000287" w:usb1="2ACF3C50" w:usb2="00000016" w:usb3="00000000" w:csb0="0004001F" w:csb1="00000000"/>
    <w:embedRegular r:id="rId9" w:fontKey="{196D153B-25EF-434D-B8D7-BF6C21BC496D}"/>
  </w:font>
  <w:font w:name="WPSEMBED5">
    <w:panose1 w:val="02000000000000000000"/>
    <w:charset w:val="86"/>
    <w:family w:val="auto"/>
    <w:pitch w:val="default"/>
    <w:sig w:usb0="A00002BF" w:usb1="38CF7CFA" w:usb2="00082016" w:usb3="00000000" w:csb0="00040001" w:csb1="00000000"/>
  </w:font>
  <w:font w:name="WPSEMBED6">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FABB83">
    <w:pPr>
      <w:pStyle w:val="19"/>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1808D">
    <w:pPr>
      <w:pStyle w:val="19"/>
      <w:framePr w:wrap="around" w:vAnchor="text" w:hAnchor="margin" w:xAlign="center" w:y="1"/>
      <w:rPr>
        <w:rStyle w:val="41"/>
      </w:rPr>
    </w:pPr>
    <w:r>
      <w:fldChar w:fldCharType="begin"/>
    </w:r>
    <w:r>
      <w:rPr>
        <w:rStyle w:val="41"/>
      </w:rPr>
      <w:instrText xml:space="preserve">PAGE  </w:instrText>
    </w:r>
    <w:r>
      <w:fldChar w:fldCharType="end"/>
    </w:r>
  </w:p>
  <w:p w14:paraId="74DDE295">
    <w:pPr>
      <w:pStyle w:val="19"/>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12FCC">
    <w:pPr>
      <w:pStyle w:val="19"/>
      <w:ind w:right="360" w:firstLine="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20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A3BBCF">
                          <w:pPr>
                            <w:pStyle w:val="19"/>
                            <w:rPr>
                              <w:rStyle w:val="41"/>
                              <w:rFonts w:ascii="宋体" w:hAnsi="宋体"/>
                              <w:sz w:val="28"/>
                              <w:szCs w:val="28"/>
                            </w:rPr>
                          </w:pPr>
                          <w:r>
                            <w:rPr>
                              <w:rStyle w:val="41"/>
                              <w:rFonts w:hint="eastAsia" w:ascii="宋体" w:hAnsi="宋体"/>
                              <w:sz w:val="28"/>
                              <w:szCs w:val="28"/>
                            </w:rPr>
                            <w:t>—</w:t>
                          </w:r>
                          <w:r>
                            <w:rPr>
                              <w:rStyle w:val="41"/>
                              <w:rFonts w:hint="eastAsia" w:ascii="宋体" w:hAnsi="宋体"/>
                              <w:sz w:val="20"/>
                            </w:rPr>
                            <w:t xml:space="preserve">  </w:t>
                          </w:r>
                          <w:r>
                            <w:rPr>
                              <w:rFonts w:ascii="宋体" w:hAnsi="宋体"/>
                              <w:sz w:val="26"/>
                              <w:szCs w:val="26"/>
                            </w:rPr>
                            <w:fldChar w:fldCharType="begin"/>
                          </w:r>
                          <w:r>
                            <w:rPr>
                              <w:rStyle w:val="41"/>
                              <w:rFonts w:ascii="宋体" w:hAnsi="宋体"/>
                              <w:sz w:val="26"/>
                              <w:szCs w:val="26"/>
                            </w:rPr>
                            <w:instrText xml:space="preserve">PAGE  </w:instrText>
                          </w:r>
                          <w:r>
                            <w:rPr>
                              <w:rFonts w:ascii="宋体" w:hAnsi="宋体"/>
                              <w:sz w:val="26"/>
                              <w:szCs w:val="26"/>
                            </w:rPr>
                            <w:fldChar w:fldCharType="separate"/>
                          </w:r>
                          <w:r>
                            <w:rPr>
                              <w:rStyle w:val="41"/>
                              <w:rFonts w:ascii="宋体" w:hAnsi="宋体"/>
                              <w:sz w:val="26"/>
                              <w:szCs w:val="26"/>
                            </w:rPr>
                            <w:t>9</w:t>
                          </w:r>
                          <w:r>
                            <w:rPr>
                              <w:rFonts w:ascii="宋体" w:hAnsi="宋体"/>
                              <w:sz w:val="26"/>
                              <w:szCs w:val="26"/>
                            </w:rPr>
                            <w:fldChar w:fldCharType="end"/>
                          </w:r>
                          <w:r>
                            <w:rPr>
                              <w:rStyle w:val="41"/>
                              <w:rFonts w:hint="eastAsia" w:ascii="宋体" w:hAnsi="宋体"/>
                              <w:sz w:val="20"/>
                            </w:rPr>
                            <w:t xml:space="preserve">  </w:t>
                          </w:r>
                          <w:r>
                            <w:rPr>
                              <w:rStyle w:val="41"/>
                              <w:rFonts w:hint="eastAsia" w:ascii="宋体" w:hAnsi="宋体"/>
                              <w:sz w:val="28"/>
                              <w:szCs w:val="28"/>
                            </w:rPr>
                            <w:t>—</w:t>
                          </w:r>
                        </w:p>
                      </w:txbxContent>
                    </wps:txbx>
                    <wps:bodyPr wrap="none" lIns="0" tIns="0" rIns="0" bIns="0" upright="0">
                      <a:spAutoFit/>
                    </wps:bodyPr>
                  </wps:wsp>
                </a:graphicData>
              </a:graphic>
            </wp:anchor>
          </w:drawing>
        </mc:Choice>
        <mc:Fallback>
          <w:pict>
            <v:shape id="文本框 2050"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dfmR78oBAACcAwAADgAAAAAAAAABACAAAAAeAQAAZHJzL2Uyb0Rv&#10;Yy54bWxQSwUGAAAAAAYABgBZAQAAWgUAAAAA&#10;">
              <v:fill on="f" focussize="0,0"/>
              <v:stroke on="f"/>
              <v:imagedata o:title=""/>
              <o:lock v:ext="edit" aspectratio="f"/>
              <v:textbox inset="0mm,0mm,0mm,0mm" style="mso-fit-shape-to-text:t;">
                <w:txbxContent>
                  <w:p w14:paraId="78A3BBCF">
                    <w:pPr>
                      <w:pStyle w:val="19"/>
                      <w:rPr>
                        <w:rStyle w:val="41"/>
                        <w:rFonts w:ascii="宋体" w:hAnsi="宋体"/>
                        <w:sz w:val="28"/>
                        <w:szCs w:val="28"/>
                      </w:rPr>
                    </w:pPr>
                    <w:r>
                      <w:rPr>
                        <w:rStyle w:val="41"/>
                        <w:rFonts w:hint="eastAsia" w:ascii="宋体" w:hAnsi="宋体"/>
                        <w:sz w:val="28"/>
                        <w:szCs w:val="28"/>
                      </w:rPr>
                      <w:t>—</w:t>
                    </w:r>
                    <w:r>
                      <w:rPr>
                        <w:rStyle w:val="41"/>
                        <w:rFonts w:hint="eastAsia" w:ascii="宋体" w:hAnsi="宋体"/>
                        <w:sz w:val="20"/>
                      </w:rPr>
                      <w:t xml:space="preserve">  </w:t>
                    </w:r>
                    <w:r>
                      <w:rPr>
                        <w:rFonts w:ascii="宋体" w:hAnsi="宋体"/>
                        <w:sz w:val="26"/>
                        <w:szCs w:val="26"/>
                      </w:rPr>
                      <w:fldChar w:fldCharType="begin"/>
                    </w:r>
                    <w:r>
                      <w:rPr>
                        <w:rStyle w:val="41"/>
                        <w:rFonts w:ascii="宋体" w:hAnsi="宋体"/>
                        <w:sz w:val="26"/>
                        <w:szCs w:val="26"/>
                      </w:rPr>
                      <w:instrText xml:space="preserve">PAGE  </w:instrText>
                    </w:r>
                    <w:r>
                      <w:rPr>
                        <w:rFonts w:ascii="宋体" w:hAnsi="宋体"/>
                        <w:sz w:val="26"/>
                        <w:szCs w:val="26"/>
                      </w:rPr>
                      <w:fldChar w:fldCharType="separate"/>
                    </w:r>
                    <w:r>
                      <w:rPr>
                        <w:rStyle w:val="41"/>
                        <w:rFonts w:ascii="宋体" w:hAnsi="宋体"/>
                        <w:sz w:val="26"/>
                        <w:szCs w:val="26"/>
                      </w:rPr>
                      <w:t>9</w:t>
                    </w:r>
                    <w:r>
                      <w:rPr>
                        <w:rFonts w:ascii="宋体" w:hAnsi="宋体"/>
                        <w:sz w:val="26"/>
                        <w:szCs w:val="26"/>
                      </w:rPr>
                      <w:fldChar w:fldCharType="end"/>
                    </w:r>
                    <w:r>
                      <w:rPr>
                        <w:rStyle w:val="41"/>
                        <w:rFonts w:hint="eastAsia" w:ascii="宋体" w:hAnsi="宋体"/>
                        <w:sz w:val="20"/>
                      </w:rPr>
                      <w:t xml:space="preserve">  </w:t>
                    </w:r>
                    <w:r>
                      <w:rPr>
                        <w:rStyle w:val="41"/>
                        <w:rFonts w:hint="eastAsia"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CCDB2">
    <w:pPr>
      <w:pStyle w:val="19"/>
      <w:ind w:right="360" w:firstLine="36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20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6141DB">
                          <w:pPr>
                            <w:pStyle w:val="19"/>
                            <w:rPr>
                              <w:rStyle w:val="41"/>
                              <w:rFonts w:ascii="宋体" w:hAnsi="宋体"/>
                              <w:sz w:val="28"/>
                              <w:szCs w:val="28"/>
                            </w:rPr>
                          </w:pPr>
                          <w:r>
                            <w:rPr>
                              <w:rStyle w:val="41"/>
                              <w:rFonts w:hint="eastAsia" w:ascii="宋体" w:hAnsi="宋体"/>
                              <w:sz w:val="28"/>
                              <w:szCs w:val="28"/>
                            </w:rPr>
                            <w:t>—</w:t>
                          </w:r>
                          <w:r>
                            <w:rPr>
                              <w:rStyle w:val="41"/>
                              <w:rFonts w:hint="eastAsia" w:ascii="宋体" w:hAnsi="宋体"/>
                              <w:sz w:val="20"/>
                            </w:rPr>
                            <w:t xml:space="preserve">  </w:t>
                          </w:r>
                          <w:r>
                            <w:rPr>
                              <w:rFonts w:ascii="宋体" w:hAnsi="宋体"/>
                              <w:sz w:val="26"/>
                              <w:szCs w:val="26"/>
                            </w:rPr>
                            <w:fldChar w:fldCharType="begin"/>
                          </w:r>
                          <w:r>
                            <w:rPr>
                              <w:rStyle w:val="41"/>
                              <w:rFonts w:ascii="宋体" w:hAnsi="宋体"/>
                              <w:sz w:val="26"/>
                              <w:szCs w:val="26"/>
                            </w:rPr>
                            <w:instrText xml:space="preserve">PAGE  </w:instrText>
                          </w:r>
                          <w:r>
                            <w:rPr>
                              <w:rFonts w:ascii="宋体" w:hAnsi="宋体"/>
                              <w:sz w:val="26"/>
                              <w:szCs w:val="26"/>
                            </w:rPr>
                            <w:fldChar w:fldCharType="separate"/>
                          </w:r>
                          <w:r>
                            <w:rPr>
                              <w:rStyle w:val="41"/>
                              <w:rFonts w:ascii="宋体" w:hAnsi="宋体"/>
                              <w:sz w:val="26"/>
                              <w:szCs w:val="26"/>
                            </w:rPr>
                            <w:t>11</w:t>
                          </w:r>
                          <w:r>
                            <w:rPr>
                              <w:rFonts w:ascii="宋体" w:hAnsi="宋体"/>
                              <w:sz w:val="26"/>
                              <w:szCs w:val="26"/>
                            </w:rPr>
                            <w:fldChar w:fldCharType="end"/>
                          </w:r>
                          <w:r>
                            <w:rPr>
                              <w:rStyle w:val="41"/>
                              <w:rFonts w:hint="eastAsia" w:ascii="宋体" w:hAnsi="宋体"/>
                              <w:sz w:val="20"/>
                            </w:rPr>
                            <w:t xml:space="preserve">  </w:t>
                          </w:r>
                          <w:r>
                            <w:rPr>
                              <w:rStyle w:val="41"/>
                              <w:rFonts w:hint="eastAsia" w:ascii="宋体" w:hAnsi="宋体"/>
                              <w:sz w:val="28"/>
                              <w:szCs w:val="28"/>
                            </w:rPr>
                            <w:t>—</w:t>
                          </w:r>
                        </w:p>
                      </w:txbxContent>
                    </wps:txbx>
                    <wps:bodyPr wrap="none" lIns="0" tIns="0" rIns="0" bIns="0" upright="0">
                      <a:spAutoFit/>
                    </wps:bodyPr>
                  </wps:wsp>
                </a:graphicData>
              </a:graphic>
            </wp:anchor>
          </w:drawing>
        </mc:Choice>
        <mc:Fallback>
          <w:pict>
            <v:shape id="文本框 205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w7/3TLAQAAnAMAAA4AAAAAAAAAAQAgAAAAHgEAAGRycy9lMm9E&#10;b2MueG1sUEsFBgAAAAAGAAYAWQEAAFsFAAAAAA==&#10;">
              <v:fill on="f" focussize="0,0"/>
              <v:stroke on="f"/>
              <v:imagedata o:title=""/>
              <o:lock v:ext="edit" aspectratio="f"/>
              <v:textbox inset="0mm,0mm,0mm,0mm" style="mso-fit-shape-to-text:t;">
                <w:txbxContent>
                  <w:p w14:paraId="266141DB">
                    <w:pPr>
                      <w:pStyle w:val="19"/>
                      <w:rPr>
                        <w:rStyle w:val="41"/>
                        <w:rFonts w:ascii="宋体" w:hAnsi="宋体"/>
                        <w:sz w:val="28"/>
                        <w:szCs w:val="28"/>
                      </w:rPr>
                    </w:pPr>
                    <w:r>
                      <w:rPr>
                        <w:rStyle w:val="41"/>
                        <w:rFonts w:hint="eastAsia" w:ascii="宋体" w:hAnsi="宋体"/>
                        <w:sz w:val="28"/>
                        <w:szCs w:val="28"/>
                      </w:rPr>
                      <w:t>—</w:t>
                    </w:r>
                    <w:r>
                      <w:rPr>
                        <w:rStyle w:val="41"/>
                        <w:rFonts w:hint="eastAsia" w:ascii="宋体" w:hAnsi="宋体"/>
                        <w:sz w:val="20"/>
                      </w:rPr>
                      <w:t xml:space="preserve">  </w:t>
                    </w:r>
                    <w:r>
                      <w:rPr>
                        <w:rFonts w:ascii="宋体" w:hAnsi="宋体"/>
                        <w:sz w:val="26"/>
                        <w:szCs w:val="26"/>
                      </w:rPr>
                      <w:fldChar w:fldCharType="begin"/>
                    </w:r>
                    <w:r>
                      <w:rPr>
                        <w:rStyle w:val="41"/>
                        <w:rFonts w:ascii="宋体" w:hAnsi="宋体"/>
                        <w:sz w:val="26"/>
                        <w:szCs w:val="26"/>
                      </w:rPr>
                      <w:instrText xml:space="preserve">PAGE  </w:instrText>
                    </w:r>
                    <w:r>
                      <w:rPr>
                        <w:rFonts w:ascii="宋体" w:hAnsi="宋体"/>
                        <w:sz w:val="26"/>
                        <w:szCs w:val="26"/>
                      </w:rPr>
                      <w:fldChar w:fldCharType="separate"/>
                    </w:r>
                    <w:r>
                      <w:rPr>
                        <w:rStyle w:val="41"/>
                        <w:rFonts w:ascii="宋体" w:hAnsi="宋体"/>
                        <w:sz w:val="26"/>
                        <w:szCs w:val="26"/>
                      </w:rPr>
                      <w:t>11</w:t>
                    </w:r>
                    <w:r>
                      <w:rPr>
                        <w:rFonts w:ascii="宋体" w:hAnsi="宋体"/>
                        <w:sz w:val="26"/>
                        <w:szCs w:val="26"/>
                      </w:rPr>
                      <w:fldChar w:fldCharType="end"/>
                    </w:r>
                    <w:r>
                      <w:rPr>
                        <w:rStyle w:val="41"/>
                        <w:rFonts w:hint="eastAsia" w:ascii="宋体" w:hAnsi="宋体"/>
                        <w:sz w:val="20"/>
                      </w:rPr>
                      <w:t xml:space="preserve">  </w:t>
                    </w:r>
                    <w:r>
                      <w:rPr>
                        <w:rStyle w:val="41"/>
                        <w:rFonts w:hint="eastAsia" w:ascii="宋体" w:hAnsi="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DA16C0"/>
    <w:multiLevelType w:val="singleLevel"/>
    <w:tmpl w:val="91DA16C0"/>
    <w:lvl w:ilvl="0" w:tentative="0">
      <w:start w:val="7"/>
      <w:numFmt w:val="decimal"/>
      <w:suff w:val="nothing"/>
      <w:lvlText w:val="%1、"/>
      <w:lvlJc w:val="left"/>
    </w:lvl>
  </w:abstractNum>
  <w:abstractNum w:abstractNumId="1">
    <w:nsid w:val="AD29CC11"/>
    <w:multiLevelType w:val="singleLevel"/>
    <w:tmpl w:val="AD29CC11"/>
    <w:lvl w:ilvl="0" w:tentative="0">
      <w:start w:val="1"/>
      <w:numFmt w:val="decimal"/>
      <w:suff w:val="nothing"/>
      <w:lvlText w:val="%1．"/>
      <w:lvlJc w:val="left"/>
      <w:pPr>
        <w:ind w:left="0" w:firstLine="400"/>
      </w:pPr>
      <w:rPr>
        <w:rFonts w:hint="default"/>
      </w:rPr>
    </w:lvl>
  </w:abstractNum>
  <w:abstractNum w:abstractNumId="2">
    <w:nsid w:val="B59BC37E"/>
    <w:multiLevelType w:val="singleLevel"/>
    <w:tmpl w:val="B59BC37E"/>
    <w:lvl w:ilvl="0" w:tentative="0">
      <w:start w:val="1"/>
      <w:numFmt w:val="decimal"/>
      <w:suff w:val="nothing"/>
      <w:lvlText w:val="%1、"/>
      <w:lvlJc w:val="left"/>
      <w:pPr>
        <w:ind w:left="-60"/>
      </w:pPr>
      <w:rPr>
        <w:rFonts w:hint="default"/>
        <w:sz w:val="24"/>
        <w:szCs w:val="24"/>
      </w:rPr>
    </w:lvl>
  </w:abstractNum>
  <w:abstractNum w:abstractNumId="3">
    <w:nsid w:val="DBEBDC91"/>
    <w:multiLevelType w:val="singleLevel"/>
    <w:tmpl w:val="DBEBDC91"/>
    <w:lvl w:ilvl="0" w:tentative="0">
      <w:start w:val="1"/>
      <w:numFmt w:val="bullet"/>
      <w:lvlText w:val=""/>
      <w:lvlJc w:val="left"/>
      <w:pPr>
        <w:ind w:left="420" w:hanging="420"/>
      </w:pPr>
      <w:rPr>
        <w:rFonts w:hint="default" w:ascii="Wingdings" w:hAnsi="Wingdings"/>
      </w:rPr>
    </w:lvl>
  </w:abstractNum>
  <w:abstractNum w:abstractNumId="4">
    <w:nsid w:val="EECBE0D2"/>
    <w:multiLevelType w:val="singleLevel"/>
    <w:tmpl w:val="EECBE0D2"/>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5">
    <w:nsid w:val="F5D1BCC8"/>
    <w:multiLevelType w:val="singleLevel"/>
    <w:tmpl w:val="F5D1BCC8"/>
    <w:lvl w:ilvl="0" w:tentative="0">
      <w:start w:val="1"/>
      <w:numFmt w:val="decimal"/>
      <w:suff w:val="nothing"/>
      <w:lvlText w:val="%1、"/>
      <w:lvlJc w:val="left"/>
    </w:lvl>
  </w:abstractNum>
  <w:abstractNum w:abstractNumId="6">
    <w:nsid w:val="00000013"/>
    <w:multiLevelType w:val="multilevel"/>
    <w:tmpl w:val="0000001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16"/>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pStyle w:val="115"/>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7">
    <w:nsid w:val="2376C108"/>
    <w:multiLevelType w:val="singleLevel"/>
    <w:tmpl w:val="2376C108"/>
    <w:lvl w:ilvl="0" w:tentative="0">
      <w:start w:val="1"/>
      <w:numFmt w:val="decimal"/>
      <w:suff w:val="nothing"/>
      <w:lvlText w:val="%1、"/>
      <w:lvlJc w:val="left"/>
    </w:lvl>
  </w:abstractNum>
  <w:abstractNum w:abstractNumId="8">
    <w:nsid w:val="26B8EFEC"/>
    <w:multiLevelType w:val="singleLevel"/>
    <w:tmpl w:val="26B8EFEC"/>
    <w:lvl w:ilvl="0" w:tentative="0">
      <w:start w:val="1"/>
      <w:numFmt w:val="chineseCounting"/>
      <w:suff w:val="nothing"/>
      <w:lvlText w:val="%1、"/>
      <w:lvlJc w:val="left"/>
      <w:pPr>
        <w:ind w:left="-62"/>
      </w:pPr>
      <w:rPr>
        <w:rFonts w:hint="eastAsia"/>
      </w:rPr>
    </w:lvl>
  </w:abstractNum>
  <w:abstractNum w:abstractNumId="9">
    <w:nsid w:val="2D8F1243"/>
    <w:multiLevelType w:val="multilevel"/>
    <w:tmpl w:val="2D8F1243"/>
    <w:lvl w:ilvl="0" w:tentative="0">
      <w:start w:val="1"/>
      <w:numFmt w:val="decimal"/>
      <w:pStyle w:val="91"/>
      <w:lvlText w:val="表%1"/>
      <w:lvlJc w:val="left"/>
      <w:pPr>
        <w:ind w:left="1130" w:hanging="420"/>
      </w:pPr>
      <w:rPr>
        <w:rFonts w:hint="default" w:ascii="Times New Roman" w:hAnsi="Times New Roman" w:eastAsia="宋体"/>
        <w:lang w:val="en-US"/>
      </w:rPr>
    </w:lvl>
    <w:lvl w:ilvl="1" w:tentative="0">
      <w:start w:val="1"/>
      <w:numFmt w:val="lowerLetter"/>
      <w:lvlText w:val="%2)"/>
      <w:lvlJc w:val="left"/>
      <w:pPr>
        <w:ind w:left="1550" w:hanging="420"/>
      </w:pPr>
    </w:lvl>
    <w:lvl w:ilvl="2" w:tentative="0">
      <w:start w:val="1"/>
      <w:numFmt w:val="lowerRoman"/>
      <w:lvlText w:val="%3."/>
      <w:lvlJc w:val="right"/>
      <w:pPr>
        <w:ind w:left="1970" w:hanging="420"/>
      </w:pPr>
    </w:lvl>
    <w:lvl w:ilvl="3" w:tentative="0">
      <w:start w:val="1"/>
      <w:numFmt w:val="decimal"/>
      <w:lvlText w:val="%4."/>
      <w:lvlJc w:val="left"/>
      <w:pPr>
        <w:ind w:left="2390" w:hanging="420"/>
      </w:pPr>
    </w:lvl>
    <w:lvl w:ilvl="4" w:tentative="0">
      <w:start w:val="1"/>
      <w:numFmt w:val="lowerLetter"/>
      <w:lvlText w:val="%5)"/>
      <w:lvlJc w:val="left"/>
      <w:pPr>
        <w:ind w:left="2810" w:hanging="420"/>
      </w:pPr>
    </w:lvl>
    <w:lvl w:ilvl="5" w:tentative="0">
      <w:start w:val="1"/>
      <w:numFmt w:val="lowerRoman"/>
      <w:lvlText w:val="%6."/>
      <w:lvlJc w:val="right"/>
      <w:pPr>
        <w:ind w:left="3230" w:hanging="420"/>
      </w:pPr>
    </w:lvl>
    <w:lvl w:ilvl="6" w:tentative="0">
      <w:start w:val="1"/>
      <w:numFmt w:val="decimal"/>
      <w:lvlText w:val="%7."/>
      <w:lvlJc w:val="left"/>
      <w:pPr>
        <w:ind w:left="3650" w:hanging="420"/>
      </w:pPr>
    </w:lvl>
    <w:lvl w:ilvl="7" w:tentative="0">
      <w:start w:val="1"/>
      <w:numFmt w:val="lowerLetter"/>
      <w:lvlText w:val="%8)"/>
      <w:lvlJc w:val="left"/>
      <w:pPr>
        <w:ind w:left="4070" w:hanging="420"/>
      </w:pPr>
    </w:lvl>
    <w:lvl w:ilvl="8" w:tentative="0">
      <w:start w:val="1"/>
      <w:numFmt w:val="lowerRoman"/>
      <w:lvlText w:val="%9."/>
      <w:lvlJc w:val="right"/>
      <w:pPr>
        <w:ind w:left="4490" w:hanging="420"/>
      </w:pPr>
    </w:lvl>
  </w:abstractNum>
  <w:abstractNum w:abstractNumId="10">
    <w:nsid w:val="3D15BA63"/>
    <w:multiLevelType w:val="singleLevel"/>
    <w:tmpl w:val="3D15BA63"/>
    <w:lvl w:ilvl="0" w:tentative="0">
      <w:start w:val="1"/>
      <w:numFmt w:val="decimal"/>
      <w:suff w:val="nothing"/>
      <w:lvlText w:val="%1、"/>
      <w:lvlJc w:val="left"/>
    </w:lvl>
  </w:abstractNum>
  <w:abstractNum w:abstractNumId="11">
    <w:nsid w:val="443DE05C"/>
    <w:multiLevelType w:val="singleLevel"/>
    <w:tmpl w:val="443DE05C"/>
    <w:lvl w:ilvl="0" w:tentative="0">
      <w:start w:val="2"/>
      <w:numFmt w:val="chineseCounting"/>
      <w:suff w:val="nothing"/>
      <w:lvlText w:val="%1、"/>
      <w:lvlJc w:val="left"/>
      <w:rPr>
        <w:rFonts w:hint="eastAsia"/>
      </w:rPr>
    </w:lvl>
  </w:abstractNum>
  <w:abstractNum w:abstractNumId="12">
    <w:nsid w:val="45480CD3"/>
    <w:multiLevelType w:val="singleLevel"/>
    <w:tmpl w:val="45480CD3"/>
    <w:lvl w:ilvl="0" w:tentative="0">
      <w:start w:val="1"/>
      <w:numFmt w:val="bullet"/>
      <w:lvlText w:val=""/>
      <w:lvlJc w:val="left"/>
      <w:pPr>
        <w:ind w:left="420" w:hanging="420"/>
      </w:pPr>
      <w:rPr>
        <w:rFonts w:hint="default" w:ascii="Wingdings" w:hAnsi="Wingdings"/>
      </w:rPr>
    </w:lvl>
  </w:abstractNum>
  <w:abstractNum w:abstractNumId="13">
    <w:nsid w:val="5D0FDDE4"/>
    <w:multiLevelType w:val="singleLevel"/>
    <w:tmpl w:val="5D0FDDE4"/>
    <w:lvl w:ilvl="0" w:tentative="0">
      <w:start w:val="1"/>
      <w:numFmt w:val="decimal"/>
      <w:suff w:val="nothing"/>
      <w:lvlText w:val="%1、"/>
      <w:lvlJc w:val="left"/>
    </w:lvl>
  </w:abstractNum>
  <w:abstractNum w:abstractNumId="14">
    <w:nsid w:val="643D6717"/>
    <w:multiLevelType w:val="multilevel"/>
    <w:tmpl w:val="643D6717"/>
    <w:lvl w:ilvl="0" w:tentative="0">
      <w:start w:val="1"/>
      <w:numFmt w:val="decimal"/>
      <w:isLgl/>
      <w:suff w:val="space"/>
      <w:lvlText w:val="%1"/>
      <w:lvlJc w:val="left"/>
      <w:pPr>
        <w:ind w:left="0" w:firstLine="0"/>
      </w:pPr>
      <w:rPr>
        <w:rFonts w:hint="default" w:ascii="Times New Roman" w:hAnsi="Times New Roman" w:eastAsia="宋体"/>
        <w:b/>
        <w:i w:val="0"/>
        <w:sz w:val="32"/>
      </w:rPr>
    </w:lvl>
    <w:lvl w:ilvl="1" w:tentative="0">
      <w:start w:val="1"/>
      <w:numFmt w:val="decimal"/>
      <w:isLgl/>
      <w:suff w:val="space"/>
      <w:lvlText w:val="%1.%2"/>
      <w:lvlJc w:val="left"/>
      <w:pPr>
        <w:ind w:left="0" w:firstLine="0"/>
      </w:pPr>
      <w:rPr>
        <w:rFonts w:hint="default" w:ascii="Times New Roman" w:hAnsi="Times New Roman" w:eastAsia="宋体"/>
        <w:b/>
        <w:i w:val="0"/>
        <w:sz w:val="30"/>
      </w:rPr>
    </w:lvl>
    <w:lvl w:ilvl="2" w:tentative="0">
      <w:start w:val="1"/>
      <w:numFmt w:val="decimal"/>
      <w:isLgl/>
      <w:suff w:val="space"/>
      <w:lvlText w:val="%1.%2.%3"/>
      <w:lvlJc w:val="left"/>
      <w:pPr>
        <w:ind w:left="0" w:firstLine="0"/>
      </w:pPr>
      <w:rPr>
        <w:rFonts w:hint="default" w:ascii="Times New Roman" w:hAnsi="Times New Roman" w:eastAsia="宋体"/>
        <w:b/>
        <w:i w:val="0"/>
        <w:sz w:val="28"/>
      </w:rPr>
    </w:lvl>
    <w:lvl w:ilvl="3" w:tentative="0">
      <w:start w:val="1"/>
      <w:numFmt w:val="decimal"/>
      <w:isLgl/>
      <w:suff w:val="space"/>
      <w:lvlText w:val="%1.%2.%3.%4"/>
      <w:lvlJc w:val="left"/>
      <w:pPr>
        <w:ind w:left="2730" w:firstLine="0"/>
      </w:pPr>
      <w:rPr>
        <w:rFonts w:hint="default" w:ascii="Times New Roman" w:hAnsi="Times New Roman" w:cs="Times New Roman"/>
        <w:b/>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4" w:tentative="0">
      <w:start w:val="1"/>
      <w:numFmt w:val="decimal"/>
      <w:lvlRestart w:val="2"/>
      <w:pStyle w:val="45"/>
      <w:isLgl/>
      <w:lvlText w:val="表%1.%2-%5"/>
      <w:lvlJc w:val="left"/>
      <w:pPr>
        <w:tabs>
          <w:tab w:val="left" w:pos="0"/>
        </w:tabs>
        <w:ind w:left="7140" w:firstLine="0"/>
      </w:pPr>
      <w:rPr>
        <w:rFonts w:hint="default" w:ascii="Times New Roman" w:hAnsi="Times New Roman" w:cs="Times New Roman"/>
        <w:b/>
        <w:bCs w:val="0"/>
        <w:i w:val="0"/>
        <w:iCs w:val="0"/>
        <w:caps w:val="0"/>
        <w:smallCaps w:val="0"/>
        <w:strike w:val="0"/>
        <w:dstrike w:val="0"/>
        <w:outline w:val="0"/>
        <w:shadow w:val="0"/>
        <w:emboss w:val="0"/>
        <w:imprint w:val="0"/>
        <w:vanish w:val="0"/>
        <w:color w:val="00000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5" w:tentative="0">
      <w:start w:val="1"/>
      <w:numFmt w:val="decimal"/>
      <w:lvlRestart w:val="2"/>
      <w:isLgl/>
      <w:lvlText w:val="图%1.%2-%6"/>
      <w:lvlJc w:val="left"/>
      <w:pPr>
        <w:ind w:left="672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num w:numId="1">
    <w:abstractNumId w:val="4"/>
  </w:num>
  <w:num w:numId="2">
    <w:abstractNumId w:val="14"/>
  </w:num>
  <w:num w:numId="3">
    <w:abstractNumId w:val="9"/>
  </w:num>
  <w:num w:numId="4">
    <w:abstractNumId w:val="6"/>
  </w:num>
  <w:num w:numId="5">
    <w:abstractNumId w:val="10"/>
  </w:num>
  <w:num w:numId="6">
    <w:abstractNumId w:val="11"/>
  </w:num>
  <w:num w:numId="7">
    <w:abstractNumId w:val="8"/>
  </w:num>
  <w:num w:numId="8">
    <w:abstractNumId w:val="1"/>
  </w:num>
  <w:num w:numId="9">
    <w:abstractNumId w:val="0"/>
  </w:num>
  <w:num w:numId="10">
    <w:abstractNumId w:val="2"/>
  </w:num>
  <w:num w:numId="11">
    <w:abstractNumId w:val="5"/>
  </w:num>
  <w:num w:numId="12">
    <w:abstractNumId w:val="7"/>
  </w:num>
  <w:num w:numId="13">
    <w:abstractNumId w:val="3"/>
  </w:num>
  <w:num w:numId="14">
    <w:abstractNumId w:val="12"/>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3NmQwOWM1NDA5Y2MwYmE0ZThiOGQ1Y2I4NmEyMjIifQ=="/>
  </w:docVars>
  <w:rsids>
    <w:rsidRoot w:val="00172A27"/>
    <w:rsid w:val="000060B3"/>
    <w:rsid w:val="0004364B"/>
    <w:rsid w:val="00056AF0"/>
    <w:rsid w:val="0006038D"/>
    <w:rsid w:val="00061B1F"/>
    <w:rsid w:val="000733C4"/>
    <w:rsid w:val="00074783"/>
    <w:rsid w:val="0008070B"/>
    <w:rsid w:val="000810AC"/>
    <w:rsid w:val="00081A02"/>
    <w:rsid w:val="00082231"/>
    <w:rsid w:val="00092D38"/>
    <w:rsid w:val="0009377B"/>
    <w:rsid w:val="000A20C9"/>
    <w:rsid w:val="000B058F"/>
    <w:rsid w:val="000B4467"/>
    <w:rsid w:val="000B4DB9"/>
    <w:rsid w:val="000C09AC"/>
    <w:rsid w:val="000C767F"/>
    <w:rsid w:val="000D5A44"/>
    <w:rsid w:val="000E3ED2"/>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F61"/>
    <w:rsid w:val="001B72B8"/>
    <w:rsid w:val="001C69B3"/>
    <w:rsid w:val="001D5595"/>
    <w:rsid w:val="001D7874"/>
    <w:rsid w:val="001D7F22"/>
    <w:rsid w:val="001F0F17"/>
    <w:rsid w:val="001F3347"/>
    <w:rsid w:val="001F69E4"/>
    <w:rsid w:val="002125B4"/>
    <w:rsid w:val="002155B8"/>
    <w:rsid w:val="00224839"/>
    <w:rsid w:val="002249B2"/>
    <w:rsid w:val="00226574"/>
    <w:rsid w:val="002278EC"/>
    <w:rsid w:val="0023280E"/>
    <w:rsid w:val="002377D1"/>
    <w:rsid w:val="002506BC"/>
    <w:rsid w:val="00254345"/>
    <w:rsid w:val="002546CF"/>
    <w:rsid w:val="00264557"/>
    <w:rsid w:val="002805AB"/>
    <w:rsid w:val="00284204"/>
    <w:rsid w:val="00291773"/>
    <w:rsid w:val="002A168C"/>
    <w:rsid w:val="002A3DC7"/>
    <w:rsid w:val="002B49E2"/>
    <w:rsid w:val="002B7B00"/>
    <w:rsid w:val="002B7C44"/>
    <w:rsid w:val="002C2B17"/>
    <w:rsid w:val="002D3DD0"/>
    <w:rsid w:val="002E1F3A"/>
    <w:rsid w:val="002E298A"/>
    <w:rsid w:val="00301978"/>
    <w:rsid w:val="0030332C"/>
    <w:rsid w:val="003051C2"/>
    <w:rsid w:val="00312296"/>
    <w:rsid w:val="00314F0E"/>
    <w:rsid w:val="00321D8E"/>
    <w:rsid w:val="00325928"/>
    <w:rsid w:val="00332863"/>
    <w:rsid w:val="0033684D"/>
    <w:rsid w:val="00337B42"/>
    <w:rsid w:val="00341B42"/>
    <w:rsid w:val="0034348F"/>
    <w:rsid w:val="00356653"/>
    <w:rsid w:val="0035743F"/>
    <w:rsid w:val="00357BE2"/>
    <w:rsid w:val="0036170C"/>
    <w:rsid w:val="00366E0F"/>
    <w:rsid w:val="00381A72"/>
    <w:rsid w:val="00384676"/>
    <w:rsid w:val="00390857"/>
    <w:rsid w:val="003A4BF3"/>
    <w:rsid w:val="003B420D"/>
    <w:rsid w:val="003C6C16"/>
    <w:rsid w:val="003D794D"/>
    <w:rsid w:val="003E3058"/>
    <w:rsid w:val="003E76A9"/>
    <w:rsid w:val="003F0809"/>
    <w:rsid w:val="003F6A8C"/>
    <w:rsid w:val="003F755C"/>
    <w:rsid w:val="00406F01"/>
    <w:rsid w:val="00416D50"/>
    <w:rsid w:val="00416FD5"/>
    <w:rsid w:val="00417772"/>
    <w:rsid w:val="00420E6A"/>
    <w:rsid w:val="00425A9E"/>
    <w:rsid w:val="00426D6B"/>
    <w:rsid w:val="00431E6C"/>
    <w:rsid w:val="00433CE7"/>
    <w:rsid w:val="00452738"/>
    <w:rsid w:val="00456091"/>
    <w:rsid w:val="00466321"/>
    <w:rsid w:val="00484B9B"/>
    <w:rsid w:val="004855F6"/>
    <w:rsid w:val="0048661E"/>
    <w:rsid w:val="00494670"/>
    <w:rsid w:val="004A3823"/>
    <w:rsid w:val="004E6946"/>
    <w:rsid w:val="004F1AD8"/>
    <w:rsid w:val="005039CB"/>
    <w:rsid w:val="0050558F"/>
    <w:rsid w:val="00506286"/>
    <w:rsid w:val="00510813"/>
    <w:rsid w:val="00511990"/>
    <w:rsid w:val="00511DE0"/>
    <w:rsid w:val="00514870"/>
    <w:rsid w:val="00514B9B"/>
    <w:rsid w:val="00517F02"/>
    <w:rsid w:val="00520460"/>
    <w:rsid w:val="00524303"/>
    <w:rsid w:val="005258A2"/>
    <w:rsid w:val="005401AE"/>
    <w:rsid w:val="00542E07"/>
    <w:rsid w:val="00545424"/>
    <w:rsid w:val="00554A7B"/>
    <w:rsid w:val="0055572C"/>
    <w:rsid w:val="0056106A"/>
    <w:rsid w:val="005720AE"/>
    <w:rsid w:val="00594D77"/>
    <w:rsid w:val="005969E4"/>
    <w:rsid w:val="005A06B7"/>
    <w:rsid w:val="005A1759"/>
    <w:rsid w:val="005A35A5"/>
    <w:rsid w:val="005A68A7"/>
    <w:rsid w:val="005D36AB"/>
    <w:rsid w:val="00617CC3"/>
    <w:rsid w:val="006377A6"/>
    <w:rsid w:val="00637A3D"/>
    <w:rsid w:val="006411EF"/>
    <w:rsid w:val="006748B8"/>
    <w:rsid w:val="006775C3"/>
    <w:rsid w:val="0069290A"/>
    <w:rsid w:val="0069775A"/>
    <w:rsid w:val="00697813"/>
    <w:rsid w:val="006A0AF0"/>
    <w:rsid w:val="006A3EE8"/>
    <w:rsid w:val="006A72BF"/>
    <w:rsid w:val="006B03F2"/>
    <w:rsid w:val="006B37DC"/>
    <w:rsid w:val="006B4F68"/>
    <w:rsid w:val="006C0592"/>
    <w:rsid w:val="006C272E"/>
    <w:rsid w:val="006C5479"/>
    <w:rsid w:val="006D13B5"/>
    <w:rsid w:val="006E12FF"/>
    <w:rsid w:val="006E607E"/>
    <w:rsid w:val="00706C5D"/>
    <w:rsid w:val="00723D6E"/>
    <w:rsid w:val="00732922"/>
    <w:rsid w:val="00750E35"/>
    <w:rsid w:val="0075162E"/>
    <w:rsid w:val="00754034"/>
    <w:rsid w:val="00756556"/>
    <w:rsid w:val="007618C4"/>
    <w:rsid w:val="00767980"/>
    <w:rsid w:val="00770B19"/>
    <w:rsid w:val="0077463F"/>
    <w:rsid w:val="007836EA"/>
    <w:rsid w:val="00784CDA"/>
    <w:rsid w:val="007906C4"/>
    <w:rsid w:val="007940EA"/>
    <w:rsid w:val="007967E8"/>
    <w:rsid w:val="007A2170"/>
    <w:rsid w:val="007A22BF"/>
    <w:rsid w:val="007A3323"/>
    <w:rsid w:val="007B72B8"/>
    <w:rsid w:val="007B7A58"/>
    <w:rsid w:val="007C21B5"/>
    <w:rsid w:val="007E4BD2"/>
    <w:rsid w:val="007F6C6F"/>
    <w:rsid w:val="00801393"/>
    <w:rsid w:val="00802F88"/>
    <w:rsid w:val="0081293E"/>
    <w:rsid w:val="00815465"/>
    <w:rsid w:val="00817E9A"/>
    <w:rsid w:val="008306BD"/>
    <w:rsid w:val="00831A80"/>
    <w:rsid w:val="00833743"/>
    <w:rsid w:val="008340A4"/>
    <w:rsid w:val="0087135F"/>
    <w:rsid w:val="00872D94"/>
    <w:rsid w:val="00880364"/>
    <w:rsid w:val="00891592"/>
    <w:rsid w:val="00891E9E"/>
    <w:rsid w:val="008A29EE"/>
    <w:rsid w:val="008A2F68"/>
    <w:rsid w:val="008B4FA6"/>
    <w:rsid w:val="008B5282"/>
    <w:rsid w:val="008B7C17"/>
    <w:rsid w:val="008C2D01"/>
    <w:rsid w:val="008C40E6"/>
    <w:rsid w:val="008D0F7A"/>
    <w:rsid w:val="008D572F"/>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155F"/>
    <w:rsid w:val="00954429"/>
    <w:rsid w:val="009563CE"/>
    <w:rsid w:val="00976328"/>
    <w:rsid w:val="0097680D"/>
    <w:rsid w:val="00982438"/>
    <w:rsid w:val="0098404C"/>
    <w:rsid w:val="00985283"/>
    <w:rsid w:val="00995992"/>
    <w:rsid w:val="009A03E5"/>
    <w:rsid w:val="009A0F3B"/>
    <w:rsid w:val="009A1BB4"/>
    <w:rsid w:val="009A2628"/>
    <w:rsid w:val="009A3200"/>
    <w:rsid w:val="009B0897"/>
    <w:rsid w:val="009B7BD9"/>
    <w:rsid w:val="009C7DD5"/>
    <w:rsid w:val="009E227D"/>
    <w:rsid w:val="009E5019"/>
    <w:rsid w:val="00A04F1B"/>
    <w:rsid w:val="00A0501B"/>
    <w:rsid w:val="00A14947"/>
    <w:rsid w:val="00A32A83"/>
    <w:rsid w:val="00A368DB"/>
    <w:rsid w:val="00A423AA"/>
    <w:rsid w:val="00A53EC6"/>
    <w:rsid w:val="00A55C0F"/>
    <w:rsid w:val="00A8713F"/>
    <w:rsid w:val="00A90BA1"/>
    <w:rsid w:val="00A94F11"/>
    <w:rsid w:val="00A97A9A"/>
    <w:rsid w:val="00AA0671"/>
    <w:rsid w:val="00AA2531"/>
    <w:rsid w:val="00AB1E09"/>
    <w:rsid w:val="00AB5330"/>
    <w:rsid w:val="00AB7747"/>
    <w:rsid w:val="00AC14CE"/>
    <w:rsid w:val="00AC2A56"/>
    <w:rsid w:val="00AD055E"/>
    <w:rsid w:val="00AD47A7"/>
    <w:rsid w:val="00AF0CBF"/>
    <w:rsid w:val="00AF257F"/>
    <w:rsid w:val="00AF33CF"/>
    <w:rsid w:val="00AF4D50"/>
    <w:rsid w:val="00AF6179"/>
    <w:rsid w:val="00B1295A"/>
    <w:rsid w:val="00B20A45"/>
    <w:rsid w:val="00B22C5C"/>
    <w:rsid w:val="00B24F30"/>
    <w:rsid w:val="00B31ABF"/>
    <w:rsid w:val="00B33BE3"/>
    <w:rsid w:val="00B53B5D"/>
    <w:rsid w:val="00B554CC"/>
    <w:rsid w:val="00B6055E"/>
    <w:rsid w:val="00B6317D"/>
    <w:rsid w:val="00B7723F"/>
    <w:rsid w:val="00B80534"/>
    <w:rsid w:val="00B8433C"/>
    <w:rsid w:val="00B87491"/>
    <w:rsid w:val="00BA29E9"/>
    <w:rsid w:val="00BA7142"/>
    <w:rsid w:val="00BB237C"/>
    <w:rsid w:val="00BB41A3"/>
    <w:rsid w:val="00BC32DC"/>
    <w:rsid w:val="00BC35B6"/>
    <w:rsid w:val="00BD1B51"/>
    <w:rsid w:val="00BD4596"/>
    <w:rsid w:val="00BE1405"/>
    <w:rsid w:val="00BE312D"/>
    <w:rsid w:val="00BF1C20"/>
    <w:rsid w:val="00C10578"/>
    <w:rsid w:val="00C135BC"/>
    <w:rsid w:val="00C15C95"/>
    <w:rsid w:val="00C2596A"/>
    <w:rsid w:val="00C27537"/>
    <w:rsid w:val="00C328FE"/>
    <w:rsid w:val="00C33507"/>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B44AA"/>
    <w:rsid w:val="00CC489B"/>
    <w:rsid w:val="00CD2BCD"/>
    <w:rsid w:val="00CD3A4C"/>
    <w:rsid w:val="00CE10E9"/>
    <w:rsid w:val="00CE2910"/>
    <w:rsid w:val="00CE5393"/>
    <w:rsid w:val="00CF36BE"/>
    <w:rsid w:val="00CF6000"/>
    <w:rsid w:val="00D003F3"/>
    <w:rsid w:val="00D0364F"/>
    <w:rsid w:val="00D06834"/>
    <w:rsid w:val="00D308ED"/>
    <w:rsid w:val="00D36D86"/>
    <w:rsid w:val="00D428AA"/>
    <w:rsid w:val="00D50A34"/>
    <w:rsid w:val="00D53EFA"/>
    <w:rsid w:val="00D94A7C"/>
    <w:rsid w:val="00D95896"/>
    <w:rsid w:val="00D973E2"/>
    <w:rsid w:val="00DB2983"/>
    <w:rsid w:val="00DC1257"/>
    <w:rsid w:val="00DC3DC0"/>
    <w:rsid w:val="00DC5B2B"/>
    <w:rsid w:val="00DD318D"/>
    <w:rsid w:val="00DF2E12"/>
    <w:rsid w:val="00DF514A"/>
    <w:rsid w:val="00DF6690"/>
    <w:rsid w:val="00DF6804"/>
    <w:rsid w:val="00E0358D"/>
    <w:rsid w:val="00E04323"/>
    <w:rsid w:val="00E070A2"/>
    <w:rsid w:val="00E2656A"/>
    <w:rsid w:val="00E412D0"/>
    <w:rsid w:val="00E56322"/>
    <w:rsid w:val="00E60982"/>
    <w:rsid w:val="00E62C62"/>
    <w:rsid w:val="00E654C1"/>
    <w:rsid w:val="00E65D97"/>
    <w:rsid w:val="00E72A5A"/>
    <w:rsid w:val="00E73354"/>
    <w:rsid w:val="00E866AD"/>
    <w:rsid w:val="00E9242D"/>
    <w:rsid w:val="00EB5255"/>
    <w:rsid w:val="00EB5C47"/>
    <w:rsid w:val="00ED0639"/>
    <w:rsid w:val="00EF4755"/>
    <w:rsid w:val="00EF7135"/>
    <w:rsid w:val="00F027DB"/>
    <w:rsid w:val="00F14A7A"/>
    <w:rsid w:val="00F22985"/>
    <w:rsid w:val="00F30C23"/>
    <w:rsid w:val="00F3383E"/>
    <w:rsid w:val="00F465A7"/>
    <w:rsid w:val="00F50B7C"/>
    <w:rsid w:val="00F550E6"/>
    <w:rsid w:val="00F74345"/>
    <w:rsid w:val="00F80A0A"/>
    <w:rsid w:val="00F82B19"/>
    <w:rsid w:val="00F9212D"/>
    <w:rsid w:val="00F965DA"/>
    <w:rsid w:val="00FA406A"/>
    <w:rsid w:val="00FB503A"/>
    <w:rsid w:val="00FB516C"/>
    <w:rsid w:val="00FC2BA6"/>
    <w:rsid w:val="00FD0236"/>
    <w:rsid w:val="00FD18F4"/>
    <w:rsid w:val="00FD54DB"/>
    <w:rsid w:val="00FD619F"/>
    <w:rsid w:val="01046FFD"/>
    <w:rsid w:val="011073D7"/>
    <w:rsid w:val="011116BD"/>
    <w:rsid w:val="011714FB"/>
    <w:rsid w:val="011B7373"/>
    <w:rsid w:val="01235E37"/>
    <w:rsid w:val="01276DC9"/>
    <w:rsid w:val="01290F7E"/>
    <w:rsid w:val="013C06BC"/>
    <w:rsid w:val="01466B21"/>
    <w:rsid w:val="01535D8F"/>
    <w:rsid w:val="015829ED"/>
    <w:rsid w:val="015D1E09"/>
    <w:rsid w:val="017E3647"/>
    <w:rsid w:val="01803335"/>
    <w:rsid w:val="018067FB"/>
    <w:rsid w:val="019A6F05"/>
    <w:rsid w:val="019D115B"/>
    <w:rsid w:val="01A80409"/>
    <w:rsid w:val="01AB4418"/>
    <w:rsid w:val="01AD1642"/>
    <w:rsid w:val="01B70E77"/>
    <w:rsid w:val="01B933FE"/>
    <w:rsid w:val="01C00AC4"/>
    <w:rsid w:val="01D95F0B"/>
    <w:rsid w:val="01DD41C2"/>
    <w:rsid w:val="01F74D17"/>
    <w:rsid w:val="01FC403D"/>
    <w:rsid w:val="020F67FB"/>
    <w:rsid w:val="02163F7B"/>
    <w:rsid w:val="022045C5"/>
    <w:rsid w:val="02364256"/>
    <w:rsid w:val="023D4F6A"/>
    <w:rsid w:val="024C13BA"/>
    <w:rsid w:val="02505CB4"/>
    <w:rsid w:val="025E43B6"/>
    <w:rsid w:val="025F342C"/>
    <w:rsid w:val="02677DC0"/>
    <w:rsid w:val="02697903"/>
    <w:rsid w:val="027042B9"/>
    <w:rsid w:val="027A7FFE"/>
    <w:rsid w:val="027E2B70"/>
    <w:rsid w:val="02875E5C"/>
    <w:rsid w:val="029046F4"/>
    <w:rsid w:val="02AF0023"/>
    <w:rsid w:val="02BA5DAD"/>
    <w:rsid w:val="02BB7D5D"/>
    <w:rsid w:val="02BF38C3"/>
    <w:rsid w:val="02C61501"/>
    <w:rsid w:val="02D33149"/>
    <w:rsid w:val="02EB3506"/>
    <w:rsid w:val="02ED79C5"/>
    <w:rsid w:val="02F24BAC"/>
    <w:rsid w:val="02F96569"/>
    <w:rsid w:val="0305402C"/>
    <w:rsid w:val="03204B80"/>
    <w:rsid w:val="034F3588"/>
    <w:rsid w:val="03505558"/>
    <w:rsid w:val="036A75EE"/>
    <w:rsid w:val="036D1E89"/>
    <w:rsid w:val="037705ED"/>
    <w:rsid w:val="037F3418"/>
    <w:rsid w:val="03BD2D21"/>
    <w:rsid w:val="03C10CDD"/>
    <w:rsid w:val="03C355AF"/>
    <w:rsid w:val="03DD4247"/>
    <w:rsid w:val="03EA7B21"/>
    <w:rsid w:val="03F4413D"/>
    <w:rsid w:val="041A2058"/>
    <w:rsid w:val="043324F7"/>
    <w:rsid w:val="04354091"/>
    <w:rsid w:val="043B4028"/>
    <w:rsid w:val="043B676F"/>
    <w:rsid w:val="04777ABE"/>
    <w:rsid w:val="04780A03"/>
    <w:rsid w:val="048C33CF"/>
    <w:rsid w:val="048F57D8"/>
    <w:rsid w:val="049732FC"/>
    <w:rsid w:val="04AF05BA"/>
    <w:rsid w:val="04BB4839"/>
    <w:rsid w:val="04BC76BD"/>
    <w:rsid w:val="04C47BFE"/>
    <w:rsid w:val="04CE277A"/>
    <w:rsid w:val="04CE570C"/>
    <w:rsid w:val="04D36877"/>
    <w:rsid w:val="04E57952"/>
    <w:rsid w:val="04E952F3"/>
    <w:rsid w:val="05191353"/>
    <w:rsid w:val="051B62B8"/>
    <w:rsid w:val="05207770"/>
    <w:rsid w:val="052B2AB2"/>
    <w:rsid w:val="053E40BB"/>
    <w:rsid w:val="05404F0F"/>
    <w:rsid w:val="055147D9"/>
    <w:rsid w:val="05613232"/>
    <w:rsid w:val="05615641"/>
    <w:rsid w:val="057D2BDD"/>
    <w:rsid w:val="05846253"/>
    <w:rsid w:val="05961E7C"/>
    <w:rsid w:val="05B85507"/>
    <w:rsid w:val="05BF6A9D"/>
    <w:rsid w:val="05D36E18"/>
    <w:rsid w:val="05D9797A"/>
    <w:rsid w:val="05DA085B"/>
    <w:rsid w:val="05E41A72"/>
    <w:rsid w:val="05F83EAE"/>
    <w:rsid w:val="060A718D"/>
    <w:rsid w:val="060B7A64"/>
    <w:rsid w:val="060E6AAE"/>
    <w:rsid w:val="0614531B"/>
    <w:rsid w:val="06175B96"/>
    <w:rsid w:val="061E3D49"/>
    <w:rsid w:val="061F1BA1"/>
    <w:rsid w:val="06204D6F"/>
    <w:rsid w:val="06346990"/>
    <w:rsid w:val="063A2C9B"/>
    <w:rsid w:val="063E7D85"/>
    <w:rsid w:val="066A2759"/>
    <w:rsid w:val="066C5C8F"/>
    <w:rsid w:val="068A19E8"/>
    <w:rsid w:val="069A035E"/>
    <w:rsid w:val="06A13A7D"/>
    <w:rsid w:val="06A97BE2"/>
    <w:rsid w:val="06BD4825"/>
    <w:rsid w:val="06CC764A"/>
    <w:rsid w:val="06DA5193"/>
    <w:rsid w:val="06DC0B5C"/>
    <w:rsid w:val="070A2B11"/>
    <w:rsid w:val="070E744F"/>
    <w:rsid w:val="070F467B"/>
    <w:rsid w:val="07142B65"/>
    <w:rsid w:val="071614F3"/>
    <w:rsid w:val="07293586"/>
    <w:rsid w:val="07295285"/>
    <w:rsid w:val="07382658"/>
    <w:rsid w:val="073A3C3A"/>
    <w:rsid w:val="073E600C"/>
    <w:rsid w:val="075A361A"/>
    <w:rsid w:val="07636392"/>
    <w:rsid w:val="07734A65"/>
    <w:rsid w:val="07770C56"/>
    <w:rsid w:val="07B26B97"/>
    <w:rsid w:val="07B668ED"/>
    <w:rsid w:val="07CC27B2"/>
    <w:rsid w:val="07D0374E"/>
    <w:rsid w:val="07D653C6"/>
    <w:rsid w:val="07ED2FBA"/>
    <w:rsid w:val="081865FC"/>
    <w:rsid w:val="0821435D"/>
    <w:rsid w:val="082A74C0"/>
    <w:rsid w:val="08382A69"/>
    <w:rsid w:val="083D2E8A"/>
    <w:rsid w:val="08527B36"/>
    <w:rsid w:val="085F5129"/>
    <w:rsid w:val="086C0A19"/>
    <w:rsid w:val="087E269A"/>
    <w:rsid w:val="089E1016"/>
    <w:rsid w:val="08AE00F1"/>
    <w:rsid w:val="08B74274"/>
    <w:rsid w:val="08BD0FB2"/>
    <w:rsid w:val="08F23074"/>
    <w:rsid w:val="09012917"/>
    <w:rsid w:val="090223EB"/>
    <w:rsid w:val="09080FAE"/>
    <w:rsid w:val="090E34D8"/>
    <w:rsid w:val="09130A15"/>
    <w:rsid w:val="09193BF9"/>
    <w:rsid w:val="091C7CA0"/>
    <w:rsid w:val="092217DD"/>
    <w:rsid w:val="093661CE"/>
    <w:rsid w:val="093A7294"/>
    <w:rsid w:val="093B5A7A"/>
    <w:rsid w:val="09404ADB"/>
    <w:rsid w:val="09487B84"/>
    <w:rsid w:val="09521C1D"/>
    <w:rsid w:val="095435F3"/>
    <w:rsid w:val="095B72FF"/>
    <w:rsid w:val="096A04BC"/>
    <w:rsid w:val="096C19AA"/>
    <w:rsid w:val="096C7D50"/>
    <w:rsid w:val="0976550C"/>
    <w:rsid w:val="097A7ABD"/>
    <w:rsid w:val="09813F50"/>
    <w:rsid w:val="09842D22"/>
    <w:rsid w:val="09857B92"/>
    <w:rsid w:val="0988084D"/>
    <w:rsid w:val="099C7299"/>
    <w:rsid w:val="09A434A3"/>
    <w:rsid w:val="09AC6DDC"/>
    <w:rsid w:val="09B316A9"/>
    <w:rsid w:val="09BE1239"/>
    <w:rsid w:val="09C3085A"/>
    <w:rsid w:val="09C333A5"/>
    <w:rsid w:val="09C34CDE"/>
    <w:rsid w:val="09D24107"/>
    <w:rsid w:val="09D61A33"/>
    <w:rsid w:val="09DE097E"/>
    <w:rsid w:val="09E3510C"/>
    <w:rsid w:val="09E53082"/>
    <w:rsid w:val="09EC0020"/>
    <w:rsid w:val="09F75AC8"/>
    <w:rsid w:val="09FD33CC"/>
    <w:rsid w:val="09FF0EFE"/>
    <w:rsid w:val="0A1018A6"/>
    <w:rsid w:val="0A232253"/>
    <w:rsid w:val="0A263993"/>
    <w:rsid w:val="0A281784"/>
    <w:rsid w:val="0A284921"/>
    <w:rsid w:val="0A29401F"/>
    <w:rsid w:val="0A2D3AC2"/>
    <w:rsid w:val="0A3D172D"/>
    <w:rsid w:val="0A501322"/>
    <w:rsid w:val="0A726EFC"/>
    <w:rsid w:val="0A73514E"/>
    <w:rsid w:val="0A8408B9"/>
    <w:rsid w:val="0A8E13F2"/>
    <w:rsid w:val="0AA64F1E"/>
    <w:rsid w:val="0AA755DF"/>
    <w:rsid w:val="0AB9467E"/>
    <w:rsid w:val="0ACB0111"/>
    <w:rsid w:val="0AD456B3"/>
    <w:rsid w:val="0ADE7F4E"/>
    <w:rsid w:val="0AE06F81"/>
    <w:rsid w:val="0AEB545F"/>
    <w:rsid w:val="0AEB7CEC"/>
    <w:rsid w:val="0B0C5100"/>
    <w:rsid w:val="0B120D44"/>
    <w:rsid w:val="0B1922F0"/>
    <w:rsid w:val="0B2D7DE5"/>
    <w:rsid w:val="0B3762EF"/>
    <w:rsid w:val="0B3B3B71"/>
    <w:rsid w:val="0B3D065E"/>
    <w:rsid w:val="0B6B4CF4"/>
    <w:rsid w:val="0B6E2FCA"/>
    <w:rsid w:val="0B7F7B23"/>
    <w:rsid w:val="0B800A36"/>
    <w:rsid w:val="0B815649"/>
    <w:rsid w:val="0B825B94"/>
    <w:rsid w:val="0B8723C9"/>
    <w:rsid w:val="0B887510"/>
    <w:rsid w:val="0B8C2428"/>
    <w:rsid w:val="0B913922"/>
    <w:rsid w:val="0BA006B7"/>
    <w:rsid w:val="0BAB7D4D"/>
    <w:rsid w:val="0BB20B2E"/>
    <w:rsid w:val="0BC750EB"/>
    <w:rsid w:val="0BD015D5"/>
    <w:rsid w:val="0BD15B5B"/>
    <w:rsid w:val="0BD27BF6"/>
    <w:rsid w:val="0BD50295"/>
    <w:rsid w:val="0BD81E2F"/>
    <w:rsid w:val="0BD87233"/>
    <w:rsid w:val="0BD92B22"/>
    <w:rsid w:val="0BE010A6"/>
    <w:rsid w:val="0BEA1F27"/>
    <w:rsid w:val="0BF24799"/>
    <w:rsid w:val="0BFB62F2"/>
    <w:rsid w:val="0BFC2B79"/>
    <w:rsid w:val="0BFD58C7"/>
    <w:rsid w:val="0C1B686C"/>
    <w:rsid w:val="0C256993"/>
    <w:rsid w:val="0C2D26E3"/>
    <w:rsid w:val="0C3A3A1C"/>
    <w:rsid w:val="0C3B3C7D"/>
    <w:rsid w:val="0C4044B6"/>
    <w:rsid w:val="0C66481B"/>
    <w:rsid w:val="0C7D205E"/>
    <w:rsid w:val="0C954FDC"/>
    <w:rsid w:val="0C990000"/>
    <w:rsid w:val="0CAB2EAE"/>
    <w:rsid w:val="0CB04D84"/>
    <w:rsid w:val="0CD05852"/>
    <w:rsid w:val="0CEA3C33"/>
    <w:rsid w:val="0CF61765"/>
    <w:rsid w:val="0D050FEF"/>
    <w:rsid w:val="0D0A2A62"/>
    <w:rsid w:val="0D1622A5"/>
    <w:rsid w:val="0D1C6C0F"/>
    <w:rsid w:val="0D263FCC"/>
    <w:rsid w:val="0D274CB2"/>
    <w:rsid w:val="0D3C3F10"/>
    <w:rsid w:val="0D5E4993"/>
    <w:rsid w:val="0D621409"/>
    <w:rsid w:val="0D621C7D"/>
    <w:rsid w:val="0D6B620C"/>
    <w:rsid w:val="0D6C6BD5"/>
    <w:rsid w:val="0D785514"/>
    <w:rsid w:val="0D824B73"/>
    <w:rsid w:val="0D92679D"/>
    <w:rsid w:val="0D9603A0"/>
    <w:rsid w:val="0D9E1A87"/>
    <w:rsid w:val="0DA10A73"/>
    <w:rsid w:val="0DA754BC"/>
    <w:rsid w:val="0DAC089E"/>
    <w:rsid w:val="0DB85A96"/>
    <w:rsid w:val="0DB92586"/>
    <w:rsid w:val="0DBA4CD4"/>
    <w:rsid w:val="0DBF4B4E"/>
    <w:rsid w:val="0DC711D1"/>
    <w:rsid w:val="0DCD3EDB"/>
    <w:rsid w:val="0DD20ED1"/>
    <w:rsid w:val="0DDA54E4"/>
    <w:rsid w:val="0DE47E7B"/>
    <w:rsid w:val="0E0103A9"/>
    <w:rsid w:val="0E013E37"/>
    <w:rsid w:val="0E022A37"/>
    <w:rsid w:val="0E025CAF"/>
    <w:rsid w:val="0E100E36"/>
    <w:rsid w:val="0E1A190D"/>
    <w:rsid w:val="0E377A47"/>
    <w:rsid w:val="0E5D3E04"/>
    <w:rsid w:val="0E623FEC"/>
    <w:rsid w:val="0E73034D"/>
    <w:rsid w:val="0E770527"/>
    <w:rsid w:val="0E813BB2"/>
    <w:rsid w:val="0E9F0618"/>
    <w:rsid w:val="0EB71706"/>
    <w:rsid w:val="0EC33BBF"/>
    <w:rsid w:val="0ECC61C2"/>
    <w:rsid w:val="0ECE484B"/>
    <w:rsid w:val="0EEF3BF5"/>
    <w:rsid w:val="0EF66F23"/>
    <w:rsid w:val="0EF84ED4"/>
    <w:rsid w:val="0F0F3F9D"/>
    <w:rsid w:val="0F13775A"/>
    <w:rsid w:val="0F174090"/>
    <w:rsid w:val="0F232D4A"/>
    <w:rsid w:val="0F28752E"/>
    <w:rsid w:val="0F2E3D3A"/>
    <w:rsid w:val="0F3B4BB1"/>
    <w:rsid w:val="0F3C028F"/>
    <w:rsid w:val="0F447152"/>
    <w:rsid w:val="0F572266"/>
    <w:rsid w:val="0F5F45FE"/>
    <w:rsid w:val="0F5F67AF"/>
    <w:rsid w:val="0F675607"/>
    <w:rsid w:val="0F69442D"/>
    <w:rsid w:val="0F7940F6"/>
    <w:rsid w:val="0F7E2314"/>
    <w:rsid w:val="0F8917D1"/>
    <w:rsid w:val="0F8E4806"/>
    <w:rsid w:val="0F9A112B"/>
    <w:rsid w:val="0FA36692"/>
    <w:rsid w:val="0FA64D6C"/>
    <w:rsid w:val="0FA72B05"/>
    <w:rsid w:val="0FA86E22"/>
    <w:rsid w:val="0FA9736F"/>
    <w:rsid w:val="0FBF21B8"/>
    <w:rsid w:val="0FCC5E52"/>
    <w:rsid w:val="0FCE239C"/>
    <w:rsid w:val="0FD05314"/>
    <w:rsid w:val="0FDE6CCC"/>
    <w:rsid w:val="0FE41ECC"/>
    <w:rsid w:val="0FF511FF"/>
    <w:rsid w:val="10095EDA"/>
    <w:rsid w:val="10112A78"/>
    <w:rsid w:val="101532B4"/>
    <w:rsid w:val="1018701B"/>
    <w:rsid w:val="101B4131"/>
    <w:rsid w:val="10351F7D"/>
    <w:rsid w:val="10353CB2"/>
    <w:rsid w:val="103E49BC"/>
    <w:rsid w:val="104049F0"/>
    <w:rsid w:val="10417C47"/>
    <w:rsid w:val="10434F2D"/>
    <w:rsid w:val="104430E9"/>
    <w:rsid w:val="104578F0"/>
    <w:rsid w:val="104A46D0"/>
    <w:rsid w:val="104D06B9"/>
    <w:rsid w:val="10551478"/>
    <w:rsid w:val="105E2D28"/>
    <w:rsid w:val="106D2F64"/>
    <w:rsid w:val="10753F9C"/>
    <w:rsid w:val="108E4903"/>
    <w:rsid w:val="10B63710"/>
    <w:rsid w:val="10C627D2"/>
    <w:rsid w:val="10C714BF"/>
    <w:rsid w:val="10CA3AC0"/>
    <w:rsid w:val="10CE6334"/>
    <w:rsid w:val="10D57692"/>
    <w:rsid w:val="10EA3C90"/>
    <w:rsid w:val="10ED172F"/>
    <w:rsid w:val="10F05815"/>
    <w:rsid w:val="10F10820"/>
    <w:rsid w:val="10F70564"/>
    <w:rsid w:val="10F84CB7"/>
    <w:rsid w:val="110F7BA2"/>
    <w:rsid w:val="111575D2"/>
    <w:rsid w:val="111C2F7A"/>
    <w:rsid w:val="11251CFF"/>
    <w:rsid w:val="112A0B78"/>
    <w:rsid w:val="112B3607"/>
    <w:rsid w:val="112D4AA1"/>
    <w:rsid w:val="11381F20"/>
    <w:rsid w:val="113844B6"/>
    <w:rsid w:val="113D6D40"/>
    <w:rsid w:val="115B044C"/>
    <w:rsid w:val="11644DFC"/>
    <w:rsid w:val="11665CA1"/>
    <w:rsid w:val="116A3CF0"/>
    <w:rsid w:val="11720608"/>
    <w:rsid w:val="117347E5"/>
    <w:rsid w:val="1175507A"/>
    <w:rsid w:val="117A7867"/>
    <w:rsid w:val="118406AF"/>
    <w:rsid w:val="118E6257"/>
    <w:rsid w:val="119133DC"/>
    <w:rsid w:val="11C2737F"/>
    <w:rsid w:val="11CB4850"/>
    <w:rsid w:val="11CC5CC0"/>
    <w:rsid w:val="11DF5207"/>
    <w:rsid w:val="11E6072B"/>
    <w:rsid w:val="11F84458"/>
    <w:rsid w:val="12047CDD"/>
    <w:rsid w:val="121577DD"/>
    <w:rsid w:val="122D48B1"/>
    <w:rsid w:val="123F3CC6"/>
    <w:rsid w:val="12455F29"/>
    <w:rsid w:val="12491E74"/>
    <w:rsid w:val="1250500B"/>
    <w:rsid w:val="12767587"/>
    <w:rsid w:val="127D589D"/>
    <w:rsid w:val="12921A27"/>
    <w:rsid w:val="12A473D6"/>
    <w:rsid w:val="12AE45B0"/>
    <w:rsid w:val="12CF0956"/>
    <w:rsid w:val="12D3279A"/>
    <w:rsid w:val="12DB5F87"/>
    <w:rsid w:val="12E65C30"/>
    <w:rsid w:val="12ED0533"/>
    <w:rsid w:val="12F24523"/>
    <w:rsid w:val="1304327F"/>
    <w:rsid w:val="130A061A"/>
    <w:rsid w:val="13127F45"/>
    <w:rsid w:val="13260F8C"/>
    <w:rsid w:val="1327103C"/>
    <w:rsid w:val="132C189A"/>
    <w:rsid w:val="1332026F"/>
    <w:rsid w:val="134C4D5C"/>
    <w:rsid w:val="134E184B"/>
    <w:rsid w:val="13545E37"/>
    <w:rsid w:val="137158AB"/>
    <w:rsid w:val="13817D16"/>
    <w:rsid w:val="138354A5"/>
    <w:rsid w:val="13942F98"/>
    <w:rsid w:val="13951726"/>
    <w:rsid w:val="13984B99"/>
    <w:rsid w:val="139C018A"/>
    <w:rsid w:val="139D0587"/>
    <w:rsid w:val="13A61552"/>
    <w:rsid w:val="13B47EBF"/>
    <w:rsid w:val="13BE598A"/>
    <w:rsid w:val="13DC1FB6"/>
    <w:rsid w:val="13F1736C"/>
    <w:rsid w:val="13F7737A"/>
    <w:rsid w:val="13FA243C"/>
    <w:rsid w:val="13FD3CDB"/>
    <w:rsid w:val="13FE695B"/>
    <w:rsid w:val="13FF7B1A"/>
    <w:rsid w:val="14000461"/>
    <w:rsid w:val="14036DAA"/>
    <w:rsid w:val="142666E0"/>
    <w:rsid w:val="14396509"/>
    <w:rsid w:val="144203DE"/>
    <w:rsid w:val="14513191"/>
    <w:rsid w:val="14557301"/>
    <w:rsid w:val="145B160F"/>
    <w:rsid w:val="145E49C9"/>
    <w:rsid w:val="148B38B7"/>
    <w:rsid w:val="148C61A2"/>
    <w:rsid w:val="148E48BE"/>
    <w:rsid w:val="149A0483"/>
    <w:rsid w:val="14A43114"/>
    <w:rsid w:val="14A65ABE"/>
    <w:rsid w:val="14A93472"/>
    <w:rsid w:val="14B22FDB"/>
    <w:rsid w:val="14BF4386"/>
    <w:rsid w:val="14C55FDA"/>
    <w:rsid w:val="14C8761C"/>
    <w:rsid w:val="14D82BDE"/>
    <w:rsid w:val="14DD2C3C"/>
    <w:rsid w:val="14F6200A"/>
    <w:rsid w:val="151439D2"/>
    <w:rsid w:val="151D44A5"/>
    <w:rsid w:val="152A0F32"/>
    <w:rsid w:val="152E1326"/>
    <w:rsid w:val="15383FC8"/>
    <w:rsid w:val="153B4593"/>
    <w:rsid w:val="15457792"/>
    <w:rsid w:val="15457BED"/>
    <w:rsid w:val="15495E47"/>
    <w:rsid w:val="15497051"/>
    <w:rsid w:val="154D0390"/>
    <w:rsid w:val="15544A4C"/>
    <w:rsid w:val="15622F1E"/>
    <w:rsid w:val="156812ED"/>
    <w:rsid w:val="156A6351"/>
    <w:rsid w:val="15797590"/>
    <w:rsid w:val="15881B93"/>
    <w:rsid w:val="159149FE"/>
    <w:rsid w:val="15A30C1E"/>
    <w:rsid w:val="15B611E5"/>
    <w:rsid w:val="15C10431"/>
    <w:rsid w:val="15C135A6"/>
    <w:rsid w:val="15E83086"/>
    <w:rsid w:val="15EA26A6"/>
    <w:rsid w:val="15EF1703"/>
    <w:rsid w:val="15FF151E"/>
    <w:rsid w:val="1607070C"/>
    <w:rsid w:val="16087E1D"/>
    <w:rsid w:val="160F7AB4"/>
    <w:rsid w:val="16147232"/>
    <w:rsid w:val="1615537A"/>
    <w:rsid w:val="161A2E25"/>
    <w:rsid w:val="162741D4"/>
    <w:rsid w:val="163761E4"/>
    <w:rsid w:val="16382B13"/>
    <w:rsid w:val="16487821"/>
    <w:rsid w:val="16541E81"/>
    <w:rsid w:val="1657077D"/>
    <w:rsid w:val="165C5811"/>
    <w:rsid w:val="166C01D4"/>
    <w:rsid w:val="167142F4"/>
    <w:rsid w:val="1677786C"/>
    <w:rsid w:val="167950C1"/>
    <w:rsid w:val="167D3BF3"/>
    <w:rsid w:val="168522FD"/>
    <w:rsid w:val="1688296A"/>
    <w:rsid w:val="16A038CC"/>
    <w:rsid w:val="16A37F4C"/>
    <w:rsid w:val="16A612D2"/>
    <w:rsid w:val="16A70509"/>
    <w:rsid w:val="16B73EFE"/>
    <w:rsid w:val="16B85EF0"/>
    <w:rsid w:val="16BF6CBB"/>
    <w:rsid w:val="16C531CB"/>
    <w:rsid w:val="16C62E8D"/>
    <w:rsid w:val="16CE3FD4"/>
    <w:rsid w:val="16CF4942"/>
    <w:rsid w:val="16D355F2"/>
    <w:rsid w:val="16DE4C34"/>
    <w:rsid w:val="16E27238"/>
    <w:rsid w:val="16FC1200"/>
    <w:rsid w:val="171E6442"/>
    <w:rsid w:val="17206267"/>
    <w:rsid w:val="172F485A"/>
    <w:rsid w:val="1735410C"/>
    <w:rsid w:val="1739750B"/>
    <w:rsid w:val="173D5BC2"/>
    <w:rsid w:val="17425168"/>
    <w:rsid w:val="175E1DE2"/>
    <w:rsid w:val="1764070A"/>
    <w:rsid w:val="176505D8"/>
    <w:rsid w:val="176D29FB"/>
    <w:rsid w:val="17701D14"/>
    <w:rsid w:val="17735226"/>
    <w:rsid w:val="1776002C"/>
    <w:rsid w:val="17772274"/>
    <w:rsid w:val="17A50638"/>
    <w:rsid w:val="17B1375A"/>
    <w:rsid w:val="17C16B92"/>
    <w:rsid w:val="17D30E04"/>
    <w:rsid w:val="17E04544"/>
    <w:rsid w:val="17EE0BB3"/>
    <w:rsid w:val="17FD1BB2"/>
    <w:rsid w:val="1803290E"/>
    <w:rsid w:val="180933A5"/>
    <w:rsid w:val="18096E37"/>
    <w:rsid w:val="180E00E8"/>
    <w:rsid w:val="18267CA4"/>
    <w:rsid w:val="18362F1D"/>
    <w:rsid w:val="1840688C"/>
    <w:rsid w:val="184F6023"/>
    <w:rsid w:val="18817097"/>
    <w:rsid w:val="1882233D"/>
    <w:rsid w:val="189370E7"/>
    <w:rsid w:val="189F624C"/>
    <w:rsid w:val="18A256A4"/>
    <w:rsid w:val="18A455D1"/>
    <w:rsid w:val="18AB54C4"/>
    <w:rsid w:val="18B14DC7"/>
    <w:rsid w:val="18E3708F"/>
    <w:rsid w:val="18E606CF"/>
    <w:rsid w:val="18EB68AC"/>
    <w:rsid w:val="18F06E9E"/>
    <w:rsid w:val="1906684F"/>
    <w:rsid w:val="19121288"/>
    <w:rsid w:val="191509F0"/>
    <w:rsid w:val="192E6F07"/>
    <w:rsid w:val="19397AAF"/>
    <w:rsid w:val="194C43E4"/>
    <w:rsid w:val="195447FF"/>
    <w:rsid w:val="19566DAA"/>
    <w:rsid w:val="195A327A"/>
    <w:rsid w:val="19640B27"/>
    <w:rsid w:val="196547FC"/>
    <w:rsid w:val="196D545F"/>
    <w:rsid w:val="196E7660"/>
    <w:rsid w:val="19875DCD"/>
    <w:rsid w:val="198D2152"/>
    <w:rsid w:val="19940408"/>
    <w:rsid w:val="19944092"/>
    <w:rsid w:val="19AB39A3"/>
    <w:rsid w:val="19BC5474"/>
    <w:rsid w:val="19D27BE4"/>
    <w:rsid w:val="19DE22C0"/>
    <w:rsid w:val="19FA498C"/>
    <w:rsid w:val="1A0021B2"/>
    <w:rsid w:val="1A017FA4"/>
    <w:rsid w:val="1A0E2988"/>
    <w:rsid w:val="1A0F79E7"/>
    <w:rsid w:val="1A1C66C0"/>
    <w:rsid w:val="1A1D62FC"/>
    <w:rsid w:val="1A2353BB"/>
    <w:rsid w:val="1A257934"/>
    <w:rsid w:val="1A42393B"/>
    <w:rsid w:val="1A453CEE"/>
    <w:rsid w:val="1A5031A4"/>
    <w:rsid w:val="1A5506A3"/>
    <w:rsid w:val="1A5D5462"/>
    <w:rsid w:val="1A5D553D"/>
    <w:rsid w:val="1A5F5998"/>
    <w:rsid w:val="1A6310D2"/>
    <w:rsid w:val="1A777349"/>
    <w:rsid w:val="1A862D51"/>
    <w:rsid w:val="1A8B49AD"/>
    <w:rsid w:val="1A981C6C"/>
    <w:rsid w:val="1A9C69C7"/>
    <w:rsid w:val="1AAD45DE"/>
    <w:rsid w:val="1AB85266"/>
    <w:rsid w:val="1ABB1186"/>
    <w:rsid w:val="1AC65DBE"/>
    <w:rsid w:val="1ACC43C4"/>
    <w:rsid w:val="1AD10F75"/>
    <w:rsid w:val="1AE6371B"/>
    <w:rsid w:val="1AED1E97"/>
    <w:rsid w:val="1AFF4898"/>
    <w:rsid w:val="1B013CA3"/>
    <w:rsid w:val="1B035A42"/>
    <w:rsid w:val="1B046F80"/>
    <w:rsid w:val="1B16532C"/>
    <w:rsid w:val="1B285DA2"/>
    <w:rsid w:val="1B2E4176"/>
    <w:rsid w:val="1B3267B5"/>
    <w:rsid w:val="1B3C498F"/>
    <w:rsid w:val="1B40161D"/>
    <w:rsid w:val="1B441859"/>
    <w:rsid w:val="1B50088D"/>
    <w:rsid w:val="1B5216E8"/>
    <w:rsid w:val="1B6606B1"/>
    <w:rsid w:val="1B67154F"/>
    <w:rsid w:val="1B683DE0"/>
    <w:rsid w:val="1B6B1523"/>
    <w:rsid w:val="1B79458F"/>
    <w:rsid w:val="1B9F1AB4"/>
    <w:rsid w:val="1BA11F29"/>
    <w:rsid w:val="1BA5481B"/>
    <w:rsid w:val="1BB232BE"/>
    <w:rsid w:val="1BC5230F"/>
    <w:rsid w:val="1BC940AA"/>
    <w:rsid w:val="1BCB2870"/>
    <w:rsid w:val="1BD17BF9"/>
    <w:rsid w:val="1C021103"/>
    <w:rsid w:val="1C0A763D"/>
    <w:rsid w:val="1C135C1C"/>
    <w:rsid w:val="1C166EB7"/>
    <w:rsid w:val="1C2E55B9"/>
    <w:rsid w:val="1C3F662A"/>
    <w:rsid w:val="1C531CA1"/>
    <w:rsid w:val="1C534746"/>
    <w:rsid w:val="1C542158"/>
    <w:rsid w:val="1C5E7925"/>
    <w:rsid w:val="1C65171C"/>
    <w:rsid w:val="1C6734F6"/>
    <w:rsid w:val="1C6939D8"/>
    <w:rsid w:val="1C792A3D"/>
    <w:rsid w:val="1C857833"/>
    <w:rsid w:val="1C8D51CD"/>
    <w:rsid w:val="1C8D5F41"/>
    <w:rsid w:val="1C8E6478"/>
    <w:rsid w:val="1CC65A7A"/>
    <w:rsid w:val="1CE376EC"/>
    <w:rsid w:val="1CF94B85"/>
    <w:rsid w:val="1CFD070F"/>
    <w:rsid w:val="1CFF39F2"/>
    <w:rsid w:val="1D074CEC"/>
    <w:rsid w:val="1D164412"/>
    <w:rsid w:val="1D200AF4"/>
    <w:rsid w:val="1D270559"/>
    <w:rsid w:val="1D2C4818"/>
    <w:rsid w:val="1D34724E"/>
    <w:rsid w:val="1D3A5FA0"/>
    <w:rsid w:val="1D49350B"/>
    <w:rsid w:val="1D530615"/>
    <w:rsid w:val="1D594121"/>
    <w:rsid w:val="1D5F6196"/>
    <w:rsid w:val="1D60275D"/>
    <w:rsid w:val="1D6132A5"/>
    <w:rsid w:val="1D6632D9"/>
    <w:rsid w:val="1D7E531C"/>
    <w:rsid w:val="1D8E56D5"/>
    <w:rsid w:val="1D9C62FE"/>
    <w:rsid w:val="1DAE6D01"/>
    <w:rsid w:val="1DBC41D1"/>
    <w:rsid w:val="1DD501E3"/>
    <w:rsid w:val="1DEA10F1"/>
    <w:rsid w:val="1DEE15DC"/>
    <w:rsid w:val="1E1337DE"/>
    <w:rsid w:val="1E1C514F"/>
    <w:rsid w:val="1E262080"/>
    <w:rsid w:val="1E370C2F"/>
    <w:rsid w:val="1E3B3AC0"/>
    <w:rsid w:val="1E3C4842"/>
    <w:rsid w:val="1E483372"/>
    <w:rsid w:val="1E4A5B39"/>
    <w:rsid w:val="1E4D7894"/>
    <w:rsid w:val="1E7A43DA"/>
    <w:rsid w:val="1E7E49A7"/>
    <w:rsid w:val="1E89308B"/>
    <w:rsid w:val="1E8C3F14"/>
    <w:rsid w:val="1E9C3E39"/>
    <w:rsid w:val="1EAB6B53"/>
    <w:rsid w:val="1EB970A1"/>
    <w:rsid w:val="1EC20758"/>
    <w:rsid w:val="1EEC0E14"/>
    <w:rsid w:val="1EF93CC5"/>
    <w:rsid w:val="1F04156B"/>
    <w:rsid w:val="1F246556"/>
    <w:rsid w:val="1F282C41"/>
    <w:rsid w:val="1F36449C"/>
    <w:rsid w:val="1F3979FF"/>
    <w:rsid w:val="1F4C7C05"/>
    <w:rsid w:val="1F607F5D"/>
    <w:rsid w:val="1F623117"/>
    <w:rsid w:val="1F703945"/>
    <w:rsid w:val="1F7862C3"/>
    <w:rsid w:val="1F7903D6"/>
    <w:rsid w:val="1F8F3953"/>
    <w:rsid w:val="1FA428EE"/>
    <w:rsid w:val="1FA87676"/>
    <w:rsid w:val="1FB75686"/>
    <w:rsid w:val="1FBA6988"/>
    <w:rsid w:val="1FC54F2C"/>
    <w:rsid w:val="1FDE5B58"/>
    <w:rsid w:val="1FE7539E"/>
    <w:rsid w:val="1FED5F6A"/>
    <w:rsid w:val="200309C1"/>
    <w:rsid w:val="20112A64"/>
    <w:rsid w:val="201A5B99"/>
    <w:rsid w:val="201C39B3"/>
    <w:rsid w:val="204B25CF"/>
    <w:rsid w:val="204B2BE0"/>
    <w:rsid w:val="20577816"/>
    <w:rsid w:val="20671BE0"/>
    <w:rsid w:val="20751D38"/>
    <w:rsid w:val="2082617A"/>
    <w:rsid w:val="208320A8"/>
    <w:rsid w:val="208C5865"/>
    <w:rsid w:val="20901FC9"/>
    <w:rsid w:val="20953EBE"/>
    <w:rsid w:val="20963CB8"/>
    <w:rsid w:val="20973392"/>
    <w:rsid w:val="209A3575"/>
    <w:rsid w:val="20A51982"/>
    <w:rsid w:val="20A81A1B"/>
    <w:rsid w:val="20B07FB6"/>
    <w:rsid w:val="20B646FB"/>
    <w:rsid w:val="20BD3A99"/>
    <w:rsid w:val="20BE2F7E"/>
    <w:rsid w:val="20CC6F0F"/>
    <w:rsid w:val="20E854DB"/>
    <w:rsid w:val="20E9058E"/>
    <w:rsid w:val="20EC268D"/>
    <w:rsid w:val="20EE4768"/>
    <w:rsid w:val="20F866E5"/>
    <w:rsid w:val="21033FD8"/>
    <w:rsid w:val="2107047E"/>
    <w:rsid w:val="210E270B"/>
    <w:rsid w:val="2110661E"/>
    <w:rsid w:val="211A3BAD"/>
    <w:rsid w:val="211D75C1"/>
    <w:rsid w:val="21234A31"/>
    <w:rsid w:val="2127450B"/>
    <w:rsid w:val="21317C06"/>
    <w:rsid w:val="213B74B1"/>
    <w:rsid w:val="21451EF5"/>
    <w:rsid w:val="215A2310"/>
    <w:rsid w:val="216A5F16"/>
    <w:rsid w:val="218262A8"/>
    <w:rsid w:val="21983CBB"/>
    <w:rsid w:val="219B433F"/>
    <w:rsid w:val="219F28A6"/>
    <w:rsid w:val="219F7037"/>
    <w:rsid w:val="21C5052E"/>
    <w:rsid w:val="21C50795"/>
    <w:rsid w:val="21CE4818"/>
    <w:rsid w:val="21CF617A"/>
    <w:rsid w:val="21D423AB"/>
    <w:rsid w:val="21DB158F"/>
    <w:rsid w:val="21DD7EA6"/>
    <w:rsid w:val="21DE318A"/>
    <w:rsid w:val="21E00000"/>
    <w:rsid w:val="21E17438"/>
    <w:rsid w:val="21ED538F"/>
    <w:rsid w:val="21EF5B80"/>
    <w:rsid w:val="21F13B08"/>
    <w:rsid w:val="21F27B93"/>
    <w:rsid w:val="21FC0742"/>
    <w:rsid w:val="21FD08D3"/>
    <w:rsid w:val="2201221F"/>
    <w:rsid w:val="220D7D8E"/>
    <w:rsid w:val="220F411A"/>
    <w:rsid w:val="221B1162"/>
    <w:rsid w:val="22356F2A"/>
    <w:rsid w:val="22387DBB"/>
    <w:rsid w:val="223B0B30"/>
    <w:rsid w:val="2242148E"/>
    <w:rsid w:val="22473C82"/>
    <w:rsid w:val="22576990"/>
    <w:rsid w:val="226D425E"/>
    <w:rsid w:val="227E06DD"/>
    <w:rsid w:val="22CD72EB"/>
    <w:rsid w:val="22DD18A7"/>
    <w:rsid w:val="22E220F2"/>
    <w:rsid w:val="22F47480"/>
    <w:rsid w:val="23077A2C"/>
    <w:rsid w:val="2311481E"/>
    <w:rsid w:val="231F48B8"/>
    <w:rsid w:val="23240D44"/>
    <w:rsid w:val="232A20B5"/>
    <w:rsid w:val="232B1B53"/>
    <w:rsid w:val="23307ABC"/>
    <w:rsid w:val="23465D82"/>
    <w:rsid w:val="23675787"/>
    <w:rsid w:val="237405DA"/>
    <w:rsid w:val="23812CB9"/>
    <w:rsid w:val="23822169"/>
    <w:rsid w:val="238C1B36"/>
    <w:rsid w:val="23957715"/>
    <w:rsid w:val="23974E66"/>
    <w:rsid w:val="23993679"/>
    <w:rsid w:val="239B4A9D"/>
    <w:rsid w:val="239D2EFF"/>
    <w:rsid w:val="23B91501"/>
    <w:rsid w:val="23C52562"/>
    <w:rsid w:val="23CD5D7D"/>
    <w:rsid w:val="23CE6FA1"/>
    <w:rsid w:val="23DD6C47"/>
    <w:rsid w:val="23DE1C48"/>
    <w:rsid w:val="23E27859"/>
    <w:rsid w:val="23E3562A"/>
    <w:rsid w:val="23EB78FC"/>
    <w:rsid w:val="23F36911"/>
    <w:rsid w:val="24001953"/>
    <w:rsid w:val="240210CD"/>
    <w:rsid w:val="24021E33"/>
    <w:rsid w:val="241C5626"/>
    <w:rsid w:val="241D6502"/>
    <w:rsid w:val="2424727E"/>
    <w:rsid w:val="24344B09"/>
    <w:rsid w:val="2447728E"/>
    <w:rsid w:val="244A447E"/>
    <w:rsid w:val="24531D92"/>
    <w:rsid w:val="24692541"/>
    <w:rsid w:val="246925B1"/>
    <w:rsid w:val="246F4A8F"/>
    <w:rsid w:val="24703FCB"/>
    <w:rsid w:val="24770DC5"/>
    <w:rsid w:val="248276DA"/>
    <w:rsid w:val="24980EAC"/>
    <w:rsid w:val="24981CB4"/>
    <w:rsid w:val="249B2787"/>
    <w:rsid w:val="24B44889"/>
    <w:rsid w:val="24BF09F7"/>
    <w:rsid w:val="24C527CD"/>
    <w:rsid w:val="24C848FC"/>
    <w:rsid w:val="24D85969"/>
    <w:rsid w:val="24DB355B"/>
    <w:rsid w:val="24E1136B"/>
    <w:rsid w:val="24EB5441"/>
    <w:rsid w:val="24F04E11"/>
    <w:rsid w:val="24F12D19"/>
    <w:rsid w:val="250504C2"/>
    <w:rsid w:val="251E05F6"/>
    <w:rsid w:val="252052FF"/>
    <w:rsid w:val="252D53FE"/>
    <w:rsid w:val="25315477"/>
    <w:rsid w:val="253432D4"/>
    <w:rsid w:val="255671A0"/>
    <w:rsid w:val="2558271C"/>
    <w:rsid w:val="25775CE2"/>
    <w:rsid w:val="25820B9E"/>
    <w:rsid w:val="25865295"/>
    <w:rsid w:val="258F1753"/>
    <w:rsid w:val="259167EB"/>
    <w:rsid w:val="25925C9D"/>
    <w:rsid w:val="25933B26"/>
    <w:rsid w:val="259E4340"/>
    <w:rsid w:val="25A03A3E"/>
    <w:rsid w:val="25A749A6"/>
    <w:rsid w:val="25C41789"/>
    <w:rsid w:val="25EB0BBC"/>
    <w:rsid w:val="25EC2D81"/>
    <w:rsid w:val="25F42812"/>
    <w:rsid w:val="26112BE1"/>
    <w:rsid w:val="2628447E"/>
    <w:rsid w:val="262A6195"/>
    <w:rsid w:val="263E2887"/>
    <w:rsid w:val="2640192D"/>
    <w:rsid w:val="264469C0"/>
    <w:rsid w:val="26471B96"/>
    <w:rsid w:val="264B12BB"/>
    <w:rsid w:val="264E532A"/>
    <w:rsid w:val="26525B4A"/>
    <w:rsid w:val="26590BAD"/>
    <w:rsid w:val="265C31E8"/>
    <w:rsid w:val="266710A6"/>
    <w:rsid w:val="2685028B"/>
    <w:rsid w:val="268C7DD1"/>
    <w:rsid w:val="26990C87"/>
    <w:rsid w:val="269966CB"/>
    <w:rsid w:val="269E62E4"/>
    <w:rsid w:val="269F014D"/>
    <w:rsid w:val="26B2202C"/>
    <w:rsid w:val="26B52F25"/>
    <w:rsid w:val="26C519D6"/>
    <w:rsid w:val="26C762AA"/>
    <w:rsid w:val="26DD40FE"/>
    <w:rsid w:val="26E1386E"/>
    <w:rsid w:val="26E96EC8"/>
    <w:rsid w:val="26F62C24"/>
    <w:rsid w:val="26F72E25"/>
    <w:rsid w:val="270F2CE4"/>
    <w:rsid w:val="27125605"/>
    <w:rsid w:val="272B7F2F"/>
    <w:rsid w:val="272F55AD"/>
    <w:rsid w:val="273604C8"/>
    <w:rsid w:val="2746497C"/>
    <w:rsid w:val="27465428"/>
    <w:rsid w:val="275B0EAC"/>
    <w:rsid w:val="277057A2"/>
    <w:rsid w:val="27881F2E"/>
    <w:rsid w:val="278B579D"/>
    <w:rsid w:val="27A37558"/>
    <w:rsid w:val="27AE439F"/>
    <w:rsid w:val="27B95C11"/>
    <w:rsid w:val="27C21382"/>
    <w:rsid w:val="27D37238"/>
    <w:rsid w:val="27D868FE"/>
    <w:rsid w:val="27DC56B4"/>
    <w:rsid w:val="27E215CD"/>
    <w:rsid w:val="27E45582"/>
    <w:rsid w:val="27E51F89"/>
    <w:rsid w:val="27E61D63"/>
    <w:rsid w:val="27F9663D"/>
    <w:rsid w:val="28086978"/>
    <w:rsid w:val="28447D73"/>
    <w:rsid w:val="28584263"/>
    <w:rsid w:val="287513AB"/>
    <w:rsid w:val="28771584"/>
    <w:rsid w:val="28837A35"/>
    <w:rsid w:val="288B0474"/>
    <w:rsid w:val="289F673F"/>
    <w:rsid w:val="28B77AFE"/>
    <w:rsid w:val="28BF3F21"/>
    <w:rsid w:val="28CF57EE"/>
    <w:rsid w:val="28F113E6"/>
    <w:rsid w:val="28F72FB7"/>
    <w:rsid w:val="28F95878"/>
    <w:rsid w:val="29014126"/>
    <w:rsid w:val="29055B23"/>
    <w:rsid w:val="290A25B6"/>
    <w:rsid w:val="290A2CB9"/>
    <w:rsid w:val="29132841"/>
    <w:rsid w:val="29206EB8"/>
    <w:rsid w:val="2943566D"/>
    <w:rsid w:val="295167BB"/>
    <w:rsid w:val="29595666"/>
    <w:rsid w:val="295C75A0"/>
    <w:rsid w:val="296E61C0"/>
    <w:rsid w:val="297A205D"/>
    <w:rsid w:val="29822860"/>
    <w:rsid w:val="29874881"/>
    <w:rsid w:val="2994567F"/>
    <w:rsid w:val="29AF6D9C"/>
    <w:rsid w:val="29C110F1"/>
    <w:rsid w:val="29C56BF1"/>
    <w:rsid w:val="29CA6A53"/>
    <w:rsid w:val="29DA11C0"/>
    <w:rsid w:val="29E325E0"/>
    <w:rsid w:val="29FD282F"/>
    <w:rsid w:val="2A025B91"/>
    <w:rsid w:val="2A0865AD"/>
    <w:rsid w:val="2A452503"/>
    <w:rsid w:val="2A493872"/>
    <w:rsid w:val="2A564F1C"/>
    <w:rsid w:val="2A565159"/>
    <w:rsid w:val="2A721D54"/>
    <w:rsid w:val="2A7508C4"/>
    <w:rsid w:val="2A756D7C"/>
    <w:rsid w:val="2A7A52BB"/>
    <w:rsid w:val="2A7B4FE8"/>
    <w:rsid w:val="2A840A03"/>
    <w:rsid w:val="2A877F4E"/>
    <w:rsid w:val="2A916543"/>
    <w:rsid w:val="2A936ECC"/>
    <w:rsid w:val="2A963BD8"/>
    <w:rsid w:val="2AA2173D"/>
    <w:rsid w:val="2AAE5AB7"/>
    <w:rsid w:val="2ABE7B40"/>
    <w:rsid w:val="2AC35591"/>
    <w:rsid w:val="2ACC5D29"/>
    <w:rsid w:val="2AD223FF"/>
    <w:rsid w:val="2AEC0E01"/>
    <w:rsid w:val="2AFE23BA"/>
    <w:rsid w:val="2B0600F7"/>
    <w:rsid w:val="2B271311"/>
    <w:rsid w:val="2B284D44"/>
    <w:rsid w:val="2B4C75CA"/>
    <w:rsid w:val="2B557953"/>
    <w:rsid w:val="2B5E2F2B"/>
    <w:rsid w:val="2B5F2D11"/>
    <w:rsid w:val="2B704CAF"/>
    <w:rsid w:val="2B861BC3"/>
    <w:rsid w:val="2B937349"/>
    <w:rsid w:val="2B9C7EEA"/>
    <w:rsid w:val="2BA46F27"/>
    <w:rsid w:val="2BA936A8"/>
    <w:rsid w:val="2BB4516F"/>
    <w:rsid w:val="2BD5567E"/>
    <w:rsid w:val="2BDF617E"/>
    <w:rsid w:val="2BE5650B"/>
    <w:rsid w:val="2BEA7371"/>
    <w:rsid w:val="2BFC3EDF"/>
    <w:rsid w:val="2C050D87"/>
    <w:rsid w:val="2C091DB3"/>
    <w:rsid w:val="2C1B2173"/>
    <w:rsid w:val="2C315A5A"/>
    <w:rsid w:val="2C3B3E15"/>
    <w:rsid w:val="2C4B1C25"/>
    <w:rsid w:val="2C4D080C"/>
    <w:rsid w:val="2C4D17EE"/>
    <w:rsid w:val="2C4E5E17"/>
    <w:rsid w:val="2C6A341B"/>
    <w:rsid w:val="2C8F31F9"/>
    <w:rsid w:val="2C8F7FFF"/>
    <w:rsid w:val="2C9C5AD8"/>
    <w:rsid w:val="2CA857E6"/>
    <w:rsid w:val="2CAE1B1C"/>
    <w:rsid w:val="2CB6557A"/>
    <w:rsid w:val="2CBB0275"/>
    <w:rsid w:val="2CBD4A23"/>
    <w:rsid w:val="2CBF351C"/>
    <w:rsid w:val="2CDD3B24"/>
    <w:rsid w:val="2CEB7369"/>
    <w:rsid w:val="2CF81ADB"/>
    <w:rsid w:val="2CFE14C3"/>
    <w:rsid w:val="2CFF3C04"/>
    <w:rsid w:val="2D05647F"/>
    <w:rsid w:val="2D156024"/>
    <w:rsid w:val="2D272443"/>
    <w:rsid w:val="2D2E5D15"/>
    <w:rsid w:val="2D2F5390"/>
    <w:rsid w:val="2D362587"/>
    <w:rsid w:val="2D41431C"/>
    <w:rsid w:val="2D527AC1"/>
    <w:rsid w:val="2D572FF3"/>
    <w:rsid w:val="2D5837D5"/>
    <w:rsid w:val="2D6F45DB"/>
    <w:rsid w:val="2D7A36C1"/>
    <w:rsid w:val="2D97504F"/>
    <w:rsid w:val="2D9E56F5"/>
    <w:rsid w:val="2DC72B01"/>
    <w:rsid w:val="2DD17EA3"/>
    <w:rsid w:val="2DD648DA"/>
    <w:rsid w:val="2DEF733C"/>
    <w:rsid w:val="2DF05D58"/>
    <w:rsid w:val="2DF41473"/>
    <w:rsid w:val="2DF51C6F"/>
    <w:rsid w:val="2DF62E59"/>
    <w:rsid w:val="2DF651F9"/>
    <w:rsid w:val="2DFD7149"/>
    <w:rsid w:val="2E0379EC"/>
    <w:rsid w:val="2E0C4559"/>
    <w:rsid w:val="2E2774E5"/>
    <w:rsid w:val="2E3075B0"/>
    <w:rsid w:val="2E393710"/>
    <w:rsid w:val="2E3D4F29"/>
    <w:rsid w:val="2E4D1EA6"/>
    <w:rsid w:val="2E590824"/>
    <w:rsid w:val="2E667F96"/>
    <w:rsid w:val="2E8226AB"/>
    <w:rsid w:val="2EA17CB1"/>
    <w:rsid w:val="2EAC5040"/>
    <w:rsid w:val="2EBD2BD9"/>
    <w:rsid w:val="2EC6022A"/>
    <w:rsid w:val="2ED65ADD"/>
    <w:rsid w:val="2ED81528"/>
    <w:rsid w:val="2EE42BD4"/>
    <w:rsid w:val="2EF4409E"/>
    <w:rsid w:val="2EF5471E"/>
    <w:rsid w:val="2F060479"/>
    <w:rsid w:val="2F194405"/>
    <w:rsid w:val="2F1E7FD8"/>
    <w:rsid w:val="2F4A5323"/>
    <w:rsid w:val="2F4C2EF0"/>
    <w:rsid w:val="2F530C65"/>
    <w:rsid w:val="2F6B5A91"/>
    <w:rsid w:val="2F6C5006"/>
    <w:rsid w:val="2F6D1949"/>
    <w:rsid w:val="2F6D7B0F"/>
    <w:rsid w:val="2F6D7C8A"/>
    <w:rsid w:val="2F702C86"/>
    <w:rsid w:val="2F826F25"/>
    <w:rsid w:val="2F880DEC"/>
    <w:rsid w:val="2F9668B7"/>
    <w:rsid w:val="2F9B290C"/>
    <w:rsid w:val="2FA42BED"/>
    <w:rsid w:val="2FA460CE"/>
    <w:rsid w:val="2FB55AB4"/>
    <w:rsid w:val="2FB76626"/>
    <w:rsid w:val="2FD065E6"/>
    <w:rsid w:val="2FD96870"/>
    <w:rsid w:val="2FF83A39"/>
    <w:rsid w:val="2FFA3CC8"/>
    <w:rsid w:val="30157776"/>
    <w:rsid w:val="303E3B81"/>
    <w:rsid w:val="304209D1"/>
    <w:rsid w:val="30580BC9"/>
    <w:rsid w:val="305A3B9E"/>
    <w:rsid w:val="305A5693"/>
    <w:rsid w:val="3070755D"/>
    <w:rsid w:val="30722B71"/>
    <w:rsid w:val="307D7908"/>
    <w:rsid w:val="30815A6C"/>
    <w:rsid w:val="308A2F3D"/>
    <w:rsid w:val="30A75FF5"/>
    <w:rsid w:val="30AA5D9A"/>
    <w:rsid w:val="30AE04B0"/>
    <w:rsid w:val="30CA61C8"/>
    <w:rsid w:val="30DD4287"/>
    <w:rsid w:val="30E03D81"/>
    <w:rsid w:val="30FB06DC"/>
    <w:rsid w:val="30FD094C"/>
    <w:rsid w:val="30FD1689"/>
    <w:rsid w:val="30FF27BD"/>
    <w:rsid w:val="31041B11"/>
    <w:rsid w:val="31134209"/>
    <w:rsid w:val="311D1194"/>
    <w:rsid w:val="311E2ED7"/>
    <w:rsid w:val="31293256"/>
    <w:rsid w:val="312D5B55"/>
    <w:rsid w:val="31330D48"/>
    <w:rsid w:val="313A6116"/>
    <w:rsid w:val="31471D7E"/>
    <w:rsid w:val="315118EE"/>
    <w:rsid w:val="31555405"/>
    <w:rsid w:val="315619EE"/>
    <w:rsid w:val="31572874"/>
    <w:rsid w:val="315C449C"/>
    <w:rsid w:val="315E605F"/>
    <w:rsid w:val="315F5AF9"/>
    <w:rsid w:val="31616787"/>
    <w:rsid w:val="316312C2"/>
    <w:rsid w:val="3163299D"/>
    <w:rsid w:val="316C7BDA"/>
    <w:rsid w:val="316F5B66"/>
    <w:rsid w:val="317079AD"/>
    <w:rsid w:val="317653A0"/>
    <w:rsid w:val="317B71DA"/>
    <w:rsid w:val="319B350C"/>
    <w:rsid w:val="319C62FD"/>
    <w:rsid w:val="31A851F8"/>
    <w:rsid w:val="31B82709"/>
    <w:rsid w:val="31D05482"/>
    <w:rsid w:val="31E90D1D"/>
    <w:rsid w:val="31EE6DFB"/>
    <w:rsid w:val="32012284"/>
    <w:rsid w:val="321F40A0"/>
    <w:rsid w:val="322050B2"/>
    <w:rsid w:val="32400B34"/>
    <w:rsid w:val="32452FA9"/>
    <w:rsid w:val="32705A11"/>
    <w:rsid w:val="32790A5D"/>
    <w:rsid w:val="327A2C6E"/>
    <w:rsid w:val="327B4074"/>
    <w:rsid w:val="329718E7"/>
    <w:rsid w:val="329E6876"/>
    <w:rsid w:val="32CC462F"/>
    <w:rsid w:val="32CC6934"/>
    <w:rsid w:val="32D7786F"/>
    <w:rsid w:val="32EB02F4"/>
    <w:rsid w:val="32F05708"/>
    <w:rsid w:val="32FE5D4D"/>
    <w:rsid w:val="32FE7317"/>
    <w:rsid w:val="330132A5"/>
    <w:rsid w:val="330963CB"/>
    <w:rsid w:val="333015F2"/>
    <w:rsid w:val="33482D6D"/>
    <w:rsid w:val="334B6320"/>
    <w:rsid w:val="334C40DF"/>
    <w:rsid w:val="336C1F3A"/>
    <w:rsid w:val="336E20A7"/>
    <w:rsid w:val="33703CDA"/>
    <w:rsid w:val="337B284F"/>
    <w:rsid w:val="338463F6"/>
    <w:rsid w:val="338B433A"/>
    <w:rsid w:val="338F160E"/>
    <w:rsid w:val="339266FB"/>
    <w:rsid w:val="33952620"/>
    <w:rsid w:val="33A32884"/>
    <w:rsid w:val="33A34B8A"/>
    <w:rsid w:val="33BA2AAF"/>
    <w:rsid w:val="33BF105B"/>
    <w:rsid w:val="33D143D8"/>
    <w:rsid w:val="33D934D4"/>
    <w:rsid w:val="33E30E96"/>
    <w:rsid w:val="33E617F3"/>
    <w:rsid w:val="33E82E50"/>
    <w:rsid w:val="33EA777B"/>
    <w:rsid w:val="33F22815"/>
    <w:rsid w:val="33F90A04"/>
    <w:rsid w:val="33FE2F6A"/>
    <w:rsid w:val="340E07E5"/>
    <w:rsid w:val="341F6035"/>
    <w:rsid w:val="34235BF7"/>
    <w:rsid w:val="342804A8"/>
    <w:rsid w:val="3431749E"/>
    <w:rsid w:val="34424024"/>
    <w:rsid w:val="34437E2E"/>
    <w:rsid w:val="344B435E"/>
    <w:rsid w:val="34681C50"/>
    <w:rsid w:val="347671FB"/>
    <w:rsid w:val="347E1584"/>
    <w:rsid w:val="34880360"/>
    <w:rsid w:val="348C733A"/>
    <w:rsid w:val="34957A6F"/>
    <w:rsid w:val="34A11040"/>
    <w:rsid w:val="34A90D47"/>
    <w:rsid w:val="34BA4369"/>
    <w:rsid w:val="34C32607"/>
    <w:rsid w:val="34CD4337"/>
    <w:rsid w:val="34D00BEC"/>
    <w:rsid w:val="34D922F9"/>
    <w:rsid w:val="34EE6478"/>
    <w:rsid w:val="34FA3E43"/>
    <w:rsid w:val="35154780"/>
    <w:rsid w:val="351572CF"/>
    <w:rsid w:val="351E7DA1"/>
    <w:rsid w:val="351F3765"/>
    <w:rsid w:val="35285C1B"/>
    <w:rsid w:val="353367CB"/>
    <w:rsid w:val="3542664F"/>
    <w:rsid w:val="35537596"/>
    <w:rsid w:val="35610116"/>
    <w:rsid w:val="357228A9"/>
    <w:rsid w:val="358C5FA8"/>
    <w:rsid w:val="359D374B"/>
    <w:rsid w:val="35A6638C"/>
    <w:rsid w:val="35A84650"/>
    <w:rsid w:val="35C15DF1"/>
    <w:rsid w:val="35C50CA5"/>
    <w:rsid w:val="35D408E8"/>
    <w:rsid w:val="35D86614"/>
    <w:rsid w:val="35DD7EF8"/>
    <w:rsid w:val="35DE7A8F"/>
    <w:rsid w:val="35E70DD6"/>
    <w:rsid w:val="35EB37C2"/>
    <w:rsid w:val="35EF7E88"/>
    <w:rsid w:val="35F87A38"/>
    <w:rsid w:val="36074A7F"/>
    <w:rsid w:val="360B1D2E"/>
    <w:rsid w:val="36154A5C"/>
    <w:rsid w:val="361F3508"/>
    <w:rsid w:val="3621117D"/>
    <w:rsid w:val="362F491D"/>
    <w:rsid w:val="3650740C"/>
    <w:rsid w:val="36533AF4"/>
    <w:rsid w:val="367340A3"/>
    <w:rsid w:val="367B7945"/>
    <w:rsid w:val="368C2A32"/>
    <w:rsid w:val="368F656A"/>
    <w:rsid w:val="36923549"/>
    <w:rsid w:val="369D173A"/>
    <w:rsid w:val="36A31A30"/>
    <w:rsid w:val="36B4392C"/>
    <w:rsid w:val="36B75FBF"/>
    <w:rsid w:val="36BD0C45"/>
    <w:rsid w:val="36C5214A"/>
    <w:rsid w:val="36D12F16"/>
    <w:rsid w:val="36D667FF"/>
    <w:rsid w:val="36D952B3"/>
    <w:rsid w:val="36DA4E59"/>
    <w:rsid w:val="37196081"/>
    <w:rsid w:val="37233C8C"/>
    <w:rsid w:val="37244DCF"/>
    <w:rsid w:val="3734560D"/>
    <w:rsid w:val="37377380"/>
    <w:rsid w:val="375B45D8"/>
    <w:rsid w:val="3766420F"/>
    <w:rsid w:val="376A1BE6"/>
    <w:rsid w:val="376A53EB"/>
    <w:rsid w:val="378623F8"/>
    <w:rsid w:val="379D09CD"/>
    <w:rsid w:val="37A17A30"/>
    <w:rsid w:val="37B45DA2"/>
    <w:rsid w:val="37B57919"/>
    <w:rsid w:val="37B6496A"/>
    <w:rsid w:val="37B74336"/>
    <w:rsid w:val="37BF5E0D"/>
    <w:rsid w:val="37C254A6"/>
    <w:rsid w:val="37E00298"/>
    <w:rsid w:val="37E24971"/>
    <w:rsid w:val="37EB1FB5"/>
    <w:rsid w:val="37EE2B74"/>
    <w:rsid w:val="37F924EA"/>
    <w:rsid w:val="37FE61DE"/>
    <w:rsid w:val="38055D41"/>
    <w:rsid w:val="380B7454"/>
    <w:rsid w:val="380F3E59"/>
    <w:rsid w:val="38191A0F"/>
    <w:rsid w:val="381B7B44"/>
    <w:rsid w:val="38233987"/>
    <w:rsid w:val="382E6581"/>
    <w:rsid w:val="38361D70"/>
    <w:rsid w:val="3839615A"/>
    <w:rsid w:val="38540161"/>
    <w:rsid w:val="38610BBF"/>
    <w:rsid w:val="386460FE"/>
    <w:rsid w:val="38883C0B"/>
    <w:rsid w:val="38A96865"/>
    <w:rsid w:val="38AE0699"/>
    <w:rsid w:val="38B302F9"/>
    <w:rsid w:val="38BD2967"/>
    <w:rsid w:val="38CA6C4D"/>
    <w:rsid w:val="38D96215"/>
    <w:rsid w:val="38DE1A7D"/>
    <w:rsid w:val="38F12CD3"/>
    <w:rsid w:val="38F94775"/>
    <w:rsid w:val="38F971BE"/>
    <w:rsid w:val="390250BB"/>
    <w:rsid w:val="390F3487"/>
    <w:rsid w:val="39116BEE"/>
    <w:rsid w:val="391A7775"/>
    <w:rsid w:val="392971ED"/>
    <w:rsid w:val="392F45FD"/>
    <w:rsid w:val="39325651"/>
    <w:rsid w:val="3943593A"/>
    <w:rsid w:val="394B2313"/>
    <w:rsid w:val="39510829"/>
    <w:rsid w:val="395E3CAB"/>
    <w:rsid w:val="39712055"/>
    <w:rsid w:val="39717914"/>
    <w:rsid w:val="39784BA9"/>
    <w:rsid w:val="3996193A"/>
    <w:rsid w:val="39996DEE"/>
    <w:rsid w:val="399B6ED0"/>
    <w:rsid w:val="399F35FB"/>
    <w:rsid w:val="39A75A1A"/>
    <w:rsid w:val="39B300EB"/>
    <w:rsid w:val="39BC7510"/>
    <w:rsid w:val="39D845CC"/>
    <w:rsid w:val="39DE2D6D"/>
    <w:rsid w:val="39E17933"/>
    <w:rsid w:val="39E9692C"/>
    <w:rsid w:val="39EC3904"/>
    <w:rsid w:val="39FA67B6"/>
    <w:rsid w:val="3A0C2B0A"/>
    <w:rsid w:val="3A181EA8"/>
    <w:rsid w:val="3A2548C6"/>
    <w:rsid w:val="3A266515"/>
    <w:rsid w:val="3A2853BF"/>
    <w:rsid w:val="3A387D71"/>
    <w:rsid w:val="3A3B275E"/>
    <w:rsid w:val="3A3B6AD7"/>
    <w:rsid w:val="3A4E02D2"/>
    <w:rsid w:val="3A557B1D"/>
    <w:rsid w:val="3A60067E"/>
    <w:rsid w:val="3A7B2971"/>
    <w:rsid w:val="3A7E348D"/>
    <w:rsid w:val="3A7F7420"/>
    <w:rsid w:val="3A872856"/>
    <w:rsid w:val="3A8C139F"/>
    <w:rsid w:val="3A8C60D4"/>
    <w:rsid w:val="3A8F37FB"/>
    <w:rsid w:val="3A9129E4"/>
    <w:rsid w:val="3A97110D"/>
    <w:rsid w:val="3A9D56E6"/>
    <w:rsid w:val="3AA20FB4"/>
    <w:rsid w:val="3AAD1707"/>
    <w:rsid w:val="3AB3779B"/>
    <w:rsid w:val="3AC77B94"/>
    <w:rsid w:val="3ACB5091"/>
    <w:rsid w:val="3ACB7F34"/>
    <w:rsid w:val="3ADF4540"/>
    <w:rsid w:val="3AE4372D"/>
    <w:rsid w:val="3AF638CB"/>
    <w:rsid w:val="3AFD3C27"/>
    <w:rsid w:val="3AFE0DDB"/>
    <w:rsid w:val="3B1034AE"/>
    <w:rsid w:val="3B1A3ABC"/>
    <w:rsid w:val="3B1C276F"/>
    <w:rsid w:val="3B2743D0"/>
    <w:rsid w:val="3B361EE7"/>
    <w:rsid w:val="3B3763D1"/>
    <w:rsid w:val="3B3F390B"/>
    <w:rsid w:val="3B425E7B"/>
    <w:rsid w:val="3B446989"/>
    <w:rsid w:val="3B4509B3"/>
    <w:rsid w:val="3B550AEB"/>
    <w:rsid w:val="3B562BB2"/>
    <w:rsid w:val="3B6175DA"/>
    <w:rsid w:val="3B753225"/>
    <w:rsid w:val="3B780EFD"/>
    <w:rsid w:val="3B7F2ECF"/>
    <w:rsid w:val="3B800BCA"/>
    <w:rsid w:val="3B916781"/>
    <w:rsid w:val="3BA36801"/>
    <w:rsid w:val="3BA93B77"/>
    <w:rsid w:val="3BAB3422"/>
    <w:rsid w:val="3BB709E4"/>
    <w:rsid w:val="3BCD033F"/>
    <w:rsid w:val="3BE32C73"/>
    <w:rsid w:val="3BE3744B"/>
    <w:rsid w:val="3BED4272"/>
    <w:rsid w:val="3C003629"/>
    <w:rsid w:val="3C0456C9"/>
    <w:rsid w:val="3C096E72"/>
    <w:rsid w:val="3C0C38B6"/>
    <w:rsid w:val="3C1A3F06"/>
    <w:rsid w:val="3C2F6E1E"/>
    <w:rsid w:val="3C330441"/>
    <w:rsid w:val="3C355A8E"/>
    <w:rsid w:val="3C3E2F5F"/>
    <w:rsid w:val="3C4A6BE9"/>
    <w:rsid w:val="3C4F64BA"/>
    <w:rsid w:val="3C5C0FE2"/>
    <w:rsid w:val="3C6E4F34"/>
    <w:rsid w:val="3C793F97"/>
    <w:rsid w:val="3C97635D"/>
    <w:rsid w:val="3C9A5548"/>
    <w:rsid w:val="3C9E674D"/>
    <w:rsid w:val="3CA419F5"/>
    <w:rsid w:val="3CAF55E4"/>
    <w:rsid w:val="3CC83639"/>
    <w:rsid w:val="3CD86782"/>
    <w:rsid w:val="3CDA245A"/>
    <w:rsid w:val="3D0E0A21"/>
    <w:rsid w:val="3D1E06B7"/>
    <w:rsid w:val="3D22745D"/>
    <w:rsid w:val="3D3103FD"/>
    <w:rsid w:val="3D3A0B47"/>
    <w:rsid w:val="3D3C5B75"/>
    <w:rsid w:val="3D3E7B37"/>
    <w:rsid w:val="3D4314E2"/>
    <w:rsid w:val="3D516E6F"/>
    <w:rsid w:val="3D541879"/>
    <w:rsid w:val="3D5933AC"/>
    <w:rsid w:val="3D6F3551"/>
    <w:rsid w:val="3D7217AC"/>
    <w:rsid w:val="3D793EF7"/>
    <w:rsid w:val="3D8210AE"/>
    <w:rsid w:val="3D8707E4"/>
    <w:rsid w:val="3D960154"/>
    <w:rsid w:val="3DB56CA6"/>
    <w:rsid w:val="3DC94178"/>
    <w:rsid w:val="3DDA4356"/>
    <w:rsid w:val="3DFB4AD5"/>
    <w:rsid w:val="3DFE739D"/>
    <w:rsid w:val="3E1366F6"/>
    <w:rsid w:val="3E3F1772"/>
    <w:rsid w:val="3E4011FA"/>
    <w:rsid w:val="3E434956"/>
    <w:rsid w:val="3E451749"/>
    <w:rsid w:val="3E466819"/>
    <w:rsid w:val="3E494105"/>
    <w:rsid w:val="3E4C353E"/>
    <w:rsid w:val="3E55380D"/>
    <w:rsid w:val="3E5B3174"/>
    <w:rsid w:val="3E5C2C96"/>
    <w:rsid w:val="3E647592"/>
    <w:rsid w:val="3E693DB3"/>
    <w:rsid w:val="3E8F11FC"/>
    <w:rsid w:val="3EBE6F89"/>
    <w:rsid w:val="3ED903DC"/>
    <w:rsid w:val="3EDA0523"/>
    <w:rsid w:val="3EDF2DE4"/>
    <w:rsid w:val="3EEC6EDB"/>
    <w:rsid w:val="3EED6A1B"/>
    <w:rsid w:val="3EEE3AAF"/>
    <w:rsid w:val="3EF522CE"/>
    <w:rsid w:val="3F1E4A83"/>
    <w:rsid w:val="3F274DF2"/>
    <w:rsid w:val="3F317B16"/>
    <w:rsid w:val="3F3D0D0D"/>
    <w:rsid w:val="3F4A59E1"/>
    <w:rsid w:val="3F513FD3"/>
    <w:rsid w:val="3F51696A"/>
    <w:rsid w:val="3F5B2E3D"/>
    <w:rsid w:val="3F653E87"/>
    <w:rsid w:val="3F686F54"/>
    <w:rsid w:val="3F6E3FAD"/>
    <w:rsid w:val="3F7745E8"/>
    <w:rsid w:val="3FA23805"/>
    <w:rsid w:val="3FA330D9"/>
    <w:rsid w:val="3FA61FB9"/>
    <w:rsid w:val="3FA71EB4"/>
    <w:rsid w:val="3FAC63F6"/>
    <w:rsid w:val="3FB30946"/>
    <w:rsid w:val="3FBB355F"/>
    <w:rsid w:val="3FBB78B9"/>
    <w:rsid w:val="3FC15BBD"/>
    <w:rsid w:val="3FC77C4D"/>
    <w:rsid w:val="3FC86200"/>
    <w:rsid w:val="3FD35EDE"/>
    <w:rsid w:val="3FDB282E"/>
    <w:rsid w:val="3FF00AE9"/>
    <w:rsid w:val="3FFA2F31"/>
    <w:rsid w:val="40017525"/>
    <w:rsid w:val="4012241B"/>
    <w:rsid w:val="40155D85"/>
    <w:rsid w:val="401C75C7"/>
    <w:rsid w:val="403D0465"/>
    <w:rsid w:val="40420B44"/>
    <w:rsid w:val="40436F93"/>
    <w:rsid w:val="404D256C"/>
    <w:rsid w:val="40711E5E"/>
    <w:rsid w:val="4072127D"/>
    <w:rsid w:val="407A6407"/>
    <w:rsid w:val="408C6543"/>
    <w:rsid w:val="40A25F12"/>
    <w:rsid w:val="40B16CC0"/>
    <w:rsid w:val="40C057A2"/>
    <w:rsid w:val="40C702FD"/>
    <w:rsid w:val="40DA0DA2"/>
    <w:rsid w:val="40E13383"/>
    <w:rsid w:val="40EC5302"/>
    <w:rsid w:val="41074A12"/>
    <w:rsid w:val="411970AA"/>
    <w:rsid w:val="41200E85"/>
    <w:rsid w:val="412575B7"/>
    <w:rsid w:val="412F395A"/>
    <w:rsid w:val="412F3DDF"/>
    <w:rsid w:val="41306BEE"/>
    <w:rsid w:val="413B2AA8"/>
    <w:rsid w:val="413B2F30"/>
    <w:rsid w:val="415A53A6"/>
    <w:rsid w:val="41636E48"/>
    <w:rsid w:val="41827509"/>
    <w:rsid w:val="418C4586"/>
    <w:rsid w:val="41903693"/>
    <w:rsid w:val="41A73354"/>
    <w:rsid w:val="41AA6A78"/>
    <w:rsid w:val="41B00CCA"/>
    <w:rsid w:val="41B027EB"/>
    <w:rsid w:val="41B16CFF"/>
    <w:rsid w:val="41C160BB"/>
    <w:rsid w:val="41C55BF6"/>
    <w:rsid w:val="41F67D28"/>
    <w:rsid w:val="41FF08E6"/>
    <w:rsid w:val="4200449D"/>
    <w:rsid w:val="420A3160"/>
    <w:rsid w:val="420E6F2F"/>
    <w:rsid w:val="4212697B"/>
    <w:rsid w:val="422B7AE1"/>
    <w:rsid w:val="423154AA"/>
    <w:rsid w:val="423A3BCC"/>
    <w:rsid w:val="423C5459"/>
    <w:rsid w:val="424E54EE"/>
    <w:rsid w:val="424E57D2"/>
    <w:rsid w:val="4269773F"/>
    <w:rsid w:val="427020E0"/>
    <w:rsid w:val="42756719"/>
    <w:rsid w:val="42933833"/>
    <w:rsid w:val="429562DA"/>
    <w:rsid w:val="42B26C49"/>
    <w:rsid w:val="42B52843"/>
    <w:rsid w:val="42B575AC"/>
    <w:rsid w:val="42BF1F51"/>
    <w:rsid w:val="42C1479E"/>
    <w:rsid w:val="42D67331"/>
    <w:rsid w:val="42F03287"/>
    <w:rsid w:val="42F14BFF"/>
    <w:rsid w:val="42FF2350"/>
    <w:rsid w:val="43045AF0"/>
    <w:rsid w:val="431B67F0"/>
    <w:rsid w:val="43212404"/>
    <w:rsid w:val="432B3360"/>
    <w:rsid w:val="432D2E99"/>
    <w:rsid w:val="43332136"/>
    <w:rsid w:val="433A6FE6"/>
    <w:rsid w:val="433F7E49"/>
    <w:rsid w:val="43480868"/>
    <w:rsid w:val="4350713C"/>
    <w:rsid w:val="43552B57"/>
    <w:rsid w:val="4363491A"/>
    <w:rsid w:val="436620AE"/>
    <w:rsid w:val="436653E0"/>
    <w:rsid w:val="43672D9B"/>
    <w:rsid w:val="436C1CA6"/>
    <w:rsid w:val="436E4F7B"/>
    <w:rsid w:val="436F7EA2"/>
    <w:rsid w:val="437C483E"/>
    <w:rsid w:val="4388020A"/>
    <w:rsid w:val="43973328"/>
    <w:rsid w:val="43A00892"/>
    <w:rsid w:val="43A16AE4"/>
    <w:rsid w:val="43C24475"/>
    <w:rsid w:val="43C309E0"/>
    <w:rsid w:val="43C43AA8"/>
    <w:rsid w:val="43C4431A"/>
    <w:rsid w:val="43F3462F"/>
    <w:rsid w:val="43F42668"/>
    <w:rsid w:val="44105EA3"/>
    <w:rsid w:val="441D69C7"/>
    <w:rsid w:val="44375309"/>
    <w:rsid w:val="444116D6"/>
    <w:rsid w:val="44447E4B"/>
    <w:rsid w:val="444B0F12"/>
    <w:rsid w:val="445B5EF7"/>
    <w:rsid w:val="445C0823"/>
    <w:rsid w:val="44603ECA"/>
    <w:rsid w:val="446323BD"/>
    <w:rsid w:val="446E5122"/>
    <w:rsid w:val="44705A0A"/>
    <w:rsid w:val="44730BFC"/>
    <w:rsid w:val="447A0815"/>
    <w:rsid w:val="447C2C33"/>
    <w:rsid w:val="448977E1"/>
    <w:rsid w:val="44B303B4"/>
    <w:rsid w:val="44B64F67"/>
    <w:rsid w:val="44B951CC"/>
    <w:rsid w:val="44C50800"/>
    <w:rsid w:val="44CD14E0"/>
    <w:rsid w:val="44CE52DD"/>
    <w:rsid w:val="44F20B0B"/>
    <w:rsid w:val="44F93EC7"/>
    <w:rsid w:val="44FB022F"/>
    <w:rsid w:val="44FC65D5"/>
    <w:rsid w:val="4511583E"/>
    <w:rsid w:val="45126858"/>
    <w:rsid w:val="45126AFA"/>
    <w:rsid w:val="45146CA3"/>
    <w:rsid w:val="451B5AFC"/>
    <w:rsid w:val="452E5F4C"/>
    <w:rsid w:val="453C76CF"/>
    <w:rsid w:val="454071F0"/>
    <w:rsid w:val="45407F1D"/>
    <w:rsid w:val="45454D26"/>
    <w:rsid w:val="45472C81"/>
    <w:rsid w:val="45475CFB"/>
    <w:rsid w:val="45563F7F"/>
    <w:rsid w:val="45612018"/>
    <w:rsid w:val="456F5640"/>
    <w:rsid w:val="457A57E5"/>
    <w:rsid w:val="45884245"/>
    <w:rsid w:val="458946E9"/>
    <w:rsid w:val="459133D2"/>
    <w:rsid w:val="45992FB4"/>
    <w:rsid w:val="45A47C0E"/>
    <w:rsid w:val="45A87B1F"/>
    <w:rsid w:val="45AC3281"/>
    <w:rsid w:val="45B768BA"/>
    <w:rsid w:val="45CE29A9"/>
    <w:rsid w:val="45D05B61"/>
    <w:rsid w:val="45DC10F2"/>
    <w:rsid w:val="45E24B04"/>
    <w:rsid w:val="45E60FE7"/>
    <w:rsid w:val="45F15C30"/>
    <w:rsid w:val="45F655D6"/>
    <w:rsid w:val="46177C02"/>
    <w:rsid w:val="462C7401"/>
    <w:rsid w:val="463072A0"/>
    <w:rsid w:val="4636307D"/>
    <w:rsid w:val="4640380C"/>
    <w:rsid w:val="46446CA8"/>
    <w:rsid w:val="46501304"/>
    <w:rsid w:val="46577FD6"/>
    <w:rsid w:val="46583281"/>
    <w:rsid w:val="465D6AE2"/>
    <w:rsid w:val="46690B91"/>
    <w:rsid w:val="466E74EC"/>
    <w:rsid w:val="468C48C7"/>
    <w:rsid w:val="468F720F"/>
    <w:rsid w:val="46A47C7E"/>
    <w:rsid w:val="46AA42BA"/>
    <w:rsid w:val="46B34549"/>
    <w:rsid w:val="46B67948"/>
    <w:rsid w:val="46BD246D"/>
    <w:rsid w:val="46C07016"/>
    <w:rsid w:val="46C7617A"/>
    <w:rsid w:val="46D955A7"/>
    <w:rsid w:val="46DB33FC"/>
    <w:rsid w:val="46DF1538"/>
    <w:rsid w:val="46EA05E3"/>
    <w:rsid w:val="46FF0237"/>
    <w:rsid w:val="470C1E43"/>
    <w:rsid w:val="470F54E9"/>
    <w:rsid w:val="47133957"/>
    <w:rsid w:val="47142380"/>
    <w:rsid w:val="471630D8"/>
    <w:rsid w:val="471827CF"/>
    <w:rsid w:val="47261E25"/>
    <w:rsid w:val="47282CAB"/>
    <w:rsid w:val="47290E32"/>
    <w:rsid w:val="472E2F12"/>
    <w:rsid w:val="47414F5A"/>
    <w:rsid w:val="474D57BD"/>
    <w:rsid w:val="476B553B"/>
    <w:rsid w:val="47700805"/>
    <w:rsid w:val="47A07E0C"/>
    <w:rsid w:val="47A21BCB"/>
    <w:rsid w:val="47AD1D94"/>
    <w:rsid w:val="47BE28FC"/>
    <w:rsid w:val="47C5790E"/>
    <w:rsid w:val="47CD5577"/>
    <w:rsid w:val="47D2002E"/>
    <w:rsid w:val="47D21CD5"/>
    <w:rsid w:val="47DF3C3C"/>
    <w:rsid w:val="47E15039"/>
    <w:rsid w:val="47EA40EA"/>
    <w:rsid w:val="47F05C1A"/>
    <w:rsid w:val="47F6208A"/>
    <w:rsid w:val="48036C45"/>
    <w:rsid w:val="48043530"/>
    <w:rsid w:val="48263B99"/>
    <w:rsid w:val="482956BD"/>
    <w:rsid w:val="482F1D57"/>
    <w:rsid w:val="483C5684"/>
    <w:rsid w:val="484127C0"/>
    <w:rsid w:val="4843590A"/>
    <w:rsid w:val="48474F49"/>
    <w:rsid w:val="484E67AC"/>
    <w:rsid w:val="484F02A2"/>
    <w:rsid w:val="486179AB"/>
    <w:rsid w:val="48682955"/>
    <w:rsid w:val="4870272E"/>
    <w:rsid w:val="48703314"/>
    <w:rsid w:val="48752DDD"/>
    <w:rsid w:val="48770B34"/>
    <w:rsid w:val="48822425"/>
    <w:rsid w:val="48887E14"/>
    <w:rsid w:val="48894602"/>
    <w:rsid w:val="488E20A8"/>
    <w:rsid w:val="48A347B0"/>
    <w:rsid w:val="48AE321A"/>
    <w:rsid w:val="48AE7233"/>
    <w:rsid w:val="48DD58AD"/>
    <w:rsid w:val="48E058A4"/>
    <w:rsid w:val="48E9117F"/>
    <w:rsid w:val="48FB64BA"/>
    <w:rsid w:val="48FF089A"/>
    <w:rsid w:val="48FF3281"/>
    <w:rsid w:val="49055D58"/>
    <w:rsid w:val="49171482"/>
    <w:rsid w:val="49202576"/>
    <w:rsid w:val="49205CB0"/>
    <w:rsid w:val="492C4AC1"/>
    <w:rsid w:val="492D48EC"/>
    <w:rsid w:val="4936448C"/>
    <w:rsid w:val="493D193C"/>
    <w:rsid w:val="49463F40"/>
    <w:rsid w:val="494B0580"/>
    <w:rsid w:val="494F470A"/>
    <w:rsid w:val="495E0C46"/>
    <w:rsid w:val="49610A1C"/>
    <w:rsid w:val="496B4CFB"/>
    <w:rsid w:val="496E3375"/>
    <w:rsid w:val="49724D8A"/>
    <w:rsid w:val="49790293"/>
    <w:rsid w:val="49871E0C"/>
    <w:rsid w:val="498A6091"/>
    <w:rsid w:val="49923DA6"/>
    <w:rsid w:val="49AB775A"/>
    <w:rsid w:val="49B33717"/>
    <w:rsid w:val="49B846CB"/>
    <w:rsid w:val="49D9309B"/>
    <w:rsid w:val="49DC7715"/>
    <w:rsid w:val="49F86790"/>
    <w:rsid w:val="49FD6AB2"/>
    <w:rsid w:val="4A023139"/>
    <w:rsid w:val="4A0E0AAF"/>
    <w:rsid w:val="4A0E4047"/>
    <w:rsid w:val="4A104323"/>
    <w:rsid w:val="4A1422D6"/>
    <w:rsid w:val="4A1D432E"/>
    <w:rsid w:val="4A246BF9"/>
    <w:rsid w:val="4A2F12CB"/>
    <w:rsid w:val="4A312BCD"/>
    <w:rsid w:val="4A34658C"/>
    <w:rsid w:val="4A5373A8"/>
    <w:rsid w:val="4A5D0F91"/>
    <w:rsid w:val="4A713C16"/>
    <w:rsid w:val="4A7B576F"/>
    <w:rsid w:val="4A890635"/>
    <w:rsid w:val="4A8E1C63"/>
    <w:rsid w:val="4A9923D4"/>
    <w:rsid w:val="4A9D5CC9"/>
    <w:rsid w:val="4A9F17C4"/>
    <w:rsid w:val="4AA219D3"/>
    <w:rsid w:val="4AA850F8"/>
    <w:rsid w:val="4AB03085"/>
    <w:rsid w:val="4AB64E00"/>
    <w:rsid w:val="4ABA703C"/>
    <w:rsid w:val="4AC10EEE"/>
    <w:rsid w:val="4AC472C2"/>
    <w:rsid w:val="4AC77879"/>
    <w:rsid w:val="4AD537F1"/>
    <w:rsid w:val="4AE178D7"/>
    <w:rsid w:val="4AE247D5"/>
    <w:rsid w:val="4AEB4590"/>
    <w:rsid w:val="4AF40C8C"/>
    <w:rsid w:val="4AF561A9"/>
    <w:rsid w:val="4AFC7811"/>
    <w:rsid w:val="4B304B51"/>
    <w:rsid w:val="4B3103D8"/>
    <w:rsid w:val="4B392FB2"/>
    <w:rsid w:val="4B3A09DD"/>
    <w:rsid w:val="4B48523A"/>
    <w:rsid w:val="4B4C2BEF"/>
    <w:rsid w:val="4B4C56E2"/>
    <w:rsid w:val="4B576D44"/>
    <w:rsid w:val="4B594FFF"/>
    <w:rsid w:val="4B6073B7"/>
    <w:rsid w:val="4B794291"/>
    <w:rsid w:val="4B810731"/>
    <w:rsid w:val="4B837DA7"/>
    <w:rsid w:val="4BA16D4D"/>
    <w:rsid w:val="4BAA1BE2"/>
    <w:rsid w:val="4BAA3890"/>
    <w:rsid w:val="4BB91A1F"/>
    <w:rsid w:val="4BBB16D1"/>
    <w:rsid w:val="4BC0394E"/>
    <w:rsid w:val="4BC0573E"/>
    <w:rsid w:val="4BCE6AC5"/>
    <w:rsid w:val="4BCF6F1E"/>
    <w:rsid w:val="4BE56089"/>
    <w:rsid w:val="4BE564D4"/>
    <w:rsid w:val="4BE6283E"/>
    <w:rsid w:val="4BED1A98"/>
    <w:rsid w:val="4BF67FB4"/>
    <w:rsid w:val="4C0536A2"/>
    <w:rsid w:val="4C0757F7"/>
    <w:rsid w:val="4C0D6036"/>
    <w:rsid w:val="4C105629"/>
    <w:rsid w:val="4C136DC2"/>
    <w:rsid w:val="4C234194"/>
    <w:rsid w:val="4C245A3B"/>
    <w:rsid w:val="4C2927B2"/>
    <w:rsid w:val="4C302981"/>
    <w:rsid w:val="4C3228A5"/>
    <w:rsid w:val="4C3C741A"/>
    <w:rsid w:val="4C3F20DF"/>
    <w:rsid w:val="4C4460A0"/>
    <w:rsid w:val="4C4A0649"/>
    <w:rsid w:val="4C5455B9"/>
    <w:rsid w:val="4C713D51"/>
    <w:rsid w:val="4C7E5ECA"/>
    <w:rsid w:val="4C876AA5"/>
    <w:rsid w:val="4C935807"/>
    <w:rsid w:val="4C9A0CAB"/>
    <w:rsid w:val="4CB71DDD"/>
    <w:rsid w:val="4CBC484E"/>
    <w:rsid w:val="4CC8022E"/>
    <w:rsid w:val="4CCB1F1D"/>
    <w:rsid w:val="4CD15127"/>
    <w:rsid w:val="4CE12D46"/>
    <w:rsid w:val="4CE233FA"/>
    <w:rsid w:val="4CE3799B"/>
    <w:rsid w:val="4CEC26B7"/>
    <w:rsid w:val="4D027527"/>
    <w:rsid w:val="4D0A1810"/>
    <w:rsid w:val="4D0E00FB"/>
    <w:rsid w:val="4D176606"/>
    <w:rsid w:val="4D305177"/>
    <w:rsid w:val="4D356342"/>
    <w:rsid w:val="4D467EC5"/>
    <w:rsid w:val="4D481A24"/>
    <w:rsid w:val="4D507A6A"/>
    <w:rsid w:val="4D690663"/>
    <w:rsid w:val="4D89741D"/>
    <w:rsid w:val="4DA43F17"/>
    <w:rsid w:val="4DAC7EB1"/>
    <w:rsid w:val="4DD965C2"/>
    <w:rsid w:val="4DDA34C8"/>
    <w:rsid w:val="4DEC4FB0"/>
    <w:rsid w:val="4E027FE8"/>
    <w:rsid w:val="4E075D8A"/>
    <w:rsid w:val="4E0A2168"/>
    <w:rsid w:val="4E0B6C2B"/>
    <w:rsid w:val="4E2E4257"/>
    <w:rsid w:val="4E3B5269"/>
    <w:rsid w:val="4E474AEA"/>
    <w:rsid w:val="4E552033"/>
    <w:rsid w:val="4E5802C3"/>
    <w:rsid w:val="4E6B3840"/>
    <w:rsid w:val="4E7547A6"/>
    <w:rsid w:val="4E81452A"/>
    <w:rsid w:val="4E861325"/>
    <w:rsid w:val="4E87611C"/>
    <w:rsid w:val="4E8C03B5"/>
    <w:rsid w:val="4E8F31A6"/>
    <w:rsid w:val="4EAF4F2B"/>
    <w:rsid w:val="4EB85C20"/>
    <w:rsid w:val="4EB86BA1"/>
    <w:rsid w:val="4EB95893"/>
    <w:rsid w:val="4EBE0DAC"/>
    <w:rsid w:val="4EC00FAD"/>
    <w:rsid w:val="4EC608C3"/>
    <w:rsid w:val="4EF65D03"/>
    <w:rsid w:val="4EF97638"/>
    <w:rsid w:val="4EFA2B5A"/>
    <w:rsid w:val="4EFE5C6F"/>
    <w:rsid w:val="4F092218"/>
    <w:rsid w:val="4F1E3541"/>
    <w:rsid w:val="4F22458E"/>
    <w:rsid w:val="4F234EFA"/>
    <w:rsid w:val="4F23798A"/>
    <w:rsid w:val="4F340565"/>
    <w:rsid w:val="4F6B06D0"/>
    <w:rsid w:val="4F7702D1"/>
    <w:rsid w:val="4F873DE4"/>
    <w:rsid w:val="4F876CB5"/>
    <w:rsid w:val="4F930A22"/>
    <w:rsid w:val="4F936CC6"/>
    <w:rsid w:val="4F936FEF"/>
    <w:rsid w:val="4F9843DC"/>
    <w:rsid w:val="4FA73B3B"/>
    <w:rsid w:val="4FB63301"/>
    <w:rsid w:val="4FC569FE"/>
    <w:rsid w:val="4FC62A8C"/>
    <w:rsid w:val="4FC91CCD"/>
    <w:rsid w:val="4FD33B58"/>
    <w:rsid w:val="4FD51C3E"/>
    <w:rsid w:val="4FDD3FC0"/>
    <w:rsid w:val="4FE20F0D"/>
    <w:rsid w:val="4FE51552"/>
    <w:rsid w:val="4FF02C83"/>
    <w:rsid w:val="4FF80FCA"/>
    <w:rsid w:val="501F6657"/>
    <w:rsid w:val="50262F72"/>
    <w:rsid w:val="502A555D"/>
    <w:rsid w:val="5031309B"/>
    <w:rsid w:val="504537B0"/>
    <w:rsid w:val="50504C4B"/>
    <w:rsid w:val="50596C6B"/>
    <w:rsid w:val="50650662"/>
    <w:rsid w:val="507417D1"/>
    <w:rsid w:val="50780470"/>
    <w:rsid w:val="50822794"/>
    <w:rsid w:val="509532E5"/>
    <w:rsid w:val="509C6E7C"/>
    <w:rsid w:val="50A4500D"/>
    <w:rsid w:val="50AB55B0"/>
    <w:rsid w:val="50AF07A1"/>
    <w:rsid w:val="50B45D32"/>
    <w:rsid w:val="50BC41E1"/>
    <w:rsid w:val="50C72E2A"/>
    <w:rsid w:val="50C77D41"/>
    <w:rsid w:val="50CC7199"/>
    <w:rsid w:val="50E27F05"/>
    <w:rsid w:val="50E559EC"/>
    <w:rsid w:val="50ED70CE"/>
    <w:rsid w:val="50F617C5"/>
    <w:rsid w:val="50FB4B23"/>
    <w:rsid w:val="50FF12E0"/>
    <w:rsid w:val="51156A77"/>
    <w:rsid w:val="511E6345"/>
    <w:rsid w:val="51246FB0"/>
    <w:rsid w:val="51251809"/>
    <w:rsid w:val="512C55AF"/>
    <w:rsid w:val="514067BA"/>
    <w:rsid w:val="514F080D"/>
    <w:rsid w:val="51510229"/>
    <w:rsid w:val="5162104E"/>
    <w:rsid w:val="51860D0C"/>
    <w:rsid w:val="51891CE3"/>
    <w:rsid w:val="519073DB"/>
    <w:rsid w:val="51A46F68"/>
    <w:rsid w:val="51AA7034"/>
    <w:rsid w:val="51AE4142"/>
    <w:rsid w:val="51B90D2A"/>
    <w:rsid w:val="51BB775F"/>
    <w:rsid w:val="51CA59BD"/>
    <w:rsid w:val="51CD69B3"/>
    <w:rsid w:val="51E703F6"/>
    <w:rsid w:val="51ED32A7"/>
    <w:rsid w:val="52053FBD"/>
    <w:rsid w:val="52054680"/>
    <w:rsid w:val="52093EE8"/>
    <w:rsid w:val="52185D5C"/>
    <w:rsid w:val="521C2F5D"/>
    <w:rsid w:val="521C7446"/>
    <w:rsid w:val="522560A8"/>
    <w:rsid w:val="523A1DF2"/>
    <w:rsid w:val="52494C03"/>
    <w:rsid w:val="52551262"/>
    <w:rsid w:val="5257370D"/>
    <w:rsid w:val="526F79FC"/>
    <w:rsid w:val="52701DAE"/>
    <w:rsid w:val="527032EE"/>
    <w:rsid w:val="52733715"/>
    <w:rsid w:val="5275707F"/>
    <w:rsid w:val="52822868"/>
    <w:rsid w:val="528425ED"/>
    <w:rsid w:val="528D37FC"/>
    <w:rsid w:val="52B47C23"/>
    <w:rsid w:val="52B538A5"/>
    <w:rsid w:val="52BB7530"/>
    <w:rsid w:val="52BC29D7"/>
    <w:rsid w:val="52E066C6"/>
    <w:rsid w:val="52E25022"/>
    <w:rsid w:val="52F50845"/>
    <w:rsid w:val="531964EA"/>
    <w:rsid w:val="532F147B"/>
    <w:rsid w:val="53401F7C"/>
    <w:rsid w:val="53415185"/>
    <w:rsid w:val="53511228"/>
    <w:rsid w:val="535552AC"/>
    <w:rsid w:val="53581E4E"/>
    <w:rsid w:val="535D465A"/>
    <w:rsid w:val="53671AF5"/>
    <w:rsid w:val="536A41E2"/>
    <w:rsid w:val="536E59D1"/>
    <w:rsid w:val="53792CAA"/>
    <w:rsid w:val="538A0C69"/>
    <w:rsid w:val="538E0D1E"/>
    <w:rsid w:val="538F7178"/>
    <w:rsid w:val="53955B7F"/>
    <w:rsid w:val="539A4FD0"/>
    <w:rsid w:val="539C07E0"/>
    <w:rsid w:val="53A039CC"/>
    <w:rsid w:val="53A1505A"/>
    <w:rsid w:val="53C11B09"/>
    <w:rsid w:val="53C602F9"/>
    <w:rsid w:val="53CE40CB"/>
    <w:rsid w:val="53D71055"/>
    <w:rsid w:val="53EF553F"/>
    <w:rsid w:val="53FD5646"/>
    <w:rsid w:val="53FF0A0A"/>
    <w:rsid w:val="54063E08"/>
    <w:rsid w:val="54065CB8"/>
    <w:rsid w:val="54166292"/>
    <w:rsid w:val="54336F0B"/>
    <w:rsid w:val="543437E8"/>
    <w:rsid w:val="54346AE2"/>
    <w:rsid w:val="543D6241"/>
    <w:rsid w:val="543F4673"/>
    <w:rsid w:val="54441746"/>
    <w:rsid w:val="544E2AC6"/>
    <w:rsid w:val="545C49CC"/>
    <w:rsid w:val="54657329"/>
    <w:rsid w:val="5467528D"/>
    <w:rsid w:val="546B3774"/>
    <w:rsid w:val="54726939"/>
    <w:rsid w:val="54811043"/>
    <w:rsid w:val="548272ED"/>
    <w:rsid w:val="54874762"/>
    <w:rsid w:val="54943B5F"/>
    <w:rsid w:val="54A139B0"/>
    <w:rsid w:val="54A519AF"/>
    <w:rsid w:val="54A71BB4"/>
    <w:rsid w:val="54C613EE"/>
    <w:rsid w:val="54C82162"/>
    <w:rsid w:val="54D24F92"/>
    <w:rsid w:val="54E147A0"/>
    <w:rsid w:val="54F73313"/>
    <w:rsid w:val="54F80955"/>
    <w:rsid w:val="54F964E6"/>
    <w:rsid w:val="55035C16"/>
    <w:rsid w:val="55106576"/>
    <w:rsid w:val="55207745"/>
    <w:rsid w:val="55236B4F"/>
    <w:rsid w:val="552C4ECB"/>
    <w:rsid w:val="5531675D"/>
    <w:rsid w:val="55337FD0"/>
    <w:rsid w:val="553C0EAD"/>
    <w:rsid w:val="55475FB0"/>
    <w:rsid w:val="555170A7"/>
    <w:rsid w:val="556A7BE5"/>
    <w:rsid w:val="556C1424"/>
    <w:rsid w:val="557130E4"/>
    <w:rsid w:val="55713E74"/>
    <w:rsid w:val="557B0928"/>
    <w:rsid w:val="557E6033"/>
    <w:rsid w:val="5587536D"/>
    <w:rsid w:val="5588647D"/>
    <w:rsid w:val="559B174B"/>
    <w:rsid w:val="55A42908"/>
    <w:rsid w:val="55BE0EDC"/>
    <w:rsid w:val="55CD60A3"/>
    <w:rsid w:val="55CE0CF4"/>
    <w:rsid w:val="55D34CF0"/>
    <w:rsid w:val="56056043"/>
    <w:rsid w:val="560C4AE1"/>
    <w:rsid w:val="561051FE"/>
    <w:rsid w:val="56153718"/>
    <w:rsid w:val="561D54E8"/>
    <w:rsid w:val="563A392B"/>
    <w:rsid w:val="563C2915"/>
    <w:rsid w:val="5643347B"/>
    <w:rsid w:val="564954BE"/>
    <w:rsid w:val="564E7E88"/>
    <w:rsid w:val="565B5F06"/>
    <w:rsid w:val="567B6E8C"/>
    <w:rsid w:val="568B455C"/>
    <w:rsid w:val="569940A6"/>
    <w:rsid w:val="569E667C"/>
    <w:rsid w:val="56B22A9C"/>
    <w:rsid w:val="56C27CAE"/>
    <w:rsid w:val="56C34335"/>
    <w:rsid w:val="56C46876"/>
    <w:rsid w:val="56CF05B0"/>
    <w:rsid w:val="56D50FF2"/>
    <w:rsid w:val="56D62DA6"/>
    <w:rsid w:val="57102768"/>
    <w:rsid w:val="571A12C8"/>
    <w:rsid w:val="571A313A"/>
    <w:rsid w:val="571A75C7"/>
    <w:rsid w:val="571B7CCD"/>
    <w:rsid w:val="573057CC"/>
    <w:rsid w:val="57343E1C"/>
    <w:rsid w:val="573870A7"/>
    <w:rsid w:val="57516D23"/>
    <w:rsid w:val="57592AD7"/>
    <w:rsid w:val="57724E36"/>
    <w:rsid w:val="57833AC4"/>
    <w:rsid w:val="57890EAF"/>
    <w:rsid w:val="578E4942"/>
    <w:rsid w:val="57B72A76"/>
    <w:rsid w:val="57C3426C"/>
    <w:rsid w:val="57C65052"/>
    <w:rsid w:val="57CE1F93"/>
    <w:rsid w:val="57CE5E9C"/>
    <w:rsid w:val="57DA05D2"/>
    <w:rsid w:val="57DE77CA"/>
    <w:rsid w:val="57F2565C"/>
    <w:rsid w:val="57F343CC"/>
    <w:rsid w:val="58095D77"/>
    <w:rsid w:val="580A7A4F"/>
    <w:rsid w:val="58330E30"/>
    <w:rsid w:val="58435C71"/>
    <w:rsid w:val="58573DCD"/>
    <w:rsid w:val="58675A8F"/>
    <w:rsid w:val="588743D1"/>
    <w:rsid w:val="5887701A"/>
    <w:rsid w:val="58A44797"/>
    <w:rsid w:val="58A7181D"/>
    <w:rsid w:val="58AE006E"/>
    <w:rsid w:val="58CA736E"/>
    <w:rsid w:val="58CE0BF8"/>
    <w:rsid w:val="58F15E5A"/>
    <w:rsid w:val="58F51AD0"/>
    <w:rsid w:val="590321B7"/>
    <w:rsid w:val="590A276D"/>
    <w:rsid w:val="591244E8"/>
    <w:rsid w:val="591C33CB"/>
    <w:rsid w:val="593A161A"/>
    <w:rsid w:val="594B13E1"/>
    <w:rsid w:val="594B595B"/>
    <w:rsid w:val="59571FF0"/>
    <w:rsid w:val="595835CF"/>
    <w:rsid w:val="596C5919"/>
    <w:rsid w:val="59820F00"/>
    <w:rsid w:val="59895300"/>
    <w:rsid w:val="59977B2A"/>
    <w:rsid w:val="599E727B"/>
    <w:rsid w:val="599F4CC7"/>
    <w:rsid w:val="59AF1C80"/>
    <w:rsid w:val="59B3123E"/>
    <w:rsid w:val="59B76FE1"/>
    <w:rsid w:val="59BD0E36"/>
    <w:rsid w:val="59BE78AA"/>
    <w:rsid w:val="59C0439F"/>
    <w:rsid w:val="59C41415"/>
    <w:rsid w:val="59C93441"/>
    <w:rsid w:val="59CC25AF"/>
    <w:rsid w:val="59D007BD"/>
    <w:rsid w:val="59D74C2F"/>
    <w:rsid w:val="59E8264B"/>
    <w:rsid w:val="59E920E5"/>
    <w:rsid w:val="59EF3361"/>
    <w:rsid w:val="59F16759"/>
    <w:rsid w:val="59F517CA"/>
    <w:rsid w:val="5A0709DC"/>
    <w:rsid w:val="5A0A04CC"/>
    <w:rsid w:val="5A0A731D"/>
    <w:rsid w:val="5A156068"/>
    <w:rsid w:val="5A191F2D"/>
    <w:rsid w:val="5A402EFA"/>
    <w:rsid w:val="5A442897"/>
    <w:rsid w:val="5A4D158B"/>
    <w:rsid w:val="5A50796D"/>
    <w:rsid w:val="5A541E70"/>
    <w:rsid w:val="5A5858D4"/>
    <w:rsid w:val="5A6A6B73"/>
    <w:rsid w:val="5A7C774C"/>
    <w:rsid w:val="5A837704"/>
    <w:rsid w:val="5A8C7595"/>
    <w:rsid w:val="5A9304C2"/>
    <w:rsid w:val="5AAD0884"/>
    <w:rsid w:val="5AAF5FF5"/>
    <w:rsid w:val="5AB06916"/>
    <w:rsid w:val="5ABE2233"/>
    <w:rsid w:val="5AC21AD3"/>
    <w:rsid w:val="5B084CB5"/>
    <w:rsid w:val="5B0D0B31"/>
    <w:rsid w:val="5B4C01AB"/>
    <w:rsid w:val="5B5D4E3E"/>
    <w:rsid w:val="5B6245B1"/>
    <w:rsid w:val="5B625B68"/>
    <w:rsid w:val="5B661A68"/>
    <w:rsid w:val="5B732F2E"/>
    <w:rsid w:val="5B774F15"/>
    <w:rsid w:val="5B81701B"/>
    <w:rsid w:val="5B8775C6"/>
    <w:rsid w:val="5BA93D23"/>
    <w:rsid w:val="5BB46942"/>
    <w:rsid w:val="5BB578E4"/>
    <w:rsid w:val="5BB84DE8"/>
    <w:rsid w:val="5BC34EB3"/>
    <w:rsid w:val="5BC52C08"/>
    <w:rsid w:val="5BD27459"/>
    <w:rsid w:val="5BD35D78"/>
    <w:rsid w:val="5BDF5D95"/>
    <w:rsid w:val="5BE21D9D"/>
    <w:rsid w:val="5BE76F0B"/>
    <w:rsid w:val="5BFB6408"/>
    <w:rsid w:val="5BFE7528"/>
    <w:rsid w:val="5C0334E5"/>
    <w:rsid w:val="5C1B541E"/>
    <w:rsid w:val="5C2A754E"/>
    <w:rsid w:val="5C2E2841"/>
    <w:rsid w:val="5C4D676A"/>
    <w:rsid w:val="5C521B17"/>
    <w:rsid w:val="5C5571AB"/>
    <w:rsid w:val="5C565B1D"/>
    <w:rsid w:val="5C576B86"/>
    <w:rsid w:val="5C672D1A"/>
    <w:rsid w:val="5C6953C4"/>
    <w:rsid w:val="5C695D93"/>
    <w:rsid w:val="5C787020"/>
    <w:rsid w:val="5C7E535D"/>
    <w:rsid w:val="5C82602E"/>
    <w:rsid w:val="5C8A3280"/>
    <w:rsid w:val="5CC2205C"/>
    <w:rsid w:val="5CCE2BAC"/>
    <w:rsid w:val="5CF804F4"/>
    <w:rsid w:val="5D066328"/>
    <w:rsid w:val="5D0928E5"/>
    <w:rsid w:val="5D097BBD"/>
    <w:rsid w:val="5D0C4B9F"/>
    <w:rsid w:val="5D335B6F"/>
    <w:rsid w:val="5D3E498C"/>
    <w:rsid w:val="5D6B3173"/>
    <w:rsid w:val="5D8341DD"/>
    <w:rsid w:val="5D8C26C5"/>
    <w:rsid w:val="5DAB5B22"/>
    <w:rsid w:val="5DB3611B"/>
    <w:rsid w:val="5DC80DAA"/>
    <w:rsid w:val="5DC81231"/>
    <w:rsid w:val="5DE0011A"/>
    <w:rsid w:val="5DF027AD"/>
    <w:rsid w:val="5DF819C2"/>
    <w:rsid w:val="5DFD7A4D"/>
    <w:rsid w:val="5E0164A2"/>
    <w:rsid w:val="5E1377F0"/>
    <w:rsid w:val="5E2467F1"/>
    <w:rsid w:val="5E266F7E"/>
    <w:rsid w:val="5E3076E4"/>
    <w:rsid w:val="5E433269"/>
    <w:rsid w:val="5E6771E3"/>
    <w:rsid w:val="5E7031E4"/>
    <w:rsid w:val="5E737395"/>
    <w:rsid w:val="5E740737"/>
    <w:rsid w:val="5E78602E"/>
    <w:rsid w:val="5E7E3E1A"/>
    <w:rsid w:val="5E7F0526"/>
    <w:rsid w:val="5E806F75"/>
    <w:rsid w:val="5E8655B2"/>
    <w:rsid w:val="5E8F5264"/>
    <w:rsid w:val="5E9B3119"/>
    <w:rsid w:val="5EA33DFC"/>
    <w:rsid w:val="5EAB13CA"/>
    <w:rsid w:val="5EB10319"/>
    <w:rsid w:val="5EB309FA"/>
    <w:rsid w:val="5EB71A7A"/>
    <w:rsid w:val="5ED369A0"/>
    <w:rsid w:val="5EDA15AD"/>
    <w:rsid w:val="5EDC5FB5"/>
    <w:rsid w:val="5EE333E2"/>
    <w:rsid w:val="5EE56057"/>
    <w:rsid w:val="5EE8419F"/>
    <w:rsid w:val="5EED18E9"/>
    <w:rsid w:val="5F016891"/>
    <w:rsid w:val="5F131F7A"/>
    <w:rsid w:val="5F137952"/>
    <w:rsid w:val="5F1A2B43"/>
    <w:rsid w:val="5F275281"/>
    <w:rsid w:val="5F277643"/>
    <w:rsid w:val="5F372886"/>
    <w:rsid w:val="5F377888"/>
    <w:rsid w:val="5F475D76"/>
    <w:rsid w:val="5F4B5627"/>
    <w:rsid w:val="5F596D72"/>
    <w:rsid w:val="5F5A6834"/>
    <w:rsid w:val="5F633E28"/>
    <w:rsid w:val="5F7D0E68"/>
    <w:rsid w:val="5F821062"/>
    <w:rsid w:val="5F8407FE"/>
    <w:rsid w:val="5F8B3928"/>
    <w:rsid w:val="5FB837BB"/>
    <w:rsid w:val="5FCF285D"/>
    <w:rsid w:val="5FD20989"/>
    <w:rsid w:val="5FD8063C"/>
    <w:rsid w:val="5FDC6467"/>
    <w:rsid w:val="6008725C"/>
    <w:rsid w:val="600A7178"/>
    <w:rsid w:val="600F38F4"/>
    <w:rsid w:val="60104FD4"/>
    <w:rsid w:val="601F6461"/>
    <w:rsid w:val="6021402E"/>
    <w:rsid w:val="603142CE"/>
    <w:rsid w:val="603D5512"/>
    <w:rsid w:val="60420D23"/>
    <w:rsid w:val="604F2EE5"/>
    <w:rsid w:val="604F4235"/>
    <w:rsid w:val="60512062"/>
    <w:rsid w:val="605E5A86"/>
    <w:rsid w:val="607249B3"/>
    <w:rsid w:val="607417FE"/>
    <w:rsid w:val="6092396C"/>
    <w:rsid w:val="60953676"/>
    <w:rsid w:val="60A67530"/>
    <w:rsid w:val="60CA68A4"/>
    <w:rsid w:val="60CC405A"/>
    <w:rsid w:val="60D66F2E"/>
    <w:rsid w:val="60DB74E4"/>
    <w:rsid w:val="60F44282"/>
    <w:rsid w:val="60FA4A06"/>
    <w:rsid w:val="61281578"/>
    <w:rsid w:val="612B5876"/>
    <w:rsid w:val="61404FC2"/>
    <w:rsid w:val="61455A59"/>
    <w:rsid w:val="614A60D4"/>
    <w:rsid w:val="615A7643"/>
    <w:rsid w:val="616404C2"/>
    <w:rsid w:val="616A6061"/>
    <w:rsid w:val="617A3B4C"/>
    <w:rsid w:val="617D17A4"/>
    <w:rsid w:val="619C4FB2"/>
    <w:rsid w:val="61A339A9"/>
    <w:rsid w:val="61AC5DF8"/>
    <w:rsid w:val="61AE08FB"/>
    <w:rsid w:val="61B86E7E"/>
    <w:rsid w:val="61BD556F"/>
    <w:rsid w:val="61D84CF2"/>
    <w:rsid w:val="61E215D8"/>
    <w:rsid w:val="61EE0978"/>
    <w:rsid w:val="61F5736C"/>
    <w:rsid w:val="61F97CAB"/>
    <w:rsid w:val="61FB3A15"/>
    <w:rsid w:val="6206043B"/>
    <w:rsid w:val="620E3B25"/>
    <w:rsid w:val="621B3775"/>
    <w:rsid w:val="621E4F2C"/>
    <w:rsid w:val="6223212B"/>
    <w:rsid w:val="62364782"/>
    <w:rsid w:val="624121DF"/>
    <w:rsid w:val="624E0E08"/>
    <w:rsid w:val="624E23E6"/>
    <w:rsid w:val="62551E47"/>
    <w:rsid w:val="6258093D"/>
    <w:rsid w:val="625A1415"/>
    <w:rsid w:val="625B3517"/>
    <w:rsid w:val="625B5132"/>
    <w:rsid w:val="625F280C"/>
    <w:rsid w:val="626D4AA2"/>
    <w:rsid w:val="6277712D"/>
    <w:rsid w:val="62816858"/>
    <w:rsid w:val="628633BD"/>
    <w:rsid w:val="62A41206"/>
    <w:rsid w:val="62A63640"/>
    <w:rsid w:val="62A768B8"/>
    <w:rsid w:val="62B4058A"/>
    <w:rsid w:val="62C12521"/>
    <w:rsid w:val="62C56AE7"/>
    <w:rsid w:val="62C67A66"/>
    <w:rsid w:val="62D00E2B"/>
    <w:rsid w:val="62D11793"/>
    <w:rsid w:val="62E047B7"/>
    <w:rsid w:val="62EE1F7E"/>
    <w:rsid w:val="62EE7796"/>
    <w:rsid w:val="63153904"/>
    <w:rsid w:val="63400F42"/>
    <w:rsid w:val="63492A33"/>
    <w:rsid w:val="634D710C"/>
    <w:rsid w:val="63537E5D"/>
    <w:rsid w:val="636436FC"/>
    <w:rsid w:val="63821585"/>
    <w:rsid w:val="6394356A"/>
    <w:rsid w:val="63A150EA"/>
    <w:rsid w:val="63AE26A9"/>
    <w:rsid w:val="63B84845"/>
    <w:rsid w:val="63C26B06"/>
    <w:rsid w:val="63C61B2C"/>
    <w:rsid w:val="63CE40F1"/>
    <w:rsid w:val="63D40BE9"/>
    <w:rsid w:val="63D82893"/>
    <w:rsid w:val="63D96626"/>
    <w:rsid w:val="63E72CEA"/>
    <w:rsid w:val="63ED1447"/>
    <w:rsid w:val="63F635BE"/>
    <w:rsid w:val="640C267C"/>
    <w:rsid w:val="64102431"/>
    <w:rsid w:val="6411133B"/>
    <w:rsid w:val="64120A7D"/>
    <w:rsid w:val="64150FA8"/>
    <w:rsid w:val="64244EF5"/>
    <w:rsid w:val="644118CB"/>
    <w:rsid w:val="644145CF"/>
    <w:rsid w:val="645F0E88"/>
    <w:rsid w:val="6469281D"/>
    <w:rsid w:val="646C01A8"/>
    <w:rsid w:val="647268FA"/>
    <w:rsid w:val="6477531D"/>
    <w:rsid w:val="647C17A3"/>
    <w:rsid w:val="647E68CA"/>
    <w:rsid w:val="64840233"/>
    <w:rsid w:val="64905A72"/>
    <w:rsid w:val="64A315E3"/>
    <w:rsid w:val="64A5243A"/>
    <w:rsid w:val="64A93523"/>
    <w:rsid w:val="64AB1C95"/>
    <w:rsid w:val="64B228EB"/>
    <w:rsid w:val="64B85F97"/>
    <w:rsid w:val="64C07E7A"/>
    <w:rsid w:val="64D068F1"/>
    <w:rsid w:val="64D45556"/>
    <w:rsid w:val="64E40679"/>
    <w:rsid w:val="64E5191A"/>
    <w:rsid w:val="64F12828"/>
    <w:rsid w:val="64F531DE"/>
    <w:rsid w:val="6500626F"/>
    <w:rsid w:val="65007755"/>
    <w:rsid w:val="65033267"/>
    <w:rsid w:val="65136487"/>
    <w:rsid w:val="6516594F"/>
    <w:rsid w:val="651A07FD"/>
    <w:rsid w:val="651F73FE"/>
    <w:rsid w:val="65204005"/>
    <w:rsid w:val="652D2C9D"/>
    <w:rsid w:val="65373578"/>
    <w:rsid w:val="65596766"/>
    <w:rsid w:val="656C39EF"/>
    <w:rsid w:val="656F7B9B"/>
    <w:rsid w:val="65707208"/>
    <w:rsid w:val="65757F28"/>
    <w:rsid w:val="6587460A"/>
    <w:rsid w:val="65874EDE"/>
    <w:rsid w:val="65896E2B"/>
    <w:rsid w:val="659208FA"/>
    <w:rsid w:val="65927D6D"/>
    <w:rsid w:val="6596397D"/>
    <w:rsid w:val="659917E5"/>
    <w:rsid w:val="65C138BE"/>
    <w:rsid w:val="65C15E2D"/>
    <w:rsid w:val="65EB3DAE"/>
    <w:rsid w:val="6607321C"/>
    <w:rsid w:val="66211F05"/>
    <w:rsid w:val="66224CAE"/>
    <w:rsid w:val="662E5C0D"/>
    <w:rsid w:val="664E2DB0"/>
    <w:rsid w:val="6653201B"/>
    <w:rsid w:val="66606EC0"/>
    <w:rsid w:val="666A2D11"/>
    <w:rsid w:val="666B5841"/>
    <w:rsid w:val="6672019F"/>
    <w:rsid w:val="667E7FC4"/>
    <w:rsid w:val="668079D7"/>
    <w:rsid w:val="668D093F"/>
    <w:rsid w:val="669169B1"/>
    <w:rsid w:val="66A06402"/>
    <w:rsid w:val="66AB5175"/>
    <w:rsid w:val="66B32E0C"/>
    <w:rsid w:val="66C6592C"/>
    <w:rsid w:val="66D0744F"/>
    <w:rsid w:val="66E22BA4"/>
    <w:rsid w:val="66E85AEF"/>
    <w:rsid w:val="66F72F10"/>
    <w:rsid w:val="66F85737"/>
    <w:rsid w:val="67054F56"/>
    <w:rsid w:val="671D576F"/>
    <w:rsid w:val="671F124A"/>
    <w:rsid w:val="67245F3B"/>
    <w:rsid w:val="67286B08"/>
    <w:rsid w:val="672A6322"/>
    <w:rsid w:val="672D118B"/>
    <w:rsid w:val="673D460B"/>
    <w:rsid w:val="673E29E9"/>
    <w:rsid w:val="673E2FBF"/>
    <w:rsid w:val="6766727F"/>
    <w:rsid w:val="676C7513"/>
    <w:rsid w:val="676E6C28"/>
    <w:rsid w:val="677A33C6"/>
    <w:rsid w:val="67947960"/>
    <w:rsid w:val="67A23843"/>
    <w:rsid w:val="67A267CA"/>
    <w:rsid w:val="67C03E13"/>
    <w:rsid w:val="67CB035F"/>
    <w:rsid w:val="67D110C9"/>
    <w:rsid w:val="67D478A2"/>
    <w:rsid w:val="67DA78CF"/>
    <w:rsid w:val="67F14442"/>
    <w:rsid w:val="67FD47EE"/>
    <w:rsid w:val="68100762"/>
    <w:rsid w:val="68127C8B"/>
    <w:rsid w:val="681F20B2"/>
    <w:rsid w:val="681F6961"/>
    <w:rsid w:val="68264CEB"/>
    <w:rsid w:val="682F5EAD"/>
    <w:rsid w:val="683E6069"/>
    <w:rsid w:val="68427840"/>
    <w:rsid w:val="68507A42"/>
    <w:rsid w:val="68610A2F"/>
    <w:rsid w:val="68624901"/>
    <w:rsid w:val="686E1C26"/>
    <w:rsid w:val="68805514"/>
    <w:rsid w:val="68841711"/>
    <w:rsid w:val="68946690"/>
    <w:rsid w:val="689901A4"/>
    <w:rsid w:val="689F5880"/>
    <w:rsid w:val="68BB3B7A"/>
    <w:rsid w:val="68C8653F"/>
    <w:rsid w:val="68D05400"/>
    <w:rsid w:val="68D1750B"/>
    <w:rsid w:val="68D92333"/>
    <w:rsid w:val="68DC5653"/>
    <w:rsid w:val="68DF4AA4"/>
    <w:rsid w:val="68DF65A8"/>
    <w:rsid w:val="68E80B34"/>
    <w:rsid w:val="68F21CDF"/>
    <w:rsid w:val="68F745B7"/>
    <w:rsid w:val="68F913FD"/>
    <w:rsid w:val="690309F1"/>
    <w:rsid w:val="69030A14"/>
    <w:rsid w:val="690507DD"/>
    <w:rsid w:val="69090E33"/>
    <w:rsid w:val="690E4CB3"/>
    <w:rsid w:val="691B2C87"/>
    <w:rsid w:val="69251995"/>
    <w:rsid w:val="69316E2F"/>
    <w:rsid w:val="69383FBF"/>
    <w:rsid w:val="693D7703"/>
    <w:rsid w:val="69457531"/>
    <w:rsid w:val="694E2071"/>
    <w:rsid w:val="69766163"/>
    <w:rsid w:val="697A3B33"/>
    <w:rsid w:val="69A00262"/>
    <w:rsid w:val="69A6184D"/>
    <w:rsid w:val="69A84A39"/>
    <w:rsid w:val="69AF0D22"/>
    <w:rsid w:val="69B935E9"/>
    <w:rsid w:val="69C42E78"/>
    <w:rsid w:val="69CD316A"/>
    <w:rsid w:val="69D44760"/>
    <w:rsid w:val="6A022F6E"/>
    <w:rsid w:val="6A0960AB"/>
    <w:rsid w:val="6A0C7949"/>
    <w:rsid w:val="6A1D4C33"/>
    <w:rsid w:val="6A233A15"/>
    <w:rsid w:val="6A281BFA"/>
    <w:rsid w:val="6A316BAF"/>
    <w:rsid w:val="6A3824EC"/>
    <w:rsid w:val="6A3E1864"/>
    <w:rsid w:val="6A43316E"/>
    <w:rsid w:val="6A520EC7"/>
    <w:rsid w:val="6A6C338F"/>
    <w:rsid w:val="6A875590"/>
    <w:rsid w:val="6A931464"/>
    <w:rsid w:val="6AA9665C"/>
    <w:rsid w:val="6AB963CC"/>
    <w:rsid w:val="6ABA7B58"/>
    <w:rsid w:val="6ABE0286"/>
    <w:rsid w:val="6AC02C0D"/>
    <w:rsid w:val="6AC91366"/>
    <w:rsid w:val="6AD8055E"/>
    <w:rsid w:val="6AE817CB"/>
    <w:rsid w:val="6AED32D6"/>
    <w:rsid w:val="6AF04005"/>
    <w:rsid w:val="6AF87E20"/>
    <w:rsid w:val="6AF91965"/>
    <w:rsid w:val="6B062CFB"/>
    <w:rsid w:val="6B1E48B5"/>
    <w:rsid w:val="6B2D5DC9"/>
    <w:rsid w:val="6B302D18"/>
    <w:rsid w:val="6B322639"/>
    <w:rsid w:val="6B3F2608"/>
    <w:rsid w:val="6B442F89"/>
    <w:rsid w:val="6B52536A"/>
    <w:rsid w:val="6B641337"/>
    <w:rsid w:val="6B676D7A"/>
    <w:rsid w:val="6B694131"/>
    <w:rsid w:val="6B724DDA"/>
    <w:rsid w:val="6B8E5DCB"/>
    <w:rsid w:val="6B9D0A15"/>
    <w:rsid w:val="6BA80FF2"/>
    <w:rsid w:val="6BA848DB"/>
    <w:rsid w:val="6BAD7461"/>
    <w:rsid w:val="6BB80B1D"/>
    <w:rsid w:val="6BBA0F05"/>
    <w:rsid w:val="6BBC6E63"/>
    <w:rsid w:val="6BBC7B59"/>
    <w:rsid w:val="6BBF0836"/>
    <w:rsid w:val="6BC70155"/>
    <w:rsid w:val="6BDC3D7B"/>
    <w:rsid w:val="6BEA065C"/>
    <w:rsid w:val="6C041356"/>
    <w:rsid w:val="6C0E1B17"/>
    <w:rsid w:val="6C1A75F4"/>
    <w:rsid w:val="6C35572A"/>
    <w:rsid w:val="6C3C2767"/>
    <w:rsid w:val="6C473AD0"/>
    <w:rsid w:val="6C4B6211"/>
    <w:rsid w:val="6C5341FB"/>
    <w:rsid w:val="6C5C22BC"/>
    <w:rsid w:val="6C5D07D4"/>
    <w:rsid w:val="6C5E367E"/>
    <w:rsid w:val="6C61433A"/>
    <w:rsid w:val="6C636C38"/>
    <w:rsid w:val="6C7536DD"/>
    <w:rsid w:val="6CA85EC4"/>
    <w:rsid w:val="6CAF0BED"/>
    <w:rsid w:val="6CB43099"/>
    <w:rsid w:val="6D063FF3"/>
    <w:rsid w:val="6D104BCF"/>
    <w:rsid w:val="6D110793"/>
    <w:rsid w:val="6D297B6A"/>
    <w:rsid w:val="6D2D60A4"/>
    <w:rsid w:val="6D2E765D"/>
    <w:rsid w:val="6D316F3B"/>
    <w:rsid w:val="6D443045"/>
    <w:rsid w:val="6D526D88"/>
    <w:rsid w:val="6D5B0A03"/>
    <w:rsid w:val="6D5D1C47"/>
    <w:rsid w:val="6D793547"/>
    <w:rsid w:val="6D7D071A"/>
    <w:rsid w:val="6D847C49"/>
    <w:rsid w:val="6D9009F3"/>
    <w:rsid w:val="6DB34098"/>
    <w:rsid w:val="6DB545B6"/>
    <w:rsid w:val="6DC1264E"/>
    <w:rsid w:val="6DCC4619"/>
    <w:rsid w:val="6DDC657E"/>
    <w:rsid w:val="6DE02FB4"/>
    <w:rsid w:val="6DE76285"/>
    <w:rsid w:val="6DEA303D"/>
    <w:rsid w:val="6DEC21A3"/>
    <w:rsid w:val="6DF21DC4"/>
    <w:rsid w:val="6DF221D5"/>
    <w:rsid w:val="6DF539CD"/>
    <w:rsid w:val="6E133421"/>
    <w:rsid w:val="6E2301CF"/>
    <w:rsid w:val="6E3172D2"/>
    <w:rsid w:val="6E343FF2"/>
    <w:rsid w:val="6E364614"/>
    <w:rsid w:val="6E3F4B10"/>
    <w:rsid w:val="6E3F65EA"/>
    <w:rsid w:val="6E4009D8"/>
    <w:rsid w:val="6E4D18F9"/>
    <w:rsid w:val="6E514CED"/>
    <w:rsid w:val="6E667DD8"/>
    <w:rsid w:val="6E6F4F9D"/>
    <w:rsid w:val="6E7512C7"/>
    <w:rsid w:val="6E7E692C"/>
    <w:rsid w:val="6E857979"/>
    <w:rsid w:val="6E8C7E10"/>
    <w:rsid w:val="6E946CE6"/>
    <w:rsid w:val="6E950B0E"/>
    <w:rsid w:val="6E986077"/>
    <w:rsid w:val="6EAA11A4"/>
    <w:rsid w:val="6EB10BA9"/>
    <w:rsid w:val="6EB563A0"/>
    <w:rsid w:val="6EB563D5"/>
    <w:rsid w:val="6ECD0FBE"/>
    <w:rsid w:val="6ED25B0D"/>
    <w:rsid w:val="6ED25B44"/>
    <w:rsid w:val="6ED736D4"/>
    <w:rsid w:val="6ED92677"/>
    <w:rsid w:val="6EFC0186"/>
    <w:rsid w:val="6F036BB5"/>
    <w:rsid w:val="6F0836EB"/>
    <w:rsid w:val="6F225983"/>
    <w:rsid w:val="6F251194"/>
    <w:rsid w:val="6F275E4F"/>
    <w:rsid w:val="6F2E3655"/>
    <w:rsid w:val="6F35025E"/>
    <w:rsid w:val="6F3C4BED"/>
    <w:rsid w:val="6F802CA1"/>
    <w:rsid w:val="6F9740C1"/>
    <w:rsid w:val="6F980C7A"/>
    <w:rsid w:val="6F9C52CB"/>
    <w:rsid w:val="6FAC35B9"/>
    <w:rsid w:val="6FAF1D1A"/>
    <w:rsid w:val="6FB67EC0"/>
    <w:rsid w:val="6FCA62DC"/>
    <w:rsid w:val="6FD00885"/>
    <w:rsid w:val="6FE93FDC"/>
    <w:rsid w:val="6FEB707F"/>
    <w:rsid w:val="6FEE164F"/>
    <w:rsid w:val="6FF02DB6"/>
    <w:rsid w:val="6FF975B4"/>
    <w:rsid w:val="6FFC5590"/>
    <w:rsid w:val="70035481"/>
    <w:rsid w:val="700E2FBE"/>
    <w:rsid w:val="701676CF"/>
    <w:rsid w:val="702B7738"/>
    <w:rsid w:val="702F3C4F"/>
    <w:rsid w:val="703744E6"/>
    <w:rsid w:val="703C5BB3"/>
    <w:rsid w:val="70440F33"/>
    <w:rsid w:val="70574444"/>
    <w:rsid w:val="706D1DD0"/>
    <w:rsid w:val="707A402A"/>
    <w:rsid w:val="70856B87"/>
    <w:rsid w:val="70AC51DB"/>
    <w:rsid w:val="70B15EA5"/>
    <w:rsid w:val="70CB6A7A"/>
    <w:rsid w:val="70D048D8"/>
    <w:rsid w:val="70D527EE"/>
    <w:rsid w:val="70E637D8"/>
    <w:rsid w:val="70E64144"/>
    <w:rsid w:val="70F13A36"/>
    <w:rsid w:val="70FD6E7A"/>
    <w:rsid w:val="71070754"/>
    <w:rsid w:val="71114454"/>
    <w:rsid w:val="7127501E"/>
    <w:rsid w:val="712967C7"/>
    <w:rsid w:val="712F3803"/>
    <w:rsid w:val="71323E1F"/>
    <w:rsid w:val="71407713"/>
    <w:rsid w:val="714978A7"/>
    <w:rsid w:val="715B5300"/>
    <w:rsid w:val="71692535"/>
    <w:rsid w:val="716F1E85"/>
    <w:rsid w:val="717A702B"/>
    <w:rsid w:val="718D79DD"/>
    <w:rsid w:val="71934C60"/>
    <w:rsid w:val="71993924"/>
    <w:rsid w:val="719941B8"/>
    <w:rsid w:val="719C4CDA"/>
    <w:rsid w:val="71A241D4"/>
    <w:rsid w:val="71BB4DD9"/>
    <w:rsid w:val="71C1726B"/>
    <w:rsid w:val="71C405B0"/>
    <w:rsid w:val="71C76370"/>
    <w:rsid w:val="71CA14CC"/>
    <w:rsid w:val="71D27F8A"/>
    <w:rsid w:val="71D50229"/>
    <w:rsid w:val="71D70E0F"/>
    <w:rsid w:val="71EA27A7"/>
    <w:rsid w:val="71EA5C1A"/>
    <w:rsid w:val="71EF04D8"/>
    <w:rsid w:val="71F25866"/>
    <w:rsid w:val="72083E5F"/>
    <w:rsid w:val="72090861"/>
    <w:rsid w:val="720933A2"/>
    <w:rsid w:val="72192B2A"/>
    <w:rsid w:val="721E6B5D"/>
    <w:rsid w:val="72247288"/>
    <w:rsid w:val="722A5FAC"/>
    <w:rsid w:val="723C3947"/>
    <w:rsid w:val="72553024"/>
    <w:rsid w:val="72601F72"/>
    <w:rsid w:val="726C0D29"/>
    <w:rsid w:val="727D5A5E"/>
    <w:rsid w:val="728269FA"/>
    <w:rsid w:val="72AE7062"/>
    <w:rsid w:val="72B009B8"/>
    <w:rsid w:val="72B90ACD"/>
    <w:rsid w:val="72C25662"/>
    <w:rsid w:val="72C9087F"/>
    <w:rsid w:val="72CD2089"/>
    <w:rsid w:val="72D7078C"/>
    <w:rsid w:val="72E04BD6"/>
    <w:rsid w:val="72E7138B"/>
    <w:rsid w:val="72F072A6"/>
    <w:rsid w:val="73006430"/>
    <w:rsid w:val="73030549"/>
    <w:rsid w:val="73056DE1"/>
    <w:rsid w:val="730A40C3"/>
    <w:rsid w:val="73122968"/>
    <w:rsid w:val="731F5D5E"/>
    <w:rsid w:val="73247AB1"/>
    <w:rsid w:val="732A384D"/>
    <w:rsid w:val="732D4269"/>
    <w:rsid w:val="73300432"/>
    <w:rsid w:val="73323BE8"/>
    <w:rsid w:val="73403702"/>
    <w:rsid w:val="734567B6"/>
    <w:rsid w:val="735D5ECA"/>
    <w:rsid w:val="737F4120"/>
    <w:rsid w:val="737F78B4"/>
    <w:rsid w:val="738B1426"/>
    <w:rsid w:val="73995FF9"/>
    <w:rsid w:val="73B338BE"/>
    <w:rsid w:val="73B47CD1"/>
    <w:rsid w:val="73BD0201"/>
    <w:rsid w:val="73C51AD5"/>
    <w:rsid w:val="73C60C84"/>
    <w:rsid w:val="73D667AD"/>
    <w:rsid w:val="73E7507D"/>
    <w:rsid w:val="73F13863"/>
    <w:rsid w:val="73F22ED3"/>
    <w:rsid w:val="7400051E"/>
    <w:rsid w:val="74085625"/>
    <w:rsid w:val="741178B5"/>
    <w:rsid w:val="741E4F0E"/>
    <w:rsid w:val="741E793C"/>
    <w:rsid w:val="74201107"/>
    <w:rsid w:val="742A4197"/>
    <w:rsid w:val="7431379A"/>
    <w:rsid w:val="743C33B5"/>
    <w:rsid w:val="745A0569"/>
    <w:rsid w:val="745C7648"/>
    <w:rsid w:val="745E3944"/>
    <w:rsid w:val="7466310E"/>
    <w:rsid w:val="747B1CDF"/>
    <w:rsid w:val="748944D6"/>
    <w:rsid w:val="748B7579"/>
    <w:rsid w:val="748D047A"/>
    <w:rsid w:val="748D7FE1"/>
    <w:rsid w:val="749758BA"/>
    <w:rsid w:val="74A24556"/>
    <w:rsid w:val="74A60E67"/>
    <w:rsid w:val="74A92334"/>
    <w:rsid w:val="74AD5F89"/>
    <w:rsid w:val="74AE40F2"/>
    <w:rsid w:val="74B90DD3"/>
    <w:rsid w:val="74C972C2"/>
    <w:rsid w:val="74D13D8C"/>
    <w:rsid w:val="74D31EBD"/>
    <w:rsid w:val="74D37720"/>
    <w:rsid w:val="74D6491B"/>
    <w:rsid w:val="750162FC"/>
    <w:rsid w:val="752B32FF"/>
    <w:rsid w:val="752E10BB"/>
    <w:rsid w:val="75331951"/>
    <w:rsid w:val="75392417"/>
    <w:rsid w:val="753B0836"/>
    <w:rsid w:val="753C37D8"/>
    <w:rsid w:val="75530769"/>
    <w:rsid w:val="755E145E"/>
    <w:rsid w:val="756172D2"/>
    <w:rsid w:val="75617F6B"/>
    <w:rsid w:val="75770CFB"/>
    <w:rsid w:val="75792336"/>
    <w:rsid w:val="758D4DE7"/>
    <w:rsid w:val="75A135F1"/>
    <w:rsid w:val="75A50A64"/>
    <w:rsid w:val="75AB270C"/>
    <w:rsid w:val="75AF1D85"/>
    <w:rsid w:val="75C31803"/>
    <w:rsid w:val="75CD3D4A"/>
    <w:rsid w:val="75D1660C"/>
    <w:rsid w:val="75D81D76"/>
    <w:rsid w:val="75D827E9"/>
    <w:rsid w:val="75E805EA"/>
    <w:rsid w:val="75F40EF5"/>
    <w:rsid w:val="75F83D1A"/>
    <w:rsid w:val="760F36D7"/>
    <w:rsid w:val="761614DD"/>
    <w:rsid w:val="761E0AEC"/>
    <w:rsid w:val="761E4C73"/>
    <w:rsid w:val="762B77A4"/>
    <w:rsid w:val="762F3002"/>
    <w:rsid w:val="7635099D"/>
    <w:rsid w:val="763663F2"/>
    <w:rsid w:val="76367B41"/>
    <w:rsid w:val="76440EC6"/>
    <w:rsid w:val="764864EC"/>
    <w:rsid w:val="764D2E10"/>
    <w:rsid w:val="7650700B"/>
    <w:rsid w:val="76580FC1"/>
    <w:rsid w:val="765A01DA"/>
    <w:rsid w:val="765E70A6"/>
    <w:rsid w:val="766063C8"/>
    <w:rsid w:val="76642841"/>
    <w:rsid w:val="766B126E"/>
    <w:rsid w:val="76727E27"/>
    <w:rsid w:val="76871948"/>
    <w:rsid w:val="768E168E"/>
    <w:rsid w:val="76953302"/>
    <w:rsid w:val="76A67485"/>
    <w:rsid w:val="76DA10B4"/>
    <w:rsid w:val="76E57EB6"/>
    <w:rsid w:val="771E0262"/>
    <w:rsid w:val="772F3627"/>
    <w:rsid w:val="773523C0"/>
    <w:rsid w:val="77396D84"/>
    <w:rsid w:val="77447FAA"/>
    <w:rsid w:val="77457599"/>
    <w:rsid w:val="77472D36"/>
    <w:rsid w:val="77520EDA"/>
    <w:rsid w:val="77567601"/>
    <w:rsid w:val="775E0168"/>
    <w:rsid w:val="77762421"/>
    <w:rsid w:val="77795EB3"/>
    <w:rsid w:val="777D6334"/>
    <w:rsid w:val="7791221B"/>
    <w:rsid w:val="77A54235"/>
    <w:rsid w:val="77A63D73"/>
    <w:rsid w:val="77B15791"/>
    <w:rsid w:val="77B56B1F"/>
    <w:rsid w:val="77B65C4A"/>
    <w:rsid w:val="77B83640"/>
    <w:rsid w:val="77EE500B"/>
    <w:rsid w:val="780E4503"/>
    <w:rsid w:val="780F09F4"/>
    <w:rsid w:val="78104AA8"/>
    <w:rsid w:val="782057F1"/>
    <w:rsid w:val="78243172"/>
    <w:rsid w:val="78277BA3"/>
    <w:rsid w:val="7828377A"/>
    <w:rsid w:val="782A2284"/>
    <w:rsid w:val="78307EC1"/>
    <w:rsid w:val="783677D8"/>
    <w:rsid w:val="78770969"/>
    <w:rsid w:val="787909FD"/>
    <w:rsid w:val="788066CB"/>
    <w:rsid w:val="78852292"/>
    <w:rsid w:val="788E4D1B"/>
    <w:rsid w:val="788E7699"/>
    <w:rsid w:val="7890117A"/>
    <w:rsid w:val="78941235"/>
    <w:rsid w:val="78A829FE"/>
    <w:rsid w:val="78A90480"/>
    <w:rsid w:val="78CC38C0"/>
    <w:rsid w:val="78D93DA4"/>
    <w:rsid w:val="78EF0D33"/>
    <w:rsid w:val="78F15F48"/>
    <w:rsid w:val="78F522DF"/>
    <w:rsid w:val="78F63E7D"/>
    <w:rsid w:val="78FC06D4"/>
    <w:rsid w:val="78FF05AB"/>
    <w:rsid w:val="79142685"/>
    <w:rsid w:val="792027D5"/>
    <w:rsid w:val="792C136E"/>
    <w:rsid w:val="79532E9E"/>
    <w:rsid w:val="79565840"/>
    <w:rsid w:val="795F6904"/>
    <w:rsid w:val="79601055"/>
    <w:rsid w:val="796A0E19"/>
    <w:rsid w:val="797706AB"/>
    <w:rsid w:val="798E3ED6"/>
    <w:rsid w:val="79AA2143"/>
    <w:rsid w:val="79AE45B8"/>
    <w:rsid w:val="79CE4BEE"/>
    <w:rsid w:val="79D0629D"/>
    <w:rsid w:val="79EA5ACC"/>
    <w:rsid w:val="79EE4F32"/>
    <w:rsid w:val="7A1B6E2D"/>
    <w:rsid w:val="7A364017"/>
    <w:rsid w:val="7A3D53AC"/>
    <w:rsid w:val="7A4B6A80"/>
    <w:rsid w:val="7A4C2477"/>
    <w:rsid w:val="7A5744D5"/>
    <w:rsid w:val="7A5C04F1"/>
    <w:rsid w:val="7A77428C"/>
    <w:rsid w:val="7A8265E1"/>
    <w:rsid w:val="7A8B49E9"/>
    <w:rsid w:val="7A990E25"/>
    <w:rsid w:val="7A9D453E"/>
    <w:rsid w:val="7AB00201"/>
    <w:rsid w:val="7AB53DFD"/>
    <w:rsid w:val="7AD9057C"/>
    <w:rsid w:val="7AD95B9E"/>
    <w:rsid w:val="7ADF1740"/>
    <w:rsid w:val="7B022489"/>
    <w:rsid w:val="7B02692A"/>
    <w:rsid w:val="7B0B2B22"/>
    <w:rsid w:val="7B106586"/>
    <w:rsid w:val="7B365221"/>
    <w:rsid w:val="7B461E04"/>
    <w:rsid w:val="7B4D16E5"/>
    <w:rsid w:val="7B514275"/>
    <w:rsid w:val="7B58763B"/>
    <w:rsid w:val="7B603873"/>
    <w:rsid w:val="7B653D9D"/>
    <w:rsid w:val="7B686D42"/>
    <w:rsid w:val="7B6A06A9"/>
    <w:rsid w:val="7B73266E"/>
    <w:rsid w:val="7B7A062D"/>
    <w:rsid w:val="7B80276C"/>
    <w:rsid w:val="7B841746"/>
    <w:rsid w:val="7B853E04"/>
    <w:rsid w:val="7B882D1D"/>
    <w:rsid w:val="7B8B64BD"/>
    <w:rsid w:val="7B8B6F0A"/>
    <w:rsid w:val="7B8C4938"/>
    <w:rsid w:val="7B90075D"/>
    <w:rsid w:val="7BA721F4"/>
    <w:rsid w:val="7BB36EBD"/>
    <w:rsid w:val="7BBD1629"/>
    <w:rsid w:val="7BCD518A"/>
    <w:rsid w:val="7BD61B37"/>
    <w:rsid w:val="7BE25AC7"/>
    <w:rsid w:val="7BE36FF4"/>
    <w:rsid w:val="7BE42FD6"/>
    <w:rsid w:val="7C093CE8"/>
    <w:rsid w:val="7C1417AB"/>
    <w:rsid w:val="7C191427"/>
    <w:rsid w:val="7C371D55"/>
    <w:rsid w:val="7C3D10F2"/>
    <w:rsid w:val="7C650EA5"/>
    <w:rsid w:val="7C652DE6"/>
    <w:rsid w:val="7C6C5AC7"/>
    <w:rsid w:val="7C825C9D"/>
    <w:rsid w:val="7C96089F"/>
    <w:rsid w:val="7CA1068B"/>
    <w:rsid w:val="7CA1589E"/>
    <w:rsid w:val="7CB1304A"/>
    <w:rsid w:val="7CC217D0"/>
    <w:rsid w:val="7CC6544B"/>
    <w:rsid w:val="7CCE50C5"/>
    <w:rsid w:val="7CD6287A"/>
    <w:rsid w:val="7CD800FC"/>
    <w:rsid w:val="7CDF440F"/>
    <w:rsid w:val="7CE82207"/>
    <w:rsid w:val="7CEB2858"/>
    <w:rsid w:val="7CF017EF"/>
    <w:rsid w:val="7CF57EBC"/>
    <w:rsid w:val="7D0239FF"/>
    <w:rsid w:val="7D18183D"/>
    <w:rsid w:val="7D1C5686"/>
    <w:rsid w:val="7D1D6332"/>
    <w:rsid w:val="7D1E5C9A"/>
    <w:rsid w:val="7D24527D"/>
    <w:rsid w:val="7D2748B4"/>
    <w:rsid w:val="7D332485"/>
    <w:rsid w:val="7D4430F3"/>
    <w:rsid w:val="7D522BFE"/>
    <w:rsid w:val="7D53794A"/>
    <w:rsid w:val="7D5E40CD"/>
    <w:rsid w:val="7D692C90"/>
    <w:rsid w:val="7D6A7BFA"/>
    <w:rsid w:val="7D7546CD"/>
    <w:rsid w:val="7D845C41"/>
    <w:rsid w:val="7D887C65"/>
    <w:rsid w:val="7D93574B"/>
    <w:rsid w:val="7D9E76E0"/>
    <w:rsid w:val="7DB31D45"/>
    <w:rsid w:val="7DB60F2A"/>
    <w:rsid w:val="7DBC4201"/>
    <w:rsid w:val="7DCD56F2"/>
    <w:rsid w:val="7DD56821"/>
    <w:rsid w:val="7DDA593C"/>
    <w:rsid w:val="7DDD3C51"/>
    <w:rsid w:val="7DE30148"/>
    <w:rsid w:val="7DED1B13"/>
    <w:rsid w:val="7DF52F5E"/>
    <w:rsid w:val="7DFC6326"/>
    <w:rsid w:val="7DFE2377"/>
    <w:rsid w:val="7E0F7C8B"/>
    <w:rsid w:val="7E137397"/>
    <w:rsid w:val="7E163D9C"/>
    <w:rsid w:val="7E290672"/>
    <w:rsid w:val="7E33549C"/>
    <w:rsid w:val="7E3E2A8D"/>
    <w:rsid w:val="7E4340A8"/>
    <w:rsid w:val="7E581809"/>
    <w:rsid w:val="7E584AB3"/>
    <w:rsid w:val="7E5F3E0A"/>
    <w:rsid w:val="7E643C46"/>
    <w:rsid w:val="7E644FBA"/>
    <w:rsid w:val="7E645995"/>
    <w:rsid w:val="7E6B05A9"/>
    <w:rsid w:val="7E796FBC"/>
    <w:rsid w:val="7E84263A"/>
    <w:rsid w:val="7E8D2429"/>
    <w:rsid w:val="7E955D07"/>
    <w:rsid w:val="7E97416E"/>
    <w:rsid w:val="7EA479B8"/>
    <w:rsid w:val="7EB13532"/>
    <w:rsid w:val="7EB46887"/>
    <w:rsid w:val="7EDB57A2"/>
    <w:rsid w:val="7EEC48B8"/>
    <w:rsid w:val="7EEE68BA"/>
    <w:rsid w:val="7F001CE7"/>
    <w:rsid w:val="7F0143CD"/>
    <w:rsid w:val="7F130465"/>
    <w:rsid w:val="7F2263A4"/>
    <w:rsid w:val="7F2A28F3"/>
    <w:rsid w:val="7F2C0419"/>
    <w:rsid w:val="7F5C35D2"/>
    <w:rsid w:val="7F6D258F"/>
    <w:rsid w:val="7F920DCE"/>
    <w:rsid w:val="7FA6196C"/>
    <w:rsid w:val="7FB144D9"/>
    <w:rsid w:val="7FB40F28"/>
    <w:rsid w:val="7FB44329"/>
    <w:rsid w:val="7FBB4699"/>
    <w:rsid w:val="7FC028DF"/>
    <w:rsid w:val="7FCF6142"/>
    <w:rsid w:val="7FD3521A"/>
    <w:rsid w:val="7FE47E50"/>
    <w:rsid w:val="7FE843CD"/>
    <w:rsid w:val="7FF12B84"/>
    <w:rsid w:val="7FFB194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nhideWhenUsed="0" w:uiPriority="9" w:semiHidden="0" w:name="heading 3" w:locked="1"/>
    <w:lsdException w:qFormat="1" w:unhideWhenUsed="0" w:uiPriority="9" w:semiHidden="0" w:name="heading 4" w:locked="1"/>
    <w:lsdException w:qFormat="1" w:unhideWhenUsed="0" w:uiPriority="0" w:semiHidden="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iPriority="39" w:semiHidden="0" w:name="toc 1" w:locked="1"/>
    <w:lsdException w:qFormat="1" w:unhideWhenUsed="0" w:uiPriority="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qFormat="1"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qFormat="1"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unhideWhenUsed="0" w:uiPriority="0" w:semiHidden="0" w:name="Body Text 3" w:locked="1"/>
    <w:lsdException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2"/>
    <w:basedOn w:val="4"/>
    <w:next w:val="6"/>
    <w:qFormat/>
    <w:locked/>
    <w:uiPriority w:val="0"/>
    <w:pPr>
      <w:keepNext/>
      <w:keepLines/>
      <w:spacing w:before="260" w:after="260" w:line="416" w:lineRule="auto"/>
      <w:outlineLvl w:val="1"/>
    </w:pPr>
    <w:rPr>
      <w:rFonts w:ascii="Arial" w:hAnsi="Arial" w:eastAsia="黑体"/>
      <w:sz w:val="32"/>
    </w:rPr>
  </w:style>
  <w:style w:type="paragraph" w:styleId="8">
    <w:name w:val="heading 3"/>
    <w:basedOn w:val="1"/>
    <w:next w:val="1"/>
    <w:qFormat/>
    <w:locked/>
    <w:uiPriority w:val="9"/>
    <w:pPr>
      <w:spacing w:line="440" w:lineRule="exact"/>
      <w:ind w:firstLine="200" w:firstLineChars="200"/>
      <w:outlineLvl w:val="2"/>
    </w:pPr>
    <w:rPr>
      <w:rFonts w:ascii="Times New Roman" w:hAnsi="Times New Roman"/>
      <w:b/>
      <w:bCs/>
      <w:kern w:val="2"/>
      <w:sz w:val="24"/>
      <w:szCs w:val="22"/>
      <w:lang w:bidi="ar-SA"/>
    </w:rPr>
  </w:style>
  <w:style w:type="paragraph" w:styleId="3">
    <w:name w:val="heading 4"/>
    <w:basedOn w:val="1"/>
    <w:next w:val="2"/>
    <w:qFormat/>
    <w:locked/>
    <w:uiPriority w:val="9"/>
    <w:pPr>
      <w:keepNext/>
      <w:keepLines/>
      <w:spacing w:line="440" w:lineRule="exact"/>
      <w:ind w:firstLine="200" w:firstLineChars="200"/>
      <w:outlineLvl w:val="3"/>
    </w:pPr>
    <w:rPr>
      <w:rFonts w:ascii="Calibri Light" w:hAnsi="Calibri Light"/>
      <w:bCs/>
      <w:kern w:val="2"/>
      <w:sz w:val="24"/>
      <w:szCs w:val="28"/>
      <w:lang w:bidi="ar-SA"/>
    </w:rPr>
  </w:style>
  <w:style w:type="paragraph" w:styleId="9">
    <w:name w:val="heading 5"/>
    <w:basedOn w:val="1"/>
    <w:next w:val="1"/>
    <w:qFormat/>
    <w:locked/>
    <w:uiPriority w:val="0"/>
    <w:pPr>
      <w:keepNext/>
      <w:keepLines/>
      <w:tabs>
        <w:tab w:val="left" w:pos="1843"/>
      </w:tabs>
      <w:jc w:val="center"/>
      <w:outlineLvl w:val="4"/>
    </w:pPr>
    <w:rPr>
      <w:rFonts w:ascii="Times New Roman" w:hAnsi="Times New Roman" w:eastAsia="黑体"/>
      <w:bCs/>
      <w:kern w:val="24"/>
      <w:sz w:val="24"/>
      <w:szCs w:val="24"/>
      <w:lang w:bidi="en-US"/>
    </w:rPr>
  </w:style>
  <w:style w:type="character" w:default="1" w:styleId="38">
    <w:name w:val="Default Paragraph Font"/>
    <w:link w:val="39"/>
    <w:semiHidden/>
    <w:qFormat/>
    <w:uiPriority w:val="0"/>
    <w:rPr>
      <w:color w:val="000000"/>
      <w:kern w:val="0"/>
      <w:u w:val="none" w:color="000000"/>
    </w:rPr>
  </w:style>
  <w:style w:type="table" w:default="1" w:styleId="36">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locked/>
    <w:uiPriority w:val="0"/>
    <w:pPr>
      <w:adjustRightInd w:val="0"/>
      <w:snapToGrid w:val="0"/>
      <w:spacing w:line="460" w:lineRule="atLeast"/>
      <w:ind w:firstLine="200" w:firstLineChars="200"/>
    </w:pPr>
    <w:rPr>
      <w:sz w:val="28"/>
    </w:rPr>
  </w:style>
  <w:style w:type="paragraph" w:customStyle="1" w:styleId="6">
    <w:name w:val="表"/>
    <w:basedOn w:val="7"/>
    <w:qFormat/>
    <w:uiPriority w:val="0"/>
    <w:pPr>
      <w:spacing w:line="440" w:lineRule="exact"/>
      <w:ind w:firstLine="200" w:firstLineChars="200"/>
      <w:jc w:val="both"/>
    </w:pPr>
    <w:rPr>
      <w:rFonts w:ascii="Times New Roman" w:hAnsi="Times New Roman"/>
      <w:sz w:val="24"/>
      <w:lang w:val="en-US" w:eastAsia="zh-CN" w:bidi="ar-SA"/>
    </w:rPr>
  </w:style>
  <w:style w:type="paragraph" w:customStyle="1" w:styleId="7">
    <w:name w:val=" Char Char Char Char"/>
    <w:basedOn w:val="1"/>
    <w:qFormat/>
    <w:uiPriority w:val="0"/>
  </w:style>
  <w:style w:type="paragraph" w:styleId="10">
    <w:name w:val="Note Heading"/>
    <w:basedOn w:val="1"/>
    <w:next w:val="1"/>
    <w:qFormat/>
    <w:locked/>
    <w:uiPriority w:val="0"/>
    <w:pPr>
      <w:jc w:val="center"/>
    </w:pPr>
    <w:rPr>
      <w:rFonts w:hint="eastAsia" w:ascii="宋体"/>
      <w:sz w:val="24"/>
    </w:rPr>
  </w:style>
  <w:style w:type="paragraph" w:styleId="11">
    <w:name w:val="caption"/>
    <w:basedOn w:val="1"/>
    <w:next w:val="1"/>
    <w:unhideWhenUsed/>
    <w:qFormat/>
    <w:locked/>
    <w:uiPriority w:val="0"/>
    <w:pPr>
      <w:spacing w:line="240" w:lineRule="auto"/>
      <w:ind w:firstLine="0" w:firstLineChars="0"/>
      <w:jc w:val="center"/>
    </w:pPr>
    <w:rPr>
      <w:rFonts w:ascii="Times New Roman" w:hAnsi="Times New Roman" w:eastAsia="宋体"/>
      <w:b/>
    </w:rPr>
  </w:style>
  <w:style w:type="paragraph" w:styleId="12">
    <w:name w:val="annotation text"/>
    <w:basedOn w:val="1"/>
    <w:link w:val="48"/>
    <w:semiHidden/>
    <w:qFormat/>
    <w:uiPriority w:val="0"/>
    <w:pPr>
      <w:jc w:val="left"/>
    </w:pPr>
    <w:rPr>
      <w:kern w:val="0"/>
      <w:sz w:val="24"/>
      <w:szCs w:val="20"/>
    </w:rPr>
  </w:style>
  <w:style w:type="paragraph" w:styleId="13">
    <w:name w:val="Body Text"/>
    <w:basedOn w:val="1"/>
    <w:next w:val="14"/>
    <w:link w:val="49"/>
    <w:qFormat/>
    <w:uiPriority w:val="0"/>
    <w:pPr>
      <w:widowControl/>
      <w:snapToGrid w:val="0"/>
      <w:spacing w:before="60" w:after="160" w:line="259" w:lineRule="auto"/>
      <w:ind w:right="113"/>
    </w:pPr>
    <w:rPr>
      <w:kern w:val="0"/>
      <w:sz w:val="18"/>
      <w:szCs w:val="20"/>
    </w:rPr>
  </w:style>
  <w:style w:type="paragraph" w:styleId="14">
    <w:name w:val="List Bullet 5"/>
    <w:basedOn w:val="1"/>
    <w:qFormat/>
    <w:locked/>
    <w:uiPriority w:val="0"/>
    <w:pPr>
      <w:numPr>
        <w:ilvl w:val="0"/>
        <w:numId w:val="1"/>
      </w:numPr>
    </w:pPr>
  </w:style>
  <w:style w:type="paragraph" w:styleId="15">
    <w:name w:val="Body Text Indent"/>
    <w:basedOn w:val="1"/>
    <w:next w:val="16"/>
    <w:link w:val="50"/>
    <w:qFormat/>
    <w:uiPriority w:val="0"/>
    <w:pPr>
      <w:spacing w:after="120"/>
      <w:ind w:left="420" w:leftChars="200"/>
    </w:pPr>
    <w:rPr>
      <w:kern w:val="0"/>
      <w:sz w:val="24"/>
      <w:szCs w:val="20"/>
    </w:rPr>
  </w:style>
  <w:style w:type="paragraph" w:styleId="16">
    <w:name w:val="header"/>
    <w:basedOn w:val="1"/>
    <w:next w:val="17"/>
    <w:link w:val="51"/>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17">
    <w:name w:val="样式5"/>
    <w:basedOn w:val="18"/>
    <w:next w:val="20"/>
    <w:qFormat/>
    <w:uiPriority w:val="0"/>
    <w:pPr>
      <w:tabs>
        <w:tab w:val="center" w:pos="4153"/>
        <w:tab w:val="right" w:pos="8306"/>
      </w:tabs>
      <w:snapToGrid w:val="0"/>
      <w:spacing w:line="360" w:lineRule="auto"/>
      <w:ind w:firstLine="510"/>
    </w:pPr>
    <w:rPr>
      <w:sz w:val="24"/>
      <w:szCs w:val="24"/>
    </w:rPr>
  </w:style>
  <w:style w:type="paragraph" w:customStyle="1" w:styleId="18">
    <w:name w:val="正文1"/>
    <w:basedOn w:val="19"/>
    <w:next w:val="1"/>
    <w:qFormat/>
    <w:uiPriority w:val="0"/>
    <w:pPr>
      <w:tabs>
        <w:tab w:val="center" w:pos="4153"/>
        <w:tab w:val="right" w:pos="8306"/>
      </w:tabs>
      <w:adjustRightInd w:val="0"/>
      <w:snapToGrid w:val="0"/>
      <w:spacing w:line="480" w:lineRule="exact"/>
      <w:ind w:firstLine="200" w:firstLineChars="200"/>
    </w:pPr>
    <w:rPr>
      <w:kern w:val="0"/>
      <w:sz w:val="24"/>
    </w:rPr>
  </w:style>
  <w:style w:type="paragraph" w:styleId="19">
    <w:name w:val="footer"/>
    <w:basedOn w:val="1"/>
    <w:link w:val="52"/>
    <w:qFormat/>
    <w:uiPriority w:val="99"/>
    <w:pPr>
      <w:tabs>
        <w:tab w:val="center" w:pos="4153"/>
        <w:tab w:val="right" w:pos="8306"/>
      </w:tabs>
      <w:snapToGrid w:val="0"/>
      <w:jc w:val="left"/>
    </w:pPr>
    <w:rPr>
      <w:kern w:val="0"/>
      <w:sz w:val="18"/>
      <w:szCs w:val="20"/>
    </w:rPr>
  </w:style>
  <w:style w:type="paragraph" w:customStyle="1" w:styleId="20">
    <w:name w:val="图框文字"/>
    <w:basedOn w:val="1"/>
    <w:qFormat/>
    <w:uiPriority w:val="0"/>
    <w:pPr>
      <w:jc w:val="center"/>
      <w:textAlignment w:val="center"/>
    </w:pPr>
    <w:rPr>
      <w:rFonts w:ascii="Times New Roman" w:hAnsi="Times New Roman" w:eastAsia="宋体" w:cs="Times New Roman"/>
      <w:szCs w:val="24"/>
    </w:rPr>
  </w:style>
  <w:style w:type="paragraph" w:styleId="21">
    <w:name w:val="Block Text"/>
    <w:basedOn w:val="1"/>
    <w:next w:val="1"/>
    <w:qFormat/>
    <w:locked/>
    <w:uiPriority w:val="0"/>
    <w:pPr>
      <w:ind w:left="137" w:right="116" w:firstLine="317"/>
    </w:pPr>
    <w:rPr>
      <w:sz w:val="28"/>
    </w:rPr>
  </w:style>
  <w:style w:type="paragraph" w:styleId="22">
    <w:name w:val="Plain Text"/>
    <w:basedOn w:val="1"/>
    <w:qFormat/>
    <w:locked/>
    <w:uiPriority w:val="0"/>
    <w:rPr>
      <w:rFonts w:ascii="宋体" w:hAnsi="Courier New"/>
    </w:rPr>
  </w:style>
  <w:style w:type="paragraph" w:styleId="23">
    <w:name w:val="Date"/>
    <w:basedOn w:val="1"/>
    <w:next w:val="1"/>
    <w:link w:val="53"/>
    <w:qFormat/>
    <w:uiPriority w:val="0"/>
    <w:pPr>
      <w:ind w:left="100" w:leftChars="2500"/>
    </w:pPr>
    <w:rPr>
      <w:kern w:val="0"/>
      <w:sz w:val="24"/>
      <w:szCs w:val="20"/>
    </w:rPr>
  </w:style>
  <w:style w:type="paragraph" w:styleId="24">
    <w:name w:val="endnote text"/>
    <w:basedOn w:val="1"/>
    <w:qFormat/>
    <w:locked/>
    <w:uiPriority w:val="0"/>
    <w:pPr>
      <w:snapToGrid w:val="0"/>
      <w:jc w:val="left"/>
    </w:pPr>
  </w:style>
  <w:style w:type="paragraph" w:styleId="25">
    <w:name w:val="Balloon Text"/>
    <w:basedOn w:val="1"/>
    <w:link w:val="54"/>
    <w:semiHidden/>
    <w:qFormat/>
    <w:uiPriority w:val="0"/>
    <w:rPr>
      <w:kern w:val="0"/>
      <w:sz w:val="18"/>
      <w:szCs w:val="20"/>
    </w:rPr>
  </w:style>
  <w:style w:type="paragraph" w:styleId="26">
    <w:name w:val="toc 1"/>
    <w:basedOn w:val="1"/>
    <w:next w:val="1"/>
    <w:unhideWhenUsed/>
    <w:qFormat/>
    <w:locked/>
    <w:uiPriority w:val="39"/>
    <w:pPr>
      <w:widowControl/>
      <w:spacing w:after="100" w:line="276" w:lineRule="auto"/>
      <w:jc w:val="left"/>
    </w:pPr>
    <w:rPr>
      <w:kern w:val="0"/>
      <w:sz w:val="22"/>
    </w:rPr>
  </w:style>
  <w:style w:type="paragraph" w:styleId="27">
    <w:name w:val="Body Text Indent 3"/>
    <w:basedOn w:val="1"/>
    <w:qFormat/>
    <w:locked/>
    <w:uiPriority w:val="0"/>
    <w:pPr>
      <w:spacing w:line="300" w:lineRule="auto"/>
      <w:ind w:firstLine="616"/>
    </w:pPr>
  </w:style>
  <w:style w:type="paragraph" w:styleId="28">
    <w:name w:val="toc 2"/>
    <w:basedOn w:val="1"/>
    <w:next w:val="1"/>
    <w:semiHidden/>
    <w:qFormat/>
    <w:locked/>
    <w:uiPriority w:val="0"/>
    <w:pPr>
      <w:spacing w:line="440" w:lineRule="exact"/>
      <w:ind w:firstLine="200" w:firstLineChars="200"/>
    </w:pPr>
  </w:style>
  <w:style w:type="paragraph" w:styleId="29">
    <w:name w:val="Body Text 2"/>
    <w:basedOn w:val="1"/>
    <w:qFormat/>
    <w:locked/>
    <w:uiPriority w:val="0"/>
    <w:pPr>
      <w:spacing w:after="120" w:line="480" w:lineRule="auto"/>
    </w:pPr>
  </w:style>
  <w:style w:type="paragraph" w:styleId="30">
    <w:name w:val="Normal (Web)"/>
    <w:basedOn w:val="1"/>
    <w:link w:val="55"/>
    <w:qFormat/>
    <w:uiPriority w:val="0"/>
    <w:pPr>
      <w:widowControl/>
      <w:spacing w:before="100" w:beforeAutospacing="1" w:after="100" w:afterAutospacing="1"/>
      <w:jc w:val="left"/>
    </w:pPr>
    <w:rPr>
      <w:rFonts w:ascii="宋体" w:hAnsi="宋体"/>
      <w:kern w:val="0"/>
      <w:sz w:val="24"/>
      <w:szCs w:val="20"/>
    </w:rPr>
  </w:style>
  <w:style w:type="paragraph" w:styleId="31">
    <w:name w:val="annotation subject"/>
    <w:basedOn w:val="12"/>
    <w:next w:val="12"/>
    <w:link w:val="56"/>
    <w:semiHidden/>
    <w:qFormat/>
    <w:uiPriority w:val="0"/>
    <w:rPr>
      <w:b/>
      <w:sz w:val="24"/>
      <w:szCs w:val="20"/>
    </w:rPr>
  </w:style>
  <w:style w:type="paragraph" w:styleId="32">
    <w:name w:val="Body Text First Indent"/>
    <w:basedOn w:val="13"/>
    <w:next w:val="1"/>
    <w:link w:val="57"/>
    <w:qFormat/>
    <w:locked/>
    <w:uiPriority w:val="0"/>
    <w:pPr>
      <w:spacing w:after="120"/>
      <w:ind w:firstLine="420" w:firstLineChars="100"/>
    </w:pPr>
    <w:rPr>
      <w:rFonts w:ascii="Times New Roman" w:hAnsi="Times New Roman"/>
      <w:sz w:val="28"/>
      <w:szCs w:val="28"/>
      <w:lang w:val="en-US" w:eastAsia="zh-CN"/>
    </w:rPr>
  </w:style>
  <w:style w:type="paragraph" w:styleId="33">
    <w:name w:val="Body Text First Indent 2"/>
    <w:basedOn w:val="15"/>
    <w:next w:val="34"/>
    <w:qFormat/>
    <w:locked/>
    <w:uiPriority w:val="0"/>
    <w:pPr>
      <w:ind w:firstLine="420" w:firstLineChars="200"/>
    </w:pPr>
  </w:style>
  <w:style w:type="paragraph" w:customStyle="1" w:styleId="34">
    <w:name w:val="Default"/>
    <w:basedOn w:val="35"/>
    <w:next w:val="1"/>
    <w:qFormat/>
    <w:uiPriority w:val="0"/>
    <w:pPr>
      <w:widowControl w:val="0"/>
      <w:autoSpaceDE w:val="0"/>
      <w:autoSpaceDN w:val="0"/>
      <w:adjustRightInd w:val="0"/>
    </w:pPr>
    <w:rPr>
      <w:rFonts w:ascii="Arial Unicode MS" w:hAnsi="Arial Unicode MS" w:eastAsia="宋体" w:cs="Arial Unicode MS"/>
      <w:color w:val="000000"/>
      <w:sz w:val="24"/>
      <w:szCs w:val="24"/>
      <w:lang w:val="en-US" w:eastAsia="zh-CN" w:bidi="ar-SA"/>
    </w:rPr>
  </w:style>
  <w:style w:type="paragraph" w:customStyle="1" w:styleId="35">
    <w:name w:val="标正文格式"/>
    <w:qFormat/>
    <w:uiPriority w:val="0"/>
    <w:pPr>
      <w:spacing w:line="480" w:lineRule="exact"/>
      <w:ind w:firstLine="1092" w:firstLineChars="200"/>
      <w:jc w:val="both"/>
    </w:pPr>
    <w:rPr>
      <w:rFonts w:ascii="Times New Roman" w:hAnsi="Times New Roman" w:eastAsia="宋体" w:cs="Times New Roman"/>
      <w:sz w:val="24"/>
      <w:lang w:val="en-US" w:eastAsia="zh-CN" w:bidi="ar-SA"/>
    </w:rPr>
  </w:style>
  <w:style w:type="table" w:styleId="37">
    <w:name w:val="Table Grid"/>
    <w:basedOn w:val="36"/>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9">
    <w:name w:val="1"/>
    <w:basedOn w:val="1"/>
    <w:next w:val="1"/>
    <w:link w:val="38"/>
    <w:qFormat/>
    <w:uiPriority w:val="0"/>
    <w:rPr>
      <w:color w:val="000000"/>
      <w:kern w:val="0"/>
      <w:u w:val="none" w:color="000000"/>
    </w:rPr>
  </w:style>
  <w:style w:type="character" w:styleId="40">
    <w:name w:val="Strong"/>
    <w:basedOn w:val="38"/>
    <w:qFormat/>
    <w:locked/>
    <w:uiPriority w:val="0"/>
    <w:rPr>
      <w:b/>
    </w:rPr>
  </w:style>
  <w:style w:type="character" w:styleId="41">
    <w:name w:val="page number"/>
    <w:basedOn w:val="38"/>
    <w:qFormat/>
    <w:locked/>
    <w:uiPriority w:val="0"/>
  </w:style>
  <w:style w:type="character" w:styleId="42">
    <w:name w:val="Hyperlink"/>
    <w:basedOn w:val="38"/>
    <w:qFormat/>
    <w:locked/>
    <w:uiPriority w:val="0"/>
    <w:rPr>
      <w:color w:val="0000FF"/>
      <w:u w:val="single"/>
    </w:rPr>
  </w:style>
  <w:style w:type="character" w:styleId="43">
    <w:name w:val="annotation reference"/>
    <w:semiHidden/>
    <w:qFormat/>
    <w:uiPriority w:val="0"/>
    <w:rPr>
      <w:sz w:val="21"/>
    </w:rPr>
  </w:style>
  <w:style w:type="paragraph" w:customStyle="1" w:styleId="44">
    <w:name w:val="样式 正文文本 + 首行缩进:  2 字符"/>
    <w:basedOn w:val="13"/>
    <w:next w:val="1"/>
    <w:qFormat/>
    <w:uiPriority w:val="99"/>
    <w:pPr>
      <w:spacing w:after="200" w:line="480" w:lineRule="exact"/>
      <w:ind w:firstLine="480" w:firstLineChars="200"/>
    </w:pPr>
    <w:rPr>
      <w:rFonts w:ascii="宋体" w:hAnsi="宋体" w:eastAsia="宋体" w:cs="Times New Roman"/>
      <w:sz w:val="24"/>
      <w:lang w:val="en-US" w:eastAsia="zh-CN" w:bidi="ar-SA"/>
    </w:rPr>
  </w:style>
  <w:style w:type="paragraph" w:customStyle="1" w:styleId="45">
    <w:name w:val="标题5-C"/>
    <w:basedOn w:val="9"/>
    <w:next w:val="46"/>
    <w:qFormat/>
    <w:uiPriority w:val="0"/>
    <w:pPr>
      <w:numPr>
        <w:ilvl w:val="4"/>
        <w:numId w:val="2"/>
      </w:numPr>
      <w:tabs>
        <w:tab w:val="clear" w:pos="1843"/>
      </w:tabs>
      <w:jc w:val="left"/>
    </w:pPr>
    <w:rPr>
      <w:rFonts w:ascii="Times New Roman" w:hAnsi="Times New Roman" w:eastAsia="黑体"/>
      <w:kern w:val="24"/>
      <w:sz w:val="21"/>
      <w:szCs w:val="24"/>
      <w:lang w:bidi="en-US"/>
    </w:rPr>
  </w:style>
  <w:style w:type="paragraph" w:customStyle="1" w:styleId="46">
    <w:name w:val="表格内-C"/>
    <w:basedOn w:val="1"/>
    <w:qFormat/>
    <w:uiPriority w:val="0"/>
    <w:pPr>
      <w:widowControl/>
      <w:adjustRightInd w:val="0"/>
      <w:snapToGrid w:val="0"/>
      <w:contextualSpacing/>
      <w:jc w:val="center"/>
    </w:pPr>
    <w:rPr>
      <w:rFonts w:ascii="Times New Roman" w:hAnsi="Times New Roman" w:eastAsia="宋体"/>
      <w:szCs w:val="20"/>
    </w:rPr>
  </w:style>
  <w:style w:type="paragraph" w:customStyle="1" w:styleId="47">
    <w:name w:val="纯文本1"/>
    <w:basedOn w:val="1"/>
    <w:qFormat/>
    <w:uiPriority w:val="0"/>
    <w:pPr>
      <w:spacing w:line="240" w:lineRule="auto"/>
      <w:textAlignment w:val="auto"/>
    </w:pPr>
    <w:rPr>
      <w:rFonts w:ascii="宋体" w:hAnsi="Courier New"/>
      <w:szCs w:val="21"/>
    </w:rPr>
  </w:style>
  <w:style w:type="character" w:customStyle="1" w:styleId="48">
    <w:name w:val="批注文字 字符"/>
    <w:link w:val="12"/>
    <w:qFormat/>
    <w:locked/>
    <w:uiPriority w:val="0"/>
    <w:rPr>
      <w:rFonts w:ascii="Times New Roman" w:hAnsi="Times New Roman" w:eastAsia="宋体"/>
      <w:sz w:val="24"/>
    </w:rPr>
  </w:style>
  <w:style w:type="character" w:customStyle="1" w:styleId="49">
    <w:name w:val="正文文本 字符"/>
    <w:link w:val="13"/>
    <w:qFormat/>
    <w:locked/>
    <w:uiPriority w:val="0"/>
    <w:rPr>
      <w:sz w:val="18"/>
    </w:rPr>
  </w:style>
  <w:style w:type="character" w:customStyle="1" w:styleId="50">
    <w:name w:val="正文文本缩进 字符"/>
    <w:link w:val="15"/>
    <w:semiHidden/>
    <w:qFormat/>
    <w:locked/>
    <w:uiPriority w:val="0"/>
    <w:rPr>
      <w:rFonts w:ascii="Times New Roman" w:hAnsi="Times New Roman" w:eastAsia="宋体"/>
      <w:sz w:val="24"/>
    </w:rPr>
  </w:style>
  <w:style w:type="character" w:customStyle="1" w:styleId="51">
    <w:name w:val="页眉 字符"/>
    <w:link w:val="16"/>
    <w:qFormat/>
    <w:locked/>
    <w:uiPriority w:val="0"/>
    <w:rPr>
      <w:sz w:val="18"/>
    </w:rPr>
  </w:style>
  <w:style w:type="character" w:customStyle="1" w:styleId="52">
    <w:name w:val="页脚 字符1"/>
    <w:link w:val="19"/>
    <w:qFormat/>
    <w:locked/>
    <w:uiPriority w:val="99"/>
    <w:rPr>
      <w:sz w:val="18"/>
    </w:rPr>
  </w:style>
  <w:style w:type="character" w:customStyle="1" w:styleId="53">
    <w:name w:val="日期 字符1"/>
    <w:link w:val="23"/>
    <w:qFormat/>
    <w:locked/>
    <w:uiPriority w:val="0"/>
    <w:rPr>
      <w:rFonts w:ascii="Times New Roman" w:hAnsi="Times New Roman" w:eastAsia="宋体"/>
      <w:sz w:val="24"/>
    </w:rPr>
  </w:style>
  <w:style w:type="character" w:customStyle="1" w:styleId="54">
    <w:name w:val="批注框文本 字符"/>
    <w:link w:val="25"/>
    <w:semiHidden/>
    <w:qFormat/>
    <w:locked/>
    <w:uiPriority w:val="0"/>
    <w:rPr>
      <w:rFonts w:ascii="Times New Roman" w:hAnsi="Times New Roman" w:eastAsia="宋体"/>
      <w:sz w:val="18"/>
    </w:rPr>
  </w:style>
  <w:style w:type="character" w:customStyle="1" w:styleId="55">
    <w:name w:val="普通(网站) 字符"/>
    <w:link w:val="30"/>
    <w:qFormat/>
    <w:locked/>
    <w:uiPriority w:val="0"/>
    <w:rPr>
      <w:rFonts w:ascii="宋体" w:hAnsi="宋体" w:eastAsia="宋体"/>
      <w:sz w:val="24"/>
    </w:rPr>
  </w:style>
  <w:style w:type="character" w:customStyle="1" w:styleId="56">
    <w:name w:val="批注主题 字符"/>
    <w:link w:val="31"/>
    <w:semiHidden/>
    <w:qFormat/>
    <w:locked/>
    <w:uiPriority w:val="0"/>
    <w:rPr>
      <w:rFonts w:ascii="Times New Roman" w:hAnsi="Times New Roman" w:eastAsia="宋体"/>
      <w:b/>
      <w:kern w:val="2"/>
      <w:sz w:val="24"/>
    </w:rPr>
  </w:style>
  <w:style w:type="character" w:customStyle="1" w:styleId="57">
    <w:name w:val="正文首行缩进 Char"/>
    <w:link w:val="32"/>
    <w:qFormat/>
    <w:uiPriority w:val="0"/>
    <w:rPr>
      <w:rFonts w:ascii="Times New Roman" w:hAnsi="Times New Roman"/>
      <w:sz w:val="28"/>
      <w:szCs w:val="28"/>
      <w:lang w:val="en-US" w:eastAsia="zh-CN"/>
    </w:rPr>
  </w:style>
  <w:style w:type="character" w:customStyle="1" w:styleId="58">
    <w:name w:val="表格 Char"/>
    <w:link w:val="59"/>
    <w:qFormat/>
    <w:locked/>
    <w:uiPriority w:val="0"/>
    <w:rPr>
      <w:rFonts w:ascii="宋体"/>
      <w:sz w:val="21"/>
    </w:rPr>
  </w:style>
  <w:style w:type="paragraph" w:customStyle="1" w:styleId="59">
    <w:name w:val="表格"/>
    <w:basedOn w:val="13"/>
    <w:next w:val="13"/>
    <w:link w:val="58"/>
    <w:qFormat/>
    <w:uiPriority w:val="0"/>
    <w:pPr>
      <w:adjustRightInd w:val="0"/>
      <w:snapToGrid w:val="0"/>
      <w:spacing w:beforeLines="10" w:afterLines="10" w:line="259" w:lineRule="auto"/>
      <w:jc w:val="center"/>
    </w:pPr>
    <w:rPr>
      <w:rFonts w:ascii="宋体"/>
      <w:kern w:val="0"/>
      <w:szCs w:val="20"/>
    </w:rPr>
  </w:style>
  <w:style w:type="character" w:customStyle="1" w:styleId="60">
    <w:name w:val="批注文字 字符1"/>
    <w:semiHidden/>
    <w:qFormat/>
    <w:uiPriority w:val="0"/>
    <w:rPr>
      <w:rFonts w:ascii="Times New Roman" w:hAnsi="Times New Roman" w:eastAsia="宋体"/>
      <w:sz w:val="24"/>
    </w:rPr>
  </w:style>
  <w:style w:type="character" w:customStyle="1" w:styleId="61">
    <w:name w:val="其他_"/>
    <w:link w:val="62"/>
    <w:unhideWhenUsed/>
    <w:qFormat/>
    <w:uiPriority w:val="99"/>
    <w:rPr>
      <w:rFonts w:hint="eastAsia" w:ascii="宋体" w:hAnsi="宋体" w:eastAsia="宋体"/>
      <w:color w:val="000000"/>
      <w:kern w:val="0"/>
      <w:sz w:val="20"/>
      <w:u w:val="none" w:color="000000"/>
      <w:lang w:val="zh-CN" w:eastAsia="zh-CN"/>
    </w:rPr>
  </w:style>
  <w:style w:type="paragraph" w:customStyle="1" w:styleId="62">
    <w:name w:val="其他"/>
    <w:basedOn w:val="1"/>
    <w:link w:val="61"/>
    <w:unhideWhenUsed/>
    <w:qFormat/>
    <w:uiPriority w:val="99"/>
    <w:pPr>
      <w:spacing w:beforeLines="0" w:afterLines="0"/>
      <w:jc w:val="center"/>
    </w:pPr>
    <w:rPr>
      <w:rFonts w:hint="eastAsia" w:ascii="宋体" w:hAnsi="宋体" w:eastAsia="宋体"/>
      <w:sz w:val="20"/>
      <w:lang w:val="zh-CN" w:eastAsia="zh-CN"/>
    </w:rPr>
  </w:style>
  <w:style w:type="character" w:customStyle="1" w:styleId="63">
    <w:name w:val="日期 字符"/>
    <w:semiHidden/>
    <w:qFormat/>
    <w:uiPriority w:val="0"/>
    <w:rPr>
      <w:rFonts w:ascii="Times New Roman" w:hAnsi="Times New Roman" w:eastAsia="宋体"/>
      <w:sz w:val="24"/>
    </w:rPr>
  </w:style>
  <w:style w:type="character" w:customStyle="1" w:styleId="64">
    <w:name w:val="正文文本 字符1"/>
    <w:semiHidden/>
    <w:qFormat/>
    <w:uiPriority w:val="0"/>
    <w:rPr>
      <w:rFonts w:ascii="Times New Roman" w:hAnsi="Times New Roman" w:eastAsia="宋体"/>
      <w:sz w:val="24"/>
    </w:rPr>
  </w:style>
  <w:style w:type="character" w:customStyle="1" w:styleId="65">
    <w:name w:val="font01"/>
    <w:qFormat/>
    <w:uiPriority w:val="0"/>
    <w:rPr>
      <w:rFonts w:hint="default" w:ascii="华文楷体" w:hAnsi="华文楷体" w:eastAsia="华文楷体" w:cs="华文楷体"/>
      <w:color w:val="000000"/>
      <w:kern w:val="0"/>
      <w:sz w:val="21"/>
      <w:szCs w:val="21"/>
      <w:u w:val="none" w:color="000000"/>
    </w:rPr>
  </w:style>
  <w:style w:type="character" w:customStyle="1" w:styleId="66">
    <w:name w:val="fontstyle01"/>
    <w:qFormat/>
    <w:uiPriority w:val="0"/>
    <w:rPr>
      <w:rFonts w:hint="eastAsia" w:ascii="宋体" w:hAnsi="宋体" w:eastAsia="宋体"/>
      <w:color w:val="000000"/>
      <w:kern w:val="0"/>
      <w:sz w:val="24"/>
      <w:szCs w:val="24"/>
      <w:u w:val="none" w:color="000000"/>
    </w:rPr>
  </w:style>
  <w:style w:type="character" w:customStyle="1" w:styleId="67">
    <w:name w:val="页脚 字符"/>
    <w:basedOn w:val="38"/>
    <w:qFormat/>
    <w:uiPriority w:val="99"/>
  </w:style>
  <w:style w:type="paragraph" w:customStyle="1" w:styleId="68">
    <w:name w:val="表内容@"/>
    <w:basedOn w:val="1"/>
    <w:qFormat/>
    <w:uiPriority w:val="0"/>
    <w:pPr>
      <w:spacing w:line="0" w:lineRule="atLeast"/>
      <w:jc w:val="center"/>
    </w:pPr>
    <w:rPr>
      <w:rFonts w:cs="宋体"/>
      <w:szCs w:val="22"/>
    </w:rPr>
  </w:style>
  <w:style w:type="paragraph" w:customStyle="1" w:styleId="69">
    <w:name w:val="报告表正文"/>
    <w:basedOn w:val="1"/>
    <w:qFormat/>
    <w:uiPriority w:val="0"/>
    <w:pPr>
      <w:adjustRightInd w:val="0"/>
      <w:spacing w:line="312" w:lineRule="auto"/>
      <w:ind w:left="113" w:right="113" w:firstLine="482"/>
      <w:jc w:val="left"/>
      <w:textAlignment w:val="baseline"/>
    </w:pPr>
    <w:rPr>
      <w:kern w:val="0"/>
      <w:sz w:val="24"/>
    </w:rPr>
  </w:style>
  <w:style w:type="paragraph" w:customStyle="1" w:styleId="70">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71">
    <w:name w:val="文"/>
    <w:basedOn w:val="1"/>
    <w:qFormat/>
    <w:uiPriority w:val="0"/>
    <w:pPr>
      <w:adjustRightInd/>
      <w:spacing w:line="360" w:lineRule="auto"/>
      <w:ind w:firstLine="480" w:firstLineChars="200"/>
      <w:jc w:val="both"/>
      <w:textAlignment w:val="auto"/>
    </w:pPr>
    <w:rPr>
      <w:kern w:val="2"/>
    </w:rPr>
  </w:style>
  <w:style w:type="paragraph" w:customStyle="1" w:styleId="72">
    <w:name w:val="Q-正文"/>
    <w:basedOn w:val="1"/>
    <w:qFormat/>
    <w:uiPriority w:val="0"/>
    <w:pPr>
      <w:autoSpaceDE w:val="0"/>
      <w:autoSpaceDN w:val="0"/>
      <w:spacing w:line="360" w:lineRule="auto"/>
      <w:ind w:firstLine="200" w:firstLineChars="200"/>
    </w:pPr>
    <w:rPr>
      <w:sz w:val="24"/>
      <w:szCs w:val="28"/>
      <w:lang w:val="zh-CN"/>
    </w:rPr>
  </w:style>
  <w:style w:type="paragraph" w:customStyle="1" w:styleId="73">
    <w:name w:val="样式 四号 左侧:  1.53 厘米"/>
    <w:basedOn w:val="1"/>
    <w:qFormat/>
    <w:uiPriority w:val="0"/>
    <w:pPr>
      <w:adjustRightInd w:val="0"/>
    </w:pPr>
    <w:rPr>
      <w:w w:val="90"/>
      <w:sz w:val="28"/>
      <w:szCs w:val="28"/>
    </w:rPr>
  </w:style>
  <w:style w:type="paragraph" w:customStyle="1" w:styleId="74">
    <w:name w:val="3正文"/>
    <w:qFormat/>
    <w:uiPriority w:val="0"/>
    <w:pPr>
      <w:widowControl w:val="0"/>
      <w:spacing w:line="520" w:lineRule="exact"/>
      <w:ind w:firstLine="200" w:firstLineChars="200"/>
      <w:jc w:val="both"/>
    </w:pPr>
    <w:rPr>
      <w:rFonts w:ascii="Calibri" w:hAnsi="Calibri" w:eastAsia="宋体" w:cs="Calibri"/>
      <w:kern w:val="2"/>
      <w:sz w:val="24"/>
      <w:szCs w:val="24"/>
      <w:lang w:val="en-US" w:eastAsia="zh-CN" w:bidi="ar-SA"/>
    </w:rPr>
  </w:style>
  <w:style w:type="paragraph" w:customStyle="1" w:styleId="75">
    <w:name w:val="Body Text First Indent1"/>
    <w:next w:val="1"/>
    <w:qFormat/>
    <w:uiPriority w:val="0"/>
    <w:pPr>
      <w:widowControl w:val="0"/>
      <w:spacing w:after="120"/>
      <w:ind w:firstLine="420"/>
      <w:jc w:val="both"/>
    </w:pPr>
    <w:rPr>
      <w:rFonts w:ascii="Times New Roman" w:hAnsi="Times New Roman" w:eastAsia="宋体" w:cs="Times New Roman"/>
      <w:sz w:val="21"/>
      <w:szCs w:val="22"/>
      <w:lang w:val="en-US" w:eastAsia="zh-CN" w:bidi="ar-SA"/>
    </w:rPr>
  </w:style>
  <w:style w:type="paragraph" w:customStyle="1" w:styleId="76">
    <w:name w:val="aaa正文"/>
    <w:qFormat/>
    <w:uiPriority w:val="0"/>
    <w:pPr>
      <w:spacing w:line="480" w:lineRule="exact"/>
      <w:ind w:firstLine="200" w:firstLineChars="200"/>
      <w:jc w:val="both"/>
    </w:pPr>
    <w:rPr>
      <w:rFonts w:ascii="Times New Roman" w:hAnsi="Times New Roman" w:eastAsia="宋体" w:cs="Times New Roman"/>
      <w:sz w:val="24"/>
      <w:lang w:val="en-US" w:eastAsia="zh-CN" w:bidi="ar-SA"/>
    </w:rPr>
  </w:style>
  <w:style w:type="paragraph" w:customStyle="1" w:styleId="77">
    <w:name w:val="表格居中"/>
    <w:qFormat/>
    <w:uiPriority w:val="0"/>
    <w:pPr>
      <w:spacing w:line="440" w:lineRule="exact"/>
      <w:jc w:val="center"/>
    </w:pPr>
    <w:rPr>
      <w:rFonts w:ascii="Times New Roman" w:hAnsi="Times New Roman" w:eastAsia="宋体" w:cs="Times New Roman"/>
      <w:sz w:val="24"/>
      <w:szCs w:val="24"/>
      <w:lang w:val="en-US" w:eastAsia="zh-CN" w:bidi="ar-SA"/>
    </w:rPr>
  </w:style>
  <w:style w:type="paragraph" w:customStyle="1" w:styleId="78">
    <w:name w:val="内容"/>
    <w:basedOn w:val="33"/>
    <w:qFormat/>
    <w:uiPriority w:val="0"/>
    <w:pPr>
      <w:spacing w:after="0" w:line="360" w:lineRule="auto"/>
      <w:ind w:left="0" w:leftChars="0" w:firstLine="200"/>
    </w:pPr>
    <w:rPr>
      <w:rFonts w:ascii="Times New Roman" w:hAnsi="Times New Roman"/>
      <w:sz w:val="24"/>
      <w:szCs w:val="24"/>
    </w:rPr>
  </w:style>
  <w:style w:type="paragraph" w:customStyle="1" w:styleId="79">
    <w:name w:val="表格文化"/>
    <w:basedOn w:val="1"/>
    <w:qFormat/>
    <w:uiPriority w:val="0"/>
    <w:pPr>
      <w:widowControl/>
      <w:spacing w:beforeLines="25" w:afterLines="25" w:line="360" w:lineRule="auto"/>
      <w:jc w:val="center"/>
    </w:pPr>
    <w:rPr>
      <w:rFonts w:eastAsia="宋体"/>
      <w:b/>
      <w:bCs/>
      <w:snapToGrid w:val="0"/>
      <w:kern w:val="0"/>
      <w:sz w:val="24"/>
    </w:rPr>
  </w:style>
  <w:style w:type="paragraph" w:customStyle="1" w:styleId="80">
    <w:name w:val="Char Char Char Char Char Char Char Char Char1 Char"/>
    <w:basedOn w:val="1"/>
    <w:next w:val="75"/>
    <w:qFormat/>
    <w:uiPriority w:val="0"/>
    <w:rPr>
      <w:rFonts w:ascii="宋体" w:hAnsi="宋体" w:cs="宋体"/>
      <w:szCs w:val="24"/>
    </w:rPr>
  </w:style>
  <w:style w:type="paragraph" w:customStyle="1" w:styleId="81">
    <w:name w:val="表格内容"/>
    <w:qFormat/>
    <w:uiPriority w:val="0"/>
    <w:pPr>
      <w:adjustRightInd w:val="0"/>
      <w:snapToGrid w:val="0"/>
      <w:spacing w:line="360" w:lineRule="exact"/>
      <w:jc w:val="center"/>
    </w:pPr>
    <w:rPr>
      <w:rFonts w:ascii="Times New Roman" w:hAnsi="Times New Roman" w:eastAsia="宋体" w:cs="Times New Roman"/>
      <w:color w:val="000000"/>
      <w:sz w:val="21"/>
      <w:szCs w:val="24"/>
      <w:lang w:val="en-US" w:eastAsia="zh-CN" w:bidi="ar-SA"/>
    </w:rPr>
  </w:style>
  <w:style w:type="paragraph" w:customStyle="1" w:styleId="82">
    <w:name w:val="正文-自建"/>
    <w:basedOn w:val="2"/>
    <w:qFormat/>
    <w:uiPriority w:val="0"/>
    <w:pPr>
      <w:adjustRightInd/>
      <w:snapToGrid/>
      <w:spacing w:line="600" w:lineRule="exact"/>
    </w:pPr>
    <w:rPr>
      <w:rFonts w:ascii="Times New Roman" w:hAnsi="Times New Roman"/>
    </w:rPr>
  </w:style>
  <w:style w:type="paragraph" w:customStyle="1" w:styleId="83">
    <w:name w:val="样式 Times New Roman 加粗 两端对齐 首行缩进:  0.85 厘米 行距: 固定值 22 磅"/>
    <w:basedOn w:val="1"/>
    <w:qFormat/>
    <w:uiPriority w:val="0"/>
    <w:pPr>
      <w:widowControl/>
      <w:spacing w:line="440" w:lineRule="exact"/>
      <w:ind w:firstLine="200" w:firstLineChars="200"/>
    </w:pPr>
    <w:rPr>
      <w:rFonts w:cs="宋体"/>
      <w:b/>
      <w:bCs/>
      <w:kern w:val="0"/>
      <w:sz w:val="24"/>
      <w:szCs w:val="20"/>
    </w:rPr>
  </w:style>
  <w:style w:type="paragraph" w:customStyle="1" w:styleId="84">
    <w:name w:val="样式 样式 样式 四号 左侧:  1.53 厘米 + 首行缩进:  2 字符 + 居中 左侧:  2 字符 首行缩进:  2..."/>
    <w:basedOn w:val="85"/>
    <w:qFormat/>
    <w:uiPriority w:val="0"/>
    <w:pPr>
      <w:ind w:firstLine="0" w:firstLineChars="0"/>
      <w:jc w:val="center"/>
    </w:pPr>
  </w:style>
  <w:style w:type="paragraph" w:customStyle="1" w:styleId="85">
    <w:name w:val="样式 样式 四号 左侧:  1.53 厘米 + 首行缩进:  2 字符"/>
    <w:basedOn w:val="73"/>
    <w:qFormat/>
    <w:uiPriority w:val="0"/>
    <w:pPr>
      <w:ind w:left="200" w:leftChars="200"/>
    </w:pPr>
    <w:rPr>
      <w:szCs w:val="20"/>
    </w:rPr>
  </w:style>
  <w:style w:type="paragraph" w:customStyle="1" w:styleId="86">
    <w:name w:val="表格内容5号"/>
    <w:qFormat/>
    <w:uiPriority w:val="0"/>
    <w:pPr>
      <w:widowControl w:val="0"/>
      <w:snapToGrid w:val="0"/>
      <w:jc w:val="center"/>
    </w:pPr>
    <w:rPr>
      <w:rFonts w:ascii="Times New Roman" w:hAnsi="Times New Roman" w:eastAsia="宋体" w:cs="Times New Roman"/>
      <w:kern w:val="2"/>
      <w:sz w:val="21"/>
      <w:szCs w:val="24"/>
      <w:lang w:val="en-US" w:eastAsia="zh-CN" w:bidi="ar-SA"/>
    </w:rPr>
  </w:style>
  <w:style w:type="paragraph" w:customStyle="1" w:styleId="87">
    <w:name w:val="Table Paragraph"/>
    <w:basedOn w:val="1"/>
    <w:unhideWhenUsed/>
    <w:qFormat/>
    <w:uiPriority w:val="1"/>
    <w:pPr>
      <w:spacing w:beforeLines="0" w:afterLines="0"/>
    </w:pPr>
    <w:rPr>
      <w:rFonts w:hint="default"/>
      <w:sz w:val="24"/>
    </w:rPr>
  </w:style>
  <w:style w:type="paragraph" w:customStyle="1" w:styleId="88">
    <w:name w:val="正文内容"/>
    <w:basedOn w:val="1"/>
    <w:qFormat/>
    <w:uiPriority w:val="0"/>
    <w:pPr>
      <w:spacing w:line="360" w:lineRule="auto"/>
      <w:ind w:firstLine="200" w:firstLineChars="200"/>
    </w:pPr>
    <w:rPr>
      <w:sz w:val="24"/>
      <w:szCs w:val="24"/>
    </w:rPr>
  </w:style>
  <w:style w:type="paragraph" w:customStyle="1" w:styleId="89">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0">
    <w:name w:val="表头1号"/>
    <w:basedOn w:val="1"/>
    <w:qFormat/>
    <w:uiPriority w:val="0"/>
    <w:pPr>
      <w:keepNext/>
      <w:widowControl/>
      <w:spacing w:line="240" w:lineRule="auto"/>
      <w:ind w:firstLine="0" w:firstLineChars="0"/>
      <w:jc w:val="center"/>
    </w:pPr>
    <w:rPr>
      <w:rFonts w:ascii="Times New Roman" w:hAnsi="Times New Roman"/>
      <w:b/>
    </w:rPr>
  </w:style>
  <w:style w:type="paragraph" w:customStyle="1" w:styleId="91">
    <w:name w:val="表头"/>
    <w:basedOn w:val="1"/>
    <w:next w:val="1"/>
    <w:qFormat/>
    <w:uiPriority w:val="0"/>
    <w:pPr>
      <w:numPr>
        <w:ilvl w:val="0"/>
        <w:numId w:val="3"/>
      </w:numPr>
      <w:spacing w:line="440" w:lineRule="exact"/>
      <w:ind w:left="0" w:firstLine="200" w:firstLineChars="200"/>
    </w:pPr>
    <w:rPr>
      <w:rFonts w:ascii="Times New Roman" w:hAnsi="Times New Roman"/>
      <w:b/>
      <w:color w:val="000000"/>
      <w:kern w:val="0"/>
      <w:sz w:val="24"/>
      <w:szCs w:val="24"/>
    </w:rPr>
  </w:style>
  <w:style w:type="paragraph" w:customStyle="1" w:styleId="92">
    <w:name w:val="表格正文"/>
    <w:basedOn w:val="1"/>
    <w:qFormat/>
    <w:uiPriority w:val="0"/>
    <w:pPr>
      <w:adjustRightInd w:val="0"/>
      <w:snapToGrid w:val="0"/>
    </w:pPr>
  </w:style>
  <w:style w:type="character" w:customStyle="1" w:styleId="93">
    <w:name w:val="font21"/>
    <w:basedOn w:val="38"/>
    <w:qFormat/>
    <w:uiPriority w:val="0"/>
    <w:rPr>
      <w:rFonts w:hint="eastAsia" w:ascii="宋体" w:hAnsi="宋体" w:eastAsia="宋体" w:cs="宋体"/>
      <w:color w:val="000000"/>
      <w:sz w:val="21"/>
      <w:szCs w:val="21"/>
      <w:u w:val="none"/>
    </w:rPr>
  </w:style>
  <w:style w:type="paragraph" w:customStyle="1" w:styleId="94">
    <w:name w:val="表中文字"/>
    <w:basedOn w:val="1"/>
    <w:qFormat/>
    <w:uiPriority w:val="0"/>
    <w:pPr>
      <w:adjustRightInd w:val="0"/>
      <w:snapToGrid w:val="0"/>
      <w:spacing w:line="240" w:lineRule="atLeast"/>
      <w:jc w:val="center"/>
    </w:pPr>
    <w:rPr>
      <w:kern w:val="0"/>
      <w:sz w:val="20"/>
      <w:lang w:val="zh-CN"/>
    </w:rPr>
  </w:style>
  <w:style w:type="character" w:customStyle="1" w:styleId="95">
    <w:name w:val="fontstyle11"/>
    <w:qFormat/>
    <w:uiPriority w:val="0"/>
    <w:rPr>
      <w:rFonts w:hint="eastAsia" w:ascii="宋体" w:hAnsi="宋体" w:eastAsia="宋体" w:cs="宋体"/>
      <w:color w:val="000000"/>
      <w:sz w:val="22"/>
      <w:szCs w:val="22"/>
    </w:rPr>
  </w:style>
  <w:style w:type="character" w:customStyle="1" w:styleId="96">
    <w:name w:val="正文（首行缩进两字） Char Char Char Char1"/>
    <w:qFormat/>
    <w:uiPriority w:val="0"/>
    <w:rPr>
      <w:rFonts w:ascii="Arial" w:hAnsi="Arial" w:eastAsia="宋体" w:cs="Times New Roman"/>
      <w:snapToGrid/>
      <w:sz w:val="24"/>
      <w:lang w:val="en-US" w:eastAsia="zh-CN" w:bidi="ar-SA"/>
    </w:rPr>
  </w:style>
  <w:style w:type="paragraph" w:styleId="97">
    <w:name w:val="List Paragraph"/>
    <w:basedOn w:val="1"/>
    <w:qFormat/>
    <w:uiPriority w:val="34"/>
    <w:pPr>
      <w:ind w:firstLine="420" w:firstLineChars="200"/>
    </w:pPr>
  </w:style>
  <w:style w:type="character" w:customStyle="1" w:styleId="98">
    <w:name w:val="font41"/>
    <w:basedOn w:val="38"/>
    <w:qFormat/>
    <w:uiPriority w:val="0"/>
    <w:rPr>
      <w:rFonts w:hint="eastAsia" w:ascii="宋体" w:hAnsi="宋体" w:eastAsia="宋体" w:cs="宋体"/>
      <w:color w:val="0000FF"/>
      <w:sz w:val="21"/>
      <w:szCs w:val="21"/>
      <w:u w:val="none"/>
    </w:rPr>
  </w:style>
  <w:style w:type="character" w:customStyle="1" w:styleId="99">
    <w:name w:val="font11"/>
    <w:basedOn w:val="38"/>
    <w:qFormat/>
    <w:uiPriority w:val="0"/>
    <w:rPr>
      <w:rFonts w:hint="default" w:ascii="Times New Roman" w:hAnsi="Times New Roman" w:cs="Times New Roman"/>
      <w:color w:val="0000FF"/>
      <w:sz w:val="21"/>
      <w:szCs w:val="21"/>
      <w:u w:val="none"/>
    </w:rPr>
  </w:style>
  <w:style w:type="character" w:customStyle="1" w:styleId="100">
    <w:name w:val="font51"/>
    <w:basedOn w:val="38"/>
    <w:qFormat/>
    <w:uiPriority w:val="0"/>
    <w:rPr>
      <w:rFonts w:hint="default" w:ascii="Times New Roman" w:hAnsi="Times New Roman" w:cs="Times New Roman"/>
      <w:color w:val="000000"/>
      <w:sz w:val="21"/>
      <w:szCs w:val="21"/>
      <w:u w:val="none"/>
    </w:rPr>
  </w:style>
  <w:style w:type="paragraph" w:customStyle="1" w:styleId="101">
    <w:name w:val="修改正文"/>
    <w:basedOn w:val="1"/>
    <w:qFormat/>
    <w:uiPriority w:val="0"/>
    <w:pPr>
      <w:adjustRightInd w:val="0"/>
      <w:snapToGrid w:val="0"/>
      <w:spacing w:before="20" w:beforeLines="20" w:line="288" w:lineRule="auto"/>
      <w:ind w:firstLine="420" w:firstLineChars="200"/>
    </w:pPr>
    <w:rPr>
      <w:rFonts w:ascii="Times New Roman" w:hAnsi="Times New Roman" w:eastAsia="宋体" w:cs="Times New Roman"/>
      <w:color w:val="auto"/>
      <w:szCs w:val="21"/>
    </w:rPr>
  </w:style>
  <w:style w:type="paragraph" w:customStyle="1" w:styleId="102">
    <w:name w:val="表标题"/>
    <w:basedOn w:val="1"/>
    <w:qFormat/>
    <w:uiPriority w:val="0"/>
    <w:pPr>
      <w:keepNext/>
      <w:spacing w:before="10" w:beforeLines="10" w:after="10" w:afterLines="10"/>
      <w:jc w:val="center"/>
    </w:pPr>
    <w:rPr>
      <w:rFonts w:hint="eastAsia" w:ascii="Times New Roman" w:hAnsi="Times New Roman" w:eastAsia="宋体"/>
      <w:b/>
      <w:kern w:val="0"/>
      <w:lang w:val="zh-CN"/>
    </w:rPr>
  </w:style>
  <w:style w:type="paragraph" w:customStyle="1" w:styleId="103">
    <w:name w:val="自制表格"/>
    <w:basedOn w:val="1"/>
    <w:qFormat/>
    <w:uiPriority w:val="0"/>
    <w:pPr>
      <w:keepNext/>
      <w:pBdr>
        <w:top w:val="none" w:color="auto" w:sz="0" w:space="1"/>
        <w:left w:val="none" w:color="auto" w:sz="0" w:space="4"/>
        <w:bottom w:val="none" w:color="auto" w:sz="0" w:space="1"/>
        <w:right w:val="none" w:color="auto" w:sz="0" w:space="4"/>
      </w:pBdr>
      <w:jc w:val="center"/>
    </w:pPr>
    <w:rPr>
      <w:rFonts w:ascii="Times New Roman" w:hAnsi="Times New Roman" w:eastAsia="宋体"/>
      <w:kern w:val="0"/>
      <w:lang w:val="zh-CN"/>
    </w:rPr>
  </w:style>
  <w:style w:type="paragraph" w:customStyle="1" w:styleId="104">
    <w:name w:val="报告书表格文（林）"/>
    <w:basedOn w:val="1"/>
    <w:qFormat/>
    <w:uiPriority w:val="0"/>
    <w:pPr>
      <w:spacing w:line="280" w:lineRule="exact"/>
      <w:ind w:firstLine="0" w:firstLineChars="0"/>
      <w:jc w:val="center"/>
    </w:pPr>
    <w:rPr>
      <w:sz w:val="21"/>
    </w:rPr>
  </w:style>
  <w:style w:type="paragraph" w:customStyle="1" w:styleId="105">
    <w:name w:val="g表格标题"/>
    <w:qFormat/>
    <w:uiPriority w:val="0"/>
    <w:pPr>
      <w:spacing w:line="360" w:lineRule="auto"/>
      <w:jc w:val="center"/>
    </w:pPr>
    <w:rPr>
      <w:rFonts w:ascii="Times New Roman" w:hAnsi="Times New Roman" w:eastAsia="宋体" w:cs="Times New Roman"/>
      <w:b/>
      <w:kern w:val="2"/>
      <w:sz w:val="24"/>
      <w:szCs w:val="24"/>
      <w:lang w:val="en-US" w:eastAsia="zh-CN" w:bidi="ar-SA"/>
    </w:rPr>
  </w:style>
  <w:style w:type="character" w:customStyle="1" w:styleId="106">
    <w:name w:val="font31"/>
    <w:basedOn w:val="38"/>
    <w:qFormat/>
    <w:uiPriority w:val="0"/>
    <w:rPr>
      <w:rFonts w:hint="eastAsia" w:ascii="宋体" w:hAnsi="宋体" w:eastAsia="宋体" w:cs="宋体"/>
      <w:color w:val="000000"/>
      <w:sz w:val="21"/>
      <w:szCs w:val="21"/>
      <w:u w:val="none"/>
    </w:rPr>
  </w:style>
  <w:style w:type="paragraph" w:customStyle="1" w:styleId="107">
    <w:name w:val="WPSOffice手动目录 1"/>
    <w:qFormat/>
    <w:uiPriority w:val="0"/>
    <w:pPr>
      <w:ind w:leftChars="0"/>
    </w:pPr>
    <w:rPr>
      <w:rFonts w:ascii="Times New Roman" w:hAnsi="Times New Roman" w:eastAsia="宋体" w:cs="Times New Roman"/>
      <w:sz w:val="20"/>
      <w:szCs w:val="20"/>
    </w:rPr>
  </w:style>
  <w:style w:type="paragraph" w:customStyle="1" w:styleId="108">
    <w:name w:val="居中项"/>
    <w:basedOn w:val="1"/>
    <w:qFormat/>
    <w:uiPriority w:val="0"/>
    <w:pPr>
      <w:adjustRightInd w:val="0"/>
      <w:snapToGrid w:val="0"/>
      <w:spacing w:line="288" w:lineRule="auto"/>
      <w:ind w:firstLine="0" w:firstLineChars="0"/>
      <w:jc w:val="center"/>
    </w:pPr>
    <w:rPr>
      <w:rFonts w:ascii="Times New Roman" w:hAnsi="Times New Roman" w:eastAsia="宋体" w:cs="Times New Roman"/>
      <w:color w:val="auto"/>
      <w:szCs w:val="21"/>
    </w:rPr>
  </w:style>
  <w:style w:type="paragraph" w:customStyle="1" w:styleId="109">
    <w:name w:val="样式 首行缩进:  2 字符1"/>
    <w:basedOn w:val="1"/>
    <w:semiHidden/>
    <w:qFormat/>
    <w:uiPriority w:val="0"/>
    <w:pPr>
      <w:spacing w:line="360" w:lineRule="exact"/>
      <w:ind w:firstLine="0" w:firstLineChars="0"/>
      <w:jc w:val="center"/>
    </w:pPr>
    <w:rPr>
      <w:rFonts w:ascii="Times New Roman"/>
      <w:kern w:val="0"/>
      <w:sz w:val="21"/>
      <w:szCs w:val="21"/>
    </w:rPr>
  </w:style>
  <w:style w:type="paragraph" w:customStyle="1" w:styleId="110">
    <w:name w:val="书正文"/>
    <w:basedOn w:val="1"/>
    <w:qFormat/>
    <w:uiPriority w:val="0"/>
    <w:pPr>
      <w:spacing w:line="500" w:lineRule="exact"/>
      <w:ind w:firstLine="640" w:firstLineChars="200"/>
    </w:pPr>
    <w:rPr>
      <w:szCs w:val="20"/>
    </w:rPr>
  </w:style>
  <w:style w:type="paragraph" w:customStyle="1" w:styleId="111">
    <w:name w:val="正文 首行缩进:  2 字符"/>
    <w:basedOn w:val="1"/>
    <w:semiHidden/>
    <w:qFormat/>
    <w:uiPriority w:val="0"/>
    <w:pPr>
      <w:spacing w:line="520" w:lineRule="exact"/>
      <w:ind w:firstLine="480" w:firstLineChars="200"/>
    </w:pPr>
    <w:rPr>
      <w:rFonts w:ascii="Times New Roman" w:hAnsi="Times New Roman"/>
      <w:kern w:val="44"/>
      <w:sz w:val="24"/>
    </w:rPr>
  </w:style>
  <w:style w:type="paragraph" w:customStyle="1" w:styleId="112">
    <w:name w:val="主正文"/>
    <w:basedOn w:val="1"/>
    <w:qFormat/>
    <w:uiPriority w:val="0"/>
    <w:pPr>
      <w:widowControl/>
      <w:autoSpaceDE/>
      <w:autoSpaceDN/>
      <w:adjustRightInd/>
      <w:snapToGrid/>
      <w:spacing w:before="10" w:beforeLines="10" w:after="10" w:afterLines="10" w:line="440" w:lineRule="exact"/>
      <w:ind w:firstLine="420" w:firstLineChars="200"/>
    </w:pPr>
    <w:rPr>
      <w:rFonts w:hint="eastAsia"/>
      <w:kern w:val="0"/>
      <w:szCs w:val="21"/>
    </w:rPr>
  </w:style>
  <w:style w:type="paragraph" w:customStyle="1" w:styleId="113">
    <w:name w:val="Default1"/>
    <w:qFormat/>
    <w:uiPriority w:val="99"/>
    <w:pPr>
      <w:widowControl w:val="0"/>
      <w:autoSpaceDE w:val="0"/>
      <w:autoSpaceDN w:val="0"/>
      <w:adjustRightInd w:val="0"/>
    </w:pPr>
    <w:rPr>
      <w:rFonts w:ascii="宋体" w:hAnsi="Calibri" w:eastAsia="宋体" w:cs="宋体"/>
      <w:color w:val="000000"/>
      <w:kern w:val="0"/>
      <w:sz w:val="24"/>
      <w:szCs w:val="24"/>
      <w:lang w:val="en-US" w:eastAsia="zh-CN" w:bidi="ar-SA"/>
    </w:rPr>
  </w:style>
  <w:style w:type="paragraph" w:customStyle="1" w:styleId="114">
    <w:name w:val="封面标准名称"/>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15">
    <w:name w:val="二级条标题"/>
    <w:basedOn w:val="116"/>
    <w:next w:val="117"/>
    <w:qFormat/>
    <w:uiPriority w:val="0"/>
    <w:pPr>
      <w:numPr>
        <w:ilvl w:val="2"/>
        <w:numId w:val="4"/>
      </w:numPr>
      <w:spacing w:before="50" w:beforeLines="0" w:after="50" w:afterLines="0"/>
      <w:outlineLvl w:val="3"/>
    </w:pPr>
  </w:style>
  <w:style w:type="paragraph" w:customStyle="1" w:styleId="116">
    <w:name w:val="一级条标题"/>
    <w:next w:val="117"/>
    <w:qFormat/>
    <w:uiPriority w:val="0"/>
    <w:pPr>
      <w:numPr>
        <w:ilvl w:val="1"/>
        <w:numId w:val="4"/>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17">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18">
    <w:name w:val="正文格式"/>
    <w:qFormat/>
    <w:uiPriority w:val="0"/>
    <w:pPr>
      <w:spacing w:line="480" w:lineRule="exact"/>
      <w:ind w:firstLine="480" w:firstLineChars="200"/>
      <w:jc w:val="both"/>
    </w:pPr>
    <w:rPr>
      <w:rFonts w:ascii="Times New Roman" w:hAnsi="Times New Roman" w:eastAsia="宋体" w:cs="Times New Roman"/>
      <w:sz w:val="24"/>
      <w:szCs w:val="24"/>
      <w:lang w:val="en-US" w:eastAsia="zh-CN" w:bidi="ar-SA"/>
    </w:rPr>
  </w:style>
  <w:style w:type="paragraph" w:customStyle="1" w:styleId="119">
    <w:name w:val="标题5-MB"/>
    <w:basedOn w:val="45"/>
    <w:next w:val="120"/>
    <w:qFormat/>
    <w:uiPriority w:val="0"/>
    <w:pPr>
      <w:ind w:left="0"/>
    </w:pPr>
    <w:rPr>
      <w:rFonts w:ascii="Times New Roman" w:hAnsi="Times New Roman" w:cs="Times New Roman"/>
      <w:b/>
      <w:kern w:val="0"/>
      <w:szCs w:val="28"/>
      <w:lang w:val="zh-CN" w:bidi="ar-SA"/>
    </w:rPr>
  </w:style>
  <w:style w:type="paragraph" w:customStyle="1" w:styleId="120">
    <w:name w:val="表格内-MB"/>
    <w:basedOn w:val="1"/>
    <w:qFormat/>
    <w:uiPriority w:val="0"/>
    <w:pPr>
      <w:widowControl/>
      <w:adjustRightInd w:val="0"/>
      <w:snapToGrid w:val="0"/>
      <w:contextualSpacing/>
      <w:jc w:val="center"/>
    </w:pPr>
    <w:rPr>
      <w:rFonts w:ascii="Times New Roman" w:hAnsi="Times New Roman" w:eastAsia="宋体"/>
    </w:rPr>
  </w:style>
  <w:style w:type="paragraph" w:customStyle="1" w:styleId="121">
    <w:name w:val="表字"/>
    <w:next w:val="1"/>
    <w:qFormat/>
    <w:uiPriority w:val="0"/>
    <w:pPr>
      <w:snapToGrid w:val="0"/>
      <w:jc w:val="center"/>
    </w:pPr>
    <w:rPr>
      <w:rFonts w:ascii="Times New Roman" w:hAnsi="Times New Roman" w:eastAsia="宋体" w:cs="Times New Roman"/>
      <w:sz w:val="21"/>
      <w:szCs w:val="24"/>
      <w:lang w:val="en-US" w:eastAsia="zh-CN" w:bidi="ar-SA"/>
    </w:rPr>
  </w:style>
  <w:style w:type="paragraph" w:customStyle="1" w:styleId="122">
    <w:name w:val="1表格文字"/>
    <w:basedOn w:val="123"/>
    <w:next w:val="123"/>
    <w:qFormat/>
    <w:uiPriority w:val="0"/>
    <w:pPr>
      <w:tabs>
        <w:tab w:val="left" w:pos="0"/>
        <w:tab w:val="left" w:pos="360"/>
        <w:tab w:val="left" w:pos="900"/>
      </w:tabs>
      <w:topLinePunct/>
      <w:autoSpaceDE w:val="0"/>
      <w:autoSpaceDN w:val="0"/>
      <w:adjustRightInd w:val="0"/>
      <w:snapToGrid w:val="0"/>
      <w:spacing w:line="240" w:lineRule="auto"/>
      <w:textAlignment w:val="baseline"/>
    </w:pPr>
    <w:rPr>
      <w:bCs/>
      <w:spacing w:val="-12"/>
      <w:kern w:val="0"/>
      <w:sz w:val="21"/>
      <w:szCs w:val="20"/>
    </w:rPr>
  </w:style>
  <w:style w:type="paragraph" w:customStyle="1" w:styleId="123">
    <w:name w:val="表格2"/>
    <w:basedOn w:val="1"/>
    <w:qFormat/>
    <w:uiPriority w:val="0"/>
    <w:pPr>
      <w:spacing w:line="320" w:lineRule="exact"/>
      <w:jc w:val="center"/>
    </w:pPr>
    <w:rPr>
      <w:sz w:val="24"/>
      <w:szCs w:val="28"/>
    </w:rPr>
  </w:style>
  <w:style w:type="paragraph" w:customStyle="1" w:styleId="124">
    <w:name w:val="样式 样式 正文@ + 首行缩进:  2 字符 字距调整小四 紧缩量  0.2 磅 + 首行缩进:  2 字符"/>
    <w:basedOn w:val="1"/>
    <w:qFormat/>
    <w:uiPriority w:val="0"/>
    <w:pPr>
      <w:spacing w:line="360" w:lineRule="auto"/>
      <w:ind w:firstLine="480" w:firstLineChars="200"/>
    </w:pPr>
    <w:rPr>
      <w:rFonts w:ascii="宋体" w:hAnsi="宋体"/>
      <w:kern w:val="24"/>
      <w:sz w:val="24"/>
      <w:szCs w:val="24"/>
    </w:rPr>
  </w:style>
  <w:style w:type="paragraph" w:customStyle="1" w:styleId="125">
    <w:name w:val="Char Char Char Char Char Char Char2"/>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7.jpeg"/><Relationship Id="rId16" Type="http://schemas.openxmlformats.org/officeDocument/2006/relationships/image" Target="media/image6.jpeg"/><Relationship Id="rId15" Type="http://schemas.openxmlformats.org/officeDocument/2006/relationships/image" Target="media/image5.emf"/><Relationship Id="rId14" Type="http://schemas.openxmlformats.org/officeDocument/2006/relationships/oleObject" Target="embeddings/oleObject3.bin"/><Relationship Id="rId13" Type="http://schemas.openxmlformats.org/officeDocument/2006/relationships/image" Target="media/image4.emf"/><Relationship Id="rId12" Type="http://schemas.openxmlformats.org/officeDocument/2006/relationships/oleObject" Target="embeddings/oleObject2.bin"/><Relationship Id="rId11" Type="http://schemas.openxmlformats.org/officeDocument/2006/relationships/image" Target="media/image3.emf"/><Relationship Id="rId10" Type="http://schemas.openxmlformats.org/officeDocument/2006/relationships/oleObject" Target="embeddings/oleObject1.bin"/><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Info spid="_x0000_s1028"/>
    <customShpInfo spid="_x0000_s1027"/>
  </customShpExts>
  <extobjs>
    <extobj name="ECB019B1-382A-4266-B25C-5B523AA43C14-1">
      <extobjdata type="ECB019B1-382A-4266-B25C-5B523AA43C14" data="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"/>
    </extobj>
    <extobj name="ECB019B1-382A-4266-B25C-5B523AA43C14-2">
      <extobjdata type="ECB019B1-382A-4266-B25C-5B523AA43C14" data="ewoJIkZpbGVJZCIgOiAiMTU4NDQzMzExODI2IiwKCSJHcm91cElkIiA6ICIxODE4MDI4NTYiLAoJIkltYWdlIiA6ICJpVkJPUncwS0dnb0FBQUFOU1VoRVVnQUFBcDhBQUFIT0NBWUFBQURlMG1MSEFBQUFDWEJJV1hNQUFBc1RBQUFMRXdFQW1wd1lBQUFnQUVsRVFWUjRuT3pkZVhoVTFkMEg4TytkZlNZckNWbk5BaUVKV2NneW82Q2lWZ0VSVkZwRkZBU3FwYmloUlhDclM5SDZhclVxVXZjRlhGQUtLaUNDVmxHcWdpaFlhOVVrRUJJU1NDQVFzazFXSnNuc00vZjlJNWt4Q1VsSUlKbVpoTy9uZVhpWXU1MTc1dDZUTzc5N3pybm5Ba1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82</Pages>
  <Words>18136</Words>
  <Characters>18792</Characters>
  <Lines>295</Lines>
  <Paragraphs>83</Paragraphs>
  <TotalTime>73</TotalTime>
  <ScaleCrop>false</ScaleCrop>
  <LinksUpToDate>false</LinksUpToDate>
  <CharactersWithSpaces>18952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2020-12-24T01:29:00Z</dcterms:created>
  <dc:creator>lhj</dc:creator>
  <cp:lastModifiedBy>阳威</cp:lastModifiedBy>
  <cp:lastPrinted>2026-06-02T09:05:00Z</cp:lastPrinted>
  <dcterms:modified xsi:type="dcterms:W3CDTF">2026-06-30T01:55:45Z</dcterms:modified>
  <dc:title>附件2</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39843CA3099843D58A96E7DAD63879AB_13</vt:lpwstr>
  </property>
  <property fmtid="{D5CDD505-2E9C-101B-9397-08002B2CF9AE}" pid="4" name="KSOTemplateDocerSaveRecord">
    <vt:lpwstr>eyJoZGlkIjoiMDk5MmY1YWU0M2YyM2ZlYzJiZGM4N2IwNmJjOTVkYzIiLCJ1c2VySWQiOiI2NzI4MDUxMjEifQ==</vt:lpwstr>
  </property>
</Properties>
</file>