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9A500">
      <w:pPr>
        <w:pStyle w:val="6"/>
        <w:widowControl/>
        <w:shd w:val="clear" w:color="auto" w:fill="FFFFFF"/>
        <w:spacing w:beforeAutospacing="0" w:afterAutospacing="0" w:line="360" w:lineRule="auto"/>
        <w:jc w:val="both"/>
        <w:rPr>
          <w:rFonts w:hint="eastAsia" w:ascii="黑体" w:hAnsi="黑体" w:eastAsia="黑体" w:cs="黑体"/>
          <w:b w:val="0"/>
          <w:bCs w:val="0"/>
          <w:color w:val="000000"/>
          <w:sz w:val="32"/>
          <w:szCs w:val="32"/>
        </w:rPr>
      </w:pPr>
      <w:r>
        <w:rPr>
          <w:rFonts w:hint="eastAsia" w:ascii="黑体" w:hAnsi="黑体" w:eastAsia="黑体" w:cs="黑体"/>
          <w:b w:val="0"/>
          <w:bCs w:val="0"/>
          <w:color w:val="000000"/>
          <w:sz w:val="32"/>
          <w:szCs w:val="32"/>
        </w:rPr>
        <w:t>附件2</w:t>
      </w:r>
    </w:p>
    <w:p w14:paraId="0F9B272F">
      <w:pPr>
        <w:pStyle w:val="6"/>
        <w:widowControl/>
        <w:shd w:val="clear" w:color="auto" w:fill="FFFFFF"/>
        <w:spacing w:beforeAutospacing="0" w:afterAutospacing="0" w:line="360" w:lineRule="auto"/>
        <w:jc w:val="center"/>
        <w:rPr>
          <w:rFonts w:ascii="仿宋" w:hAnsi="仿宋" w:eastAsia="仿宋" w:cs="仿宋"/>
          <w:color w:val="000000"/>
          <w:sz w:val="32"/>
          <w:szCs w:val="32"/>
        </w:rPr>
      </w:pPr>
      <w:r>
        <w:rPr>
          <w:rFonts w:hint="eastAsia" w:ascii="方正小标宋简体" w:hAnsi="方正小标宋简体" w:eastAsia="方正小标宋简体" w:cs="方正小标宋简体"/>
          <w:b w:val="0"/>
          <w:bCs w:val="0"/>
          <w:color w:val="000000"/>
          <w:sz w:val="40"/>
          <w:szCs w:val="40"/>
        </w:rPr>
        <w:t>评审办法</w:t>
      </w:r>
    </w:p>
    <w:tbl>
      <w:tblPr>
        <w:tblStyle w:val="7"/>
        <w:tblW w:w="905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87"/>
        <w:gridCol w:w="1049"/>
        <w:gridCol w:w="1275"/>
        <w:gridCol w:w="8"/>
        <w:gridCol w:w="5939"/>
      </w:tblGrid>
      <w:tr w14:paraId="16C069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1836" w:type="dxa"/>
            <w:gridSpan w:val="2"/>
            <w:tcBorders>
              <w:top w:val="single" w:color="auto" w:sz="4" w:space="0"/>
              <w:bottom w:val="single" w:color="auto" w:sz="4" w:space="0"/>
              <w:right w:val="single" w:color="auto" w:sz="4" w:space="0"/>
            </w:tcBorders>
            <w:vAlign w:val="center"/>
          </w:tcPr>
          <w:p w14:paraId="70A439CE">
            <w:pPr>
              <w:adjustRightInd w:val="0"/>
              <w:snapToGrid w:val="0"/>
              <w:jc w:val="center"/>
              <w:rPr>
                <w:rFonts w:ascii="宋体" w:hAnsi="宋体" w:cs="宋体"/>
                <w:b/>
                <w:bCs/>
                <w:szCs w:val="21"/>
              </w:rPr>
            </w:pPr>
            <w:r>
              <w:rPr>
                <w:rFonts w:hint="eastAsia" w:ascii="宋体" w:hAnsi="宋体" w:cs="宋体"/>
                <w:b/>
                <w:bCs/>
                <w:szCs w:val="21"/>
              </w:rPr>
              <w:t>条款号</w:t>
            </w:r>
          </w:p>
        </w:tc>
        <w:tc>
          <w:tcPr>
            <w:tcW w:w="1275" w:type="dxa"/>
            <w:tcBorders>
              <w:top w:val="single" w:color="auto" w:sz="4" w:space="0"/>
              <w:left w:val="single" w:color="auto" w:sz="4" w:space="0"/>
              <w:bottom w:val="single" w:color="auto" w:sz="4" w:space="0"/>
              <w:right w:val="single" w:color="auto" w:sz="4" w:space="0"/>
            </w:tcBorders>
            <w:vAlign w:val="center"/>
          </w:tcPr>
          <w:p w14:paraId="04BFAAD8">
            <w:pPr>
              <w:adjustRightInd w:val="0"/>
              <w:snapToGrid w:val="0"/>
              <w:jc w:val="center"/>
              <w:rPr>
                <w:rFonts w:ascii="宋体" w:hAnsi="宋体" w:cs="宋体"/>
                <w:b/>
                <w:bCs/>
                <w:szCs w:val="21"/>
              </w:rPr>
            </w:pPr>
            <w:r>
              <w:rPr>
                <w:rFonts w:hint="eastAsia" w:ascii="宋体" w:hAnsi="宋体" w:cs="宋体"/>
                <w:b/>
                <w:bCs/>
                <w:szCs w:val="21"/>
              </w:rPr>
              <w:t>评审因素</w:t>
            </w:r>
          </w:p>
        </w:tc>
        <w:tc>
          <w:tcPr>
            <w:tcW w:w="5947" w:type="dxa"/>
            <w:gridSpan w:val="2"/>
            <w:tcBorders>
              <w:top w:val="single" w:color="auto" w:sz="4" w:space="0"/>
              <w:left w:val="single" w:color="auto" w:sz="4" w:space="0"/>
              <w:bottom w:val="single" w:color="auto" w:sz="4" w:space="0"/>
            </w:tcBorders>
            <w:vAlign w:val="center"/>
          </w:tcPr>
          <w:p w14:paraId="30880BE9">
            <w:pPr>
              <w:adjustRightInd w:val="0"/>
              <w:snapToGrid w:val="0"/>
              <w:jc w:val="center"/>
              <w:rPr>
                <w:rFonts w:ascii="宋体" w:hAnsi="宋体" w:cs="宋体"/>
                <w:b/>
                <w:bCs/>
                <w:szCs w:val="21"/>
              </w:rPr>
            </w:pPr>
            <w:r>
              <w:rPr>
                <w:rFonts w:hint="eastAsia" w:ascii="宋体" w:hAnsi="宋体" w:cs="宋体"/>
                <w:b/>
                <w:bCs/>
                <w:szCs w:val="21"/>
              </w:rPr>
              <w:t>评审标准</w:t>
            </w:r>
          </w:p>
        </w:tc>
      </w:tr>
      <w:tr w14:paraId="4D9102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69" w:hRule="atLeast"/>
          <w:jc w:val="center"/>
        </w:trPr>
        <w:tc>
          <w:tcPr>
            <w:tcW w:w="787" w:type="dxa"/>
            <w:tcBorders>
              <w:top w:val="single" w:color="auto" w:sz="4" w:space="0"/>
              <w:bottom w:val="single" w:color="auto" w:sz="4" w:space="0"/>
              <w:right w:val="single" w:color="auto" w:sz="4" w:space="0"/>
            </w:tcBorders>
            <w:vAlign w:val="center"/>
          </w:tcPr>
          <w:p w14:paraId="46EEF118">
            <w:pPr>
              <w:adjustRightInd w:val="0"/>
              <w:snapToGrid w:val="0"/>
              <w:jc w:val="center"/>
              <w:rPr>
                <w:rFonts w:ascii="宋体" w:hAnsi="宋体" w:cs="宋体"/>
                <w:szCs w:val="21"/>
              </w:rPr>
            </w:pPr>
            <w:r>
              <w:rPr>
                <w:rFonts w:hint="eastAsia" w:ascii="宋体" w:hAnsi="宋体" w:cs="宋体"/>
                <w:szCs w:val="21"/>
              </w:rPr>
              <w:t>1</w:t>
            </w:r>
          </w:p>
        </w:tc>
        <w:tc>
          <w:tcPr>
            <w:tcW w:w="1049" w:type="dxa"/>
            <w:tcBorders>
              <w:top w:val="single" w:color="auto" w:sz="4" w:space="0"/>
              <w:bottom w:val="single" w:color="auto" w:sz="4" w:space="0"/>
              <w:right w:val="single" w:color="auto" w:sz="4" w:space="0"/>
            </w:tcBorders>
            <w:vAlign w:val="center"/>
          </w:tcPr>
          <w:p w14:paraId="5D1EFD59">
            <w:pPr>
              <w:adjustRightInd w:val="0"/>
              <w:snapToGrid w:val="0"/>
              <w:jc w:val="center"/>
              <w:rPr>
                <w:rFonts w:ascii="宋体" w:hAnsi="宋体" w:cs="宋体"/>
                <w:szCs w:val="21"/>
              </w:rPr>
            </w:pPr>
            <w:r>
              <w:rPr>
                <w:rFonts w:hint="eastAsia" w:ascii="宋体" w:hAnsi="宋体" w:cs="宋体"/>
                <w:szCs w:val="21"/>
              </w:rPr>
              <w:t>评审方法</w:t>
            </w:r>
          </w:p>
        </w:tc>
        <w:tc>
          <w:tcPr>
            <w:tcW w:w="1275" w:type="dxa"/>
            <w:tcBorders>
              <w:top w:val="single" w:color="auto" w:sz="4" w:space="0"/>
              <w:left w:val="single" w:color="auto" w:sz="4" w:space="0"/>
              <w:bottom w:val="single" w:color="auto" w:sz="4" w:space="0"/>
              <w:right w:val="single" w:color="auto" w:sz="4" w:space="0"/>
            </w:tcBorders>
            <w:vAlign w:val="center"/>
          </w:tcPr>
          <w:p w14:paraId="0C919942">
            <w:pPr>
              <w:adjustRightInd w:val="0"/>
              <w:snapToGrid w:val="0"/>
              <w:jc w:val="center"/>
              <w:rPr>
                <w:rFonts w:ascii="宋体" w:hAnsi="宋体" w:cs="宋体"/>
                <w:szCs w:val="21"/>
              </w:rPr>
            </w:pPr>
            <w:r>
              <w:rPr>
                <w:rFonts w:hint="eastAsia" w:ascii="宋体" w:hAnsi="宋体" w:cs="宋体"/>
                <w:szCs w:val="21"/>
              </w:rPr>
              <w:t>中选候选人排序方法</w:t>
            </w:r>
          </w:p>
        </w:tc>
        <w:tc>
          <w:tcPr>
            <w:tcW w:w="5947" w:type="dxa"/>
            <w:gridSpan w:val="2"/>
            <w:tcBorders>
              <w:top w:val="single" w:color="auto" w:sz="4" w:space="0"/>
              <w:left w:val="single" w:color="auto" w:sz="4" w:space="0"/>
              <w:bottom w:val="single" w:color="auto" w:sz="4" w:space="0"/>
            </w:tcBorders>
            <w:vAlign w:val="center"/>
          </w:tcPr>
          <w:p w14:paraId="200915DC">
            <w:pPr>
              <w:adjustRightInd w:val="0"/>
              <w:snapToGrid w:val="0"/>
              <w:textAlignment w:val="baseline"/>
              <w:outlineLvl w:val="0"/>
              <w:rPr>
                <w:rFonts w:ascii="宋体" w:hAnsi="宋体" w:cs="宋体"/>
                <w:b/>
                <w:szCs w:val="21"/>
              </w:rPr>
            </w:pPr>
            <w:r>
              <w:rPr>
                <w:rFonts w:hint="eastAsia" w:ascii="宋体" w:hAnsi="宋体" w:cs="宋体"/>
                <w:bCs/>
                <w:szCs w:val="21"/>
              </w:rPr>
              <w:t>按得分由高到低顺序推荐中选候选人，并标明排序；综合评分相等时，以比选报价低的优先；如果比选报价相同时，以技术服务方案评分标准得分高的优先；如果技术服务方案评分标准得分也相等，由评审小组投票确定。</w:t>
            </w:r>
          </w:p>
        </w:tc>
      </w:tr>
      <w:tr w14:paraId="523A45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restart"/>
            <w:tcBorders>
              <w:top w:val="single" w:color="auto" w:sz="4" w:space="0"/>
              <w:bottom w:val="single" w:color="auto" w:sz="4" w:space="0"/>
              <w:right w:val="single" w:color="auto" w:sz="4" w:space="0"/>
            </w:tcBorders>
            <w:vAlign w:val="center"/>
          </w:tcPr>
          <w:p w14:paraId="4B7617F6">
            <w:pPr>
              <w:adjustRightInd w:val="0"/>
              <w:snapToGrid w:val="0"/>
              <w:jc w:val="center"/>
              <w:rPr>
                <w:rFonts w:ascii="宋体" w:hAnsi="宋体" w:cs="宋体"/>
                <w:szCs w:val="21"/>
              </w:rPr>
            </w:pPr>
            <w:r>
              <w:rPr>
                <w:rFonts w:hint="eastAsia" w:ascii="宋体" w:hAnsi="宋体" w:cs="宋体"/>
                <w:szCs w:val="21"/>
              </w:rPr>
              <w:t>2.1.1</w:t>
            </w:r>
          </w:p>
        </w:tc>
        <w:tc>
          <w:tcPr>
            <w:tcW w:w="1049" w:type="dxa"/>
            <w:vMerge w:val="restart"/>
            <w:tcBorders>
              <w:top w:val="single" w:color="auto" w:sz="4" w:space="0"/>
              <w:bottom w:val="single" w:color="auto" w:sz="4" w:space="0"/>
              <w:right w:val="single" w:color="auto" w:sz="4" w:space="0"/>
            </w:tcBorders>
            <w:vAlign w:val="center"/>
          </w:tcPr>
          <w:p w14:paraId="0E9E9342">
            <w:pPr>
              <w:adjustRightInd w:val="0"/>
              <w:snapToGrid w:val="0"/>
              <w:jc w:val="center"/>
              <w:rPr>
                <w:rFonts w:ascii="宋体" w:hAnsi="宋体" w:cs="宋体"/>
                <w:szCs w:val="21"/>
              </w:rPr>
            </w:pPr>
            <w:r>
              <w:rPr>
                <w:rFonts w:hint="eastAsia" w:ascii="宋体" w:hAnsi="宋体" w:cs="宋体"/>
                <w:szCs w:val="21"/>
              </w:rPr>
              <w:t>形式评审标准</w:t>
            </w:r>
          </w:p>
        </w:tc>
        <w:tc>
          <w:tcPr>
            <w:tcW w:w="1275" w:type="dxa"/>
            <w:tcBorders>
              <w:top w:val="single" w:color="auto" w:sz="4" w:space="0"/>
              <w:left w:val="single" w:color="auto" w:sz="4" w:space="0"/>
              <w:bottom w:val="single" w:color="auto" w:sz="4" w:space="0"/>
              <w:right w:val="single" w:color="auto" w:sz="4" w:space="0"/>
            </w:tcBorders>
            <w:vAlign w:val="center"/>
          </w:tcPr>
          <w:p w14:paraId="56C6D1A8">
            <w:pPr>
              <w:adjustRightInd w:val="0"/>
              <w:snapToGrid w:val="0"/>
              <w:jc w:val="center"/>
              <w:rPr>
                <w:rFonts w:ascii="宋体" w:hAnsi="宋体" w:cs="宋体"/>
                <w:szCs w:val="21"/>
              </w:rPr>
            </w:pPr>
            <w:r>
              <w:rPr>
                <w:rFonts w:hint="eastAsia" w:ascii="宋体" w:hAnsi="宋体" w:cs="宋体"/>
                <w:szCs w:val="21"/>
              </w:rPr>
              <w:t>比选申请人名称</w:t>
            </w:r>
          </w:p>
        </w:tc>
        <w:tc>
          <w:tcPr>
            <w:tcW w:w="5947" w:type="dxa"/>
            <w:gridSpan w:val="2"/>
            <w:tcBorders>
              <w:top w:val="single" w:color="auto" w:sz="4" w:space="0"/>
              <w:left w:val="single" w:color="auto" w:sz="4" w:space="0"/>
              <w:bottom w:val="single" w:color="auto" w:sz="4" w:space="0"/>
            </w:tcBorders>
            <w:vAlign w:val="center"/>
          </w:tcPr>
          <w:p w14:paraId="46B7FF86">
            <w:pPr>
              <w:adjustRightInd w:val="0"/>
              <w:snapToGrid w:val="0"/>
              <w:rPr>
                <w:rFonts w:ascii="宋体" w:hAnsi="宋体" w:cs="宋体"/>
                <w:szCs w:val="21"/>
              </w:rPr>
            </w:pPr>
            <w:r>
              <w:rPr>
                <w:rFonts w:hint="eastAsia" w:ascii="宋体" w:hAnsi="宋体" w:cs="宋体"/>
                <w:szCs w:val="21"/>
              </w:rPr>
              <w:t>与营业执照一致。</w:t>
            </w:r>
          </w:p>
        </w:tc>
      </w:tr>
      <w:tr w14:paraId="142963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834" w:hRule="atLeast"/>
          <w:jc w:val="center"/>
        </w:trPr>
        <w:tc>
          <w:tcPr>
            <w:tcW w:w="787" w:type="dxa"/>
            <w:vMerge w:val="continue"/>
            <w:tcBorders>
              <w:top w:val="nil"/>
              <w:bottom w:val="single" w:color="auto" w:sz="4" w:space="0"/>
              <w:right w:val="single" w:color="auto" w:sz="4" w:space="0"/>
            </w:tcBorders>
            <w:vAlign w:val="center"/>
          </w:tcPr>
          <w:p w14:paraId="5C46BE33">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033A13F9">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75A9BD7D">
            <w:pPr>
              <w:adjustRightInd w:val="0"/>
              <w:snapToGrid w:val="0"/>
              <w:jc w:val="center"/>
              <w:rPr>
                <w:rFonts w:ascii="宋体" w:hAnsi="宋体" w:cs="宋体"/>
                <w:szCs w:val="21"/>
              </w:rPr>
            </w:pPr>
            <w:r>
              <w:rPr>
                <w:rFonts w:hint="eastAsia" w:ascii="宋体" w:hAnsi="宋体" w:cs="宋体"/>
                <w:szCs w:val="21"/>
              </w:rPr>
              <w:t>比选申请函及比选申请函附录签字盖章</w:t>
            </w:r>
          </w:p>
        </w:tc>
        <w:tc>
          <w:tcPr>
            <w:tcW w:w="5947" w:type="dxa"/>
            <w:gridSpan w:val="2"/>
            <w:tcBorders>
              <w:top w:val="single" w:color="auto" w:sz="4" w:space="0"/>
              <w:left w:val="single" w:color="auto" w:sz="4" w:space="0"/>
              <w:bottom w:val="single" w:color="auto" w:sz="4" w:space="0"/>
            </w:tcBorders>
            <w:vAlign w:val="center"/>
          </w:tcPr>
          <w:p w14:paraId="7C3907DD">
            <w:pPr>
              <w:adjustRightInd w:val="0"/>
              <w:snapToGrid w:val="0"/>
              <w:rPr>
                <w:rFonts w:ascii="宋体" w:hAnsi="宋体" w:cs="宋体"/>
                <w:szCs w:val="21"/>
              </w:rPr>
            </w:pPr>
            <w:r>
              <w:rPr>
                <w:rFonts w:hint="eastAsia" w:ascii="宋体" w:hAnsi="宋体" w:cs="宋体"/>
                <w:szCs w:val="21"/>
              </w:rPr>
              <w:t>有法定代表人或其委托代理人签字或加盖单位公章。由法定代表人签字的，应附法定代表人身份证明，由代理人签字的，应附授权委托书，身份证明或授权委托书应符合“比选申请书格式”的规定。</w:t>
            </w:r>
          </w:p>
        </w:tc>
      </w:tr>
      <w:tr w14:paraId="221C5F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14:paraId="163E80BD">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688695D1">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3257EA3D">
            <w:pPr>
              <w:adjustRightInd w:val="0"/>
              <w:snapToGrid w:val="0"/>
              <w:jc w:val="center"/>
              <w:rPr>
                <w:rFonts w:ascii="宋体" w:hAnsi="宋体" w:cs="宋体"/>
                <w:szCs w:val="21"/>
              </w:rPr>
            </w:pPr>
            <w:r>
              <w:rPr>
                <w:rFonts w:hint="eastAsia" w:ascii="宋体" w:hAnsi="宋体" w:cs="宋体"/>
                <w:szCs w:val="21"/>
              </w:rPr>
              <w:t>比选申请书格式</w:t>
            </w:r>
          </w:p>
        </w:tc>
        <w:tc>
          <w:tcPr>
            <w:tcW w:w="5947" w:type="dxa"/>
            <w:gridSpan w:val="2"/>
            <w:tcBorders>
              <w:top w:val="single" w:color="auto" w:sz="4" w:space="0"/>
              <w:left w:val="single" w:color="auto" w:sz="4" w:space="0"/>
              <w:bottom w:val="single" w:color="auto" w:sz="4" w:space="0"/>
            </w:tcBorders>
            <w:vAlign w:val="center"/>
          </w:tcPr>
          <w:p w14:paraId="1C1490C4">
            <w:pPr>
              <w:adjustRightInd w:val="0"/>
              <w:snapToGrid w:val="0"/>
              <w:rPr>
                <w:rFonts w:ascii="宋体" w:hAnsi="宋体" w:cs="宋体"/>
                <w:szCs w:val="21"/>
              </w:rPr>
            </w:pPr>
            <w:r>
              <w:rPr>
                <w:rFonts w:hint="eastAsia" w:ascii="宋体" w:hAnsi="宋体" w:cs="宋体"/>
                <w:szCs w:val="21"/>
              </w:rPr>
              <w:t>符合“响应文件格式”的要求。</w:t>
            </w:r>
          </w:p>
        </w:tc>
      </w:tr>
      <w:tr w14:paraId="53E56E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14:paraId="2F36771F">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4BA40D29">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11665D71">
            <w:pPr>
              <w:adjustRightInd w:val="0"/>
              <w:snapToGrid w:val="0"/>
              <w:jc w:val="center"/>
              <w:rPr>
                <w:rFonts w:ascii="宋体" w:hAnsi="宋体" w:cs="宋体"/>
                <w:szCs w:val="21"/>
              </w:rPr>
            </w:pPr>
            <w:r>
              <w:rPr>
                <w:rFonts w:hint="eastAsia" w:ascii="宋体" w:hAnsi="宋体" w:cs="宋体"/>
                <w:szCs w:val="21"/>
              </w:rPr>
              <w:t>备选比选申请方案</w:t>
            </w:r>
          </w:p>
        </w:tc>
        <w:tc>
          <w:tcPr>
            <w:tcW w:w="5947" w:type="dxa"/>
            <w:gridSpan w:val="2"/>
            <w:tcBorders>
              <w:top w:val="single" w:color="auto" w:sz="4" w:space="0"/>
              <w:left w:val="single" w:color="auto" w:sz="4" w:space="0"/>
              <w:bottom w:val="single" w:color="auto" w:sz="4" w:space="0"/>
            </w:tcBorders>
            <w:vAlign w:val="center"/>
          </w:tcPr>
          <w:p w14:paraId="50D9C0CD">
            <w:pPr>
              <w:adjustRightInd w:val="0"/>
              <w:snapToGrid w:val="0"/>
              <w:rPr>
                <w:rFonts w:ascii="宋体" w:hAnsi="宋体" w:cs="宋体"/>
                <w:szCs w:val="21"/>
              </w:rPr>
            </w:pPr>
            <w:r>
              <w:rPr>
                <w:rFonts w:hint="eastAsia" w:ascii="宋体" w:hAnsi="宋体" w:cs="宋体"/>
                <w:szCs w:val="21"/>
              </w:rPr>
              <w:t>除比选文件明确允许提交备选比选申请方案外，比选申请人不得提交备选比选申请方案。</w:t>
            </w:r>
          </w:p>
        </w:tc>
      </w:tr>
      <w:tr w14:paraId="42E865A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32" w:hRule="atLeast"/>
          <w:jc w:val="center"/>
        </w:trPr>
        <w:tc>
          <w:tcPr>
            <w:tcW w:w="787" w:type="dxa"/>
            <w:vMerge w:val="continue"/>
            <w:tcBorders>
              <w:top w:val="nil"/>
              <w:bottom w:val="single" w:color="auto" w:sz="4" w:space="0"/>
              <w:right w:val="single" w:color="auto" w:sz="4" w:space="0"/>
            </w:tcBorders>
            <w:vAlign w:val="center"/>
          </w:tcPr>
          <w:p w14:paraId="0E7160A1">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723443F2">
            <w:pPr>
              <w:adjustRightInd w:val="0"/>
              <w:snapToGrid w:val="0"/>
              <w:rPr>
                <w:rFonts w:ascii="宋体" w:hAnsi="宋体" w:cs="宋体"/>
                <w:szCs w:val="21"/>
              </w:rPr>
            </w:pPr>
          </w:p>
        </w:tc>
        <w:tc>
          <w:tcPr>
            <w:tcW w:w="1275" w:type="dxa"/>
            <w:tcBorders>
              <w:top w:val="single" w:color="auto" w:sz="4" w:space="0"/>
              <w:left w:val="single" w:color="auto" w:sz="4" w:space="0"/>
              <w:right w:val="single" w:color="auto" w:sz="4" w:space="0"/>
            </w:tcBorders>
            <w:vAlign w:val="center"/>
          </w:tcPr>
          <w:p w14:paraId="42F5EEB3">
            <w:pPr>
              <w:adjustRightInd w:val="0"/>
              <w:snapToGrid w:val="0"/>
              <w:jc w:val="center"/>
              <w:rPr>
                <w:rFonts w:ascii="宋体" w:hAnsi="宋体" w:cs="宋体"/>
                <w:szCs w:val="21"/>
              </w:rPr>
            </w:pPr>
            <w:r>
              <w:rPr>
                <w:rFonts w:hint="eastAsia" w:ascii="宋体" w:hAnsi="宋体" w:cs="宋体"/>
                <w:szCs w:val="21"/>
              </w:rPr>
              <w:t>报价唯一</w:t>
            </w:r>
          </w:p>
        </w:tc>
        <w:tc>
          <w:tcPr>
            <w:tcW w:w="5947" w:type="dxa"/>
            <w:gridSpan w:val="2"/>
            <w:tcBorders>
              <w:top w:val="single" w:color="auto" w:sz="4" w:space="0"/>
              <w:left w:val="single" w:color="auto" w:sz="4" w:space="0"/>
            </w:tcBorders>
            <w:vAlign w:val="center"/>
          </w:tcPr>
          <w:p w14:paraId="7C49D096">
            <w:pPr>
              <w:adjustRightInd w:val="0"/>
              <w:snapToGrid w:val="0"/>
              <w:rPr>
                <w:rFonts w:ascii="宋体" w:hAnsi="宋体" w:cs="宋体"/>
                <w:szCs w:val="21"/>
              </w:rPr>
            </w:pPr>
            <w:r>
              <w:rPr>
                <w:rFonts w:hint="eastAsia" w:ascii="宋体" w:hAnsi="宋体" w:cs="宋体"/>
                <w:szCs w:val="21"/>
              </w:rPr>
              <w:t>只能有一个有效报价。</w:t>
            </w:r>
          </w:p>
        </w:tc>
      </w:tr>
      <w:tr w14:paraId="0E7109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3" w:hRule="atLeast"/>
          <w:jc w:val="center"/>
        </w:trPr>
        <w:tc>
          <w:tcPr>
            <w:tcW w:w="787" w:type="dxa"/>
            <w:tcBorders>
              <w:top w:val="single" w:color="auto" w:sz="4" w:space="0"/>
              <w:right w:val="single" w:color="auto" w:sz="4" w:space="0"/>
            </w:tcBorders>
            <w:vAlign w:val="center"/>
          </w:tcPr>
          <w:p w14:paraId="45F58803">
            <w:pPr>
              <w:adjustRightInd w:val="0"/>
              <w:snapToGrid w:val="0"/>
              <w:jc w:val="center"/>
              <w:rPr>
                <w:rFonts w:ascii="宋体" w:hAnsi="宋体" w:cs="宋体"/>
                <w:szCs w:val="21"/>
              </w:rPr>
            </w:pPr>
            <w:r>
              <w:rPr>
                <w:rFonts w:hint="eastAsia" w:ascii="宋体" w:hAnsi="宋体" w:cs="宋体"/>
                <w:szCs w:val="21"/>
              </w:rPr>
              <w:t>2.1.2</w:t>
            </w:r>
          </w:p>
        </w:tc>
        <w:tc>
          <w:tcPr>
            <w:tcW w:w="1049" w:type="dxa"/>
            <w:tcBorders>
              <w:top w:val="single" w:color="auto" w:sz="4" w:space="0"/>
              <w:right w:val="single" w:color="auto" w:sz="4" w:space="0"/>
            </w:tcBorders>
            <w:vAlign w:val="center"/>
          </w:tcPr>
          <w:p w14:paraId="63CC649C">
            <w:pPr>
              <w:adjustRightInd w:val="0"/>
              <w:snapToGrid w:val="0"/>
              <w:jc w:val="center"/>
              <w:rPr>
                <w:rFonts w:ascii="宋体" w:hAnsi="宋体" w:cs="宋体"/>
                <w:szCs w:val="21"/>
              </w:rPr>
            </w:pPr>
            <w:r>
              <w:rPr>
                <w:rFonts w:hint="eastAsia" w:ascii="宋体" w:hAnsi="宋体" w:cs="宋体"/>
                <w:szCs w:val="21"/>
              </w:rPr>
              <w:t>资格评审标准</w:t>
            </w:r>
          </w:p>
        </w:tc>
        <w:tc>
          <w:tcPr>
            <w:tcW w:w="7222" w:type="dxa"/>
            <w:gridSpan w:val="3"/>
            <w:tcBorders>
              <w:top w:val="single" w:color="auto" w:sz="4" w:space="0"/>
              <w:left w:val="single" w:color="auto" w:sz="4" w:space="0"/>
            </w:tcBorders>
            <w:vAlign w:val="center"/>
          </w:tcPr>
          <w:p w14:paraId="4C8E1950">
            <w:pPr>
              <w:snapToGrid w:val="0"/>
              <w:jc w:val="left"/>
            </w:pPr>
            <w:r>
              <w:rPr>
                <w:rFonts w:hint="eastAsia"/>
              </w:rPr>
              <w:t>见比选公告“六、供应商资格要求”</w:t>
            </w:r>
          </w:p>
        </w:tc>
      </w:tr>
      <w:tr w14:paraId="22DFDAE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restart"/>
            <w:tcBorders>
              <w:top w:val="single" w:color="auto" w:sz="4" w:space="0"/>
              <w:right w:val="single" w:color="auto" w:sz="4" w:space="0"/>
            </w:tcBorders>
            <w:vAlign w:val="center"/>
          </w:tcPr>
          <w:p w14:paraId="1C6D8FBD">
            <w:pPr>
              <w:adjustRightInd w:val="0"/>
              <w:snapToGrid w:val="0"/>
              <w:jc w:val="center"/>
              <w:rPr>
                <w:rFonts w:ascii="宋体" w:hAnsi="宋体" w:cs="宋体"/>
                <w:szCs w:val="21"/>
              </w:rPr>
            </w:pPr>
            <w:r>
              <w:rPr>
                <w:rFonts w:hint="eastAsia" w:ascii="宋体" w:hAnsi="宋体" w:cs="宋体"/>
                <w:szCs w:val="21"/>
              </w:rPr>
              <w:t>2.1.3</w:t>
            </w:r>
          </w:p>
        </w:tc>
        <w:tc>
          <w:tcPr>
            <w:tcW w:w="1049" w:type="dxa"/>
            <w:vMerge w:val="restart"/>
            <w:tcBorders>
              <w:top w:val="single" w:color="auto" w:sz="4" w:space="0"/>
              <w:right w:val="single" w:color="auto" w:sz="4" w:space="0"/>
            </w:tcBorders>
            <w:vAlign w:val="center"/>
          </w:tcPr>
          <w:p w14:paraId="077F9177">
            <w:pPr>
              <w:adjustRightInd w:val="0"/>
              <w:snapToGrid w:val="0"/>
              <w:jc w:val="center"/>
              <w:rPr>
                <w:rFonts w:ascii="宋体" w:hAnsi="宋体" w:cs="宋体"/>
                <w:szCs w:val="21"/>
              </w:rPr>
            </w:pPr>
            <w:r>
              <w:rPr>
                <w:rFonts w:hint="eastAsia" w:ascii="宋体" w:hAnsi="宋体" w:cs="宋体"/>
                <w:szCs w:val="21"/>
              </w:rPr>
              <w:t>响应性评审标准</w:t>
            </w:r>
          </w:p>
        </w:tc>
        <w:tc>
          <w:tcPr>
            <w:tcW w:w="1275" w:type="dxa"/>
            <w:tcBorders>
              <w:top w:val="single" w:color="auto" w:sz="4" w:space="0"/>
              <w:left w:val="single" w:color="auto" w:sz="4" w:space="0"/>
              <w:bottom w:val="single" w:color="auto" w:sz="4" w:space="0"/>
              <w:right w:val="single" w:color="auto" w:sz="4" w:space="0"/>
            </w:tcBorders>
            <w:vAlign w:val="center"/>
          </w:tcPr>
          <w:p w14:paraId="6814A917">
            <w:pPr>
              <w:adjustRightInd w:val="0"/>
              <w:snapToGrid w:val="0"/>
              <w:jc w:val="center"/>
              <w:rPr>
                <w:rFonts w:ascii="宋体" w:hAnsi="宋体" w:cs="宋体"/>
                <w:szCs w:val="21"/>
              </w:rPr>
            </w:pPr>
            <w:r>
              <w:rPr>
                <w:rFonts w:hint="eastAsia" w:ascii="宋体" w:hAnsi="宋体" w:cs="宋体"/>
                <w:szCs w:val="21"/>
              </w:rPr>
              <w:t>比选报价</w:t>
            </w:r>
          </w:p>
        </w:tc>
        <w:tc>
          <w:tcPr>
            <w:tcW w:w="5947" w:type="dxa"/>
            <w:gridSpan w:val="2"/>
            <w:tcBorders>
              <w:top w:val="single" w:color="auto" w:sz="4" w:space="0"/>
              <w:left w:val="single" w:color="auto" w:sz="4" w:space="0"/>
              <w:bottom w:val="single" w:color="auto" w:sz="4" w:space="0"/>
            </w:tcBorders>
            <w:vAlign w:val="center"/>
          </w:tcPr>
          <w:p w14:paraId="74A0540D">
            <w:pPr>
              <w:adjustRightInd w:val="0"/>
              <w:snapToGrid w:val="0"/>
              <w:rPr>
                <w:rFonts w:ascii="宋体" w:hAnsi="宋体" w:cs="宋体"/>
                <w:szCs w:val="21"/>
              </w:rPr>
            </w:pPr>
            <w:r>
              <w:rPr>
                <w:rFonts w:hint="eastAsia" w:ascii="宋体" w:hAnsi="宋体" w:cs="宋体"/>
                <w:szCs w:val="21"/>
              </w:rPr>
              <w:t>最高限价为12万元</w:t>
            </w:r>
          </w:p>
        </w:tc>
      </w:tr>
      <w:tr w14:paraId="06ACA5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14:paraId="7090A206">
            <w:pPr>
              <w:adjustRightInd w:val="0"/>
              <w:snapToGrid w:val="0"/>
              <w:rPr>
                <w:rFonts w:ascii="宋体" w:hAnsi="宋体" w:cs="宋体"/>
                <w:szCs w:val="21"/>
              </w:rPr>
            </w:pPr>
          </w:p>
        </w:tc>
        <w:tc>
          <w:tcPr>
            <w:tcW w:w="1049" w:type="dxa"/>
            <w:vMerge w:val="continue"/>
            <w:tcBorders>
              <w:right w:val="single" w:color="auto" w:sz="4" w:space="0"/>
            </w:tcBorders>
            <w:vAlign w:val="center"/>
          </w:tcPr>
          <w:p w14:paraId="30C943B9">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4DCA0732">
            <w:pPr>
              <w:adjustRightInd w:val="0"/>
              <w:snapToGrid w:val="0"/>
              <w:jc w:val="center"/>
              <w:rPr>
                <w:rFonts w:ascii="宋体" w:hAnsi="宋体" w:cs="宋体"/>
                <w:szCs w:val="21"/>
              </w:rPr>
            </w:pPr>
            <w:r>
              <w:rPr>
                <w:rFonts w:hint="eastAsia" w:ascii="宋体" w:hAnsi="宋体" w:cs="宋体"/>
                <w:szCs w:val="21"/>
              </w:rPr>
              <w:t>服务周期</w:t>
            </w:r>
          </w:p>
        </w:tc>
        <w:tc>
          <w:tcPr>
            <w:tcW w:w="5947" w:type="dxa"/>
            <w:gridSpan w:val="2"/>
            <w:tcBorders>
              <w:top w:val="single" w:color="auto" w:sz="4" w:space="0"/>
              <w:left w:val="single" w:color="auto" w:sz="4" w:space="0"/>
              <w:bottom w:val="single" w:color="auto" w:sz="4" w:space="0"/>
            </w:tcBorders>
            <w:vAlign w:val="center"/>
          </w:tcPr>
          <w:p w14:paraId="753C1F3E">
            <w:pPr>
              <w:adjustRightInd w:val="0"/>
              <w:snapToGrid w:val="0"/>
              <w:rPr>
                <w:rFonts w:ascii="宋体" w:hAnsi="宋体" w:cs="宋体"/>
                <w:szCs w:val="21"/>
              </w:rPr>
            </w:pPr>
            <w:r>
              <w:rPr>
                <w:rFonts w:hint="eastAsia" w:ascii="宋体" w:hAnsi="宋体" w:cs="宋体"/>
                <w:szCs w:val="21"/>
              </w:rPr>
              <w:t>自签订合同日起至审批完成</w:t>
            </w:r>
          </w:p>
        </w:tc>
      </w:tr>
      <w:tr w14:paraId="281BA2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14:paraId="3E149895">
            <w:pPr>
              <w:adjustRightInd w:val="0"/>
              <w:snapToGrid w:val="0"/>
              <w:rPr>
                <w:rFonts w:ascii="宋体" w:hAnsi="宋体" w:cs="宋体"/>
                <w:szCs w:val="21"/>
              </w:rPr>
            </w:pPr>
          </w:p>
        </w:tc>
        <w:tc>
          <w:tcPr>
            <w:tcW w:w="1049" w:type="dxa"/>
            <w:vMerge w:val="continue"/>
            <w:tcBorders>
              <w:right w:val="single" w:color="auto" w:sz="4" w:space="0"/>
            </w:tcBorders>
            <w:vAlign w:val="center"/>
          </w:tcPr>
          <w:p w14:paraId="08409BAD">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2476B1FE">
            <w:pPr>
              <w:adjustRightInd w:val="0"/>
              <w:snapToGrid w:val="0"/>
              <w:jc w:val="center"/>
              <w:rPr>
                <w:rFonts w:ascii="宋体" w:hAnsi="宋体" w:cs="宋体"/>
                <w:szCs w:val="21"/>
              </w:rPr>
            </w:pPr>
            <w:r>
              <w:rPr>
                <w:rFonts w:hint="eastAsia" w:ascii="宋体" w:hAnsi="宋体" w:cs="宋体"/>
                <w:szCs w:val="21"/>
              </w:rPr>
              <w:t>质量标准</w:t>
            </w:r>
          </w:p>
        </w:tc>
        <w:tc>
          <w:tcPr>
            <w:tcW w:w="5947" w:type="dxa"/>
            <w:gridSpan w:val="2"/>
            <w:tcBorders>
              <w:top w:val="single" w:color="auto" w:sz="4" w:space="0"/>
              <w:left w:val="single" w:color="auto" w:sz="4" w:space="0"/>
              <w:bottom w:val="single" w:color="auto" w:sz="4" w:space="0"/>
            </w:tcBorders>
            <w:vAlign w:val="center"/>
          </w:tcPr>
          <w:p w14:paraId="2CC785F5">
            <w:pPr>
              <w:adjustRightInd w:val="0"/>
              <w:snapToGrid w:val="0"/>
              <w:rPr>
                <w:rFonts w:ascii="宋体" w:hAnsi="宋体" w:cs="宋体"/>
                <w:szCs w:val="21"/>
              </w:rPr>
            </w:pPr>
            <w:r>
              <w:rPr>
                <w:rFonts w:hint="eastAsia" w:ascii="宋体" w:hAnsi="宋体" w:cs="宋体"/>
                <w:szCs w:val="21"/>
              </w:rPr>
              <w:t>合格</w:t>
            </w:r>
          </w:p>
        </w:tc>
      </w:tr>
      <w:tr w14:paraId="69C1337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right w:val="single" w:color="auto" w:sz="4" w:space="0"/>
            </w:tcBorders>
            <w:vAlign w:val="center"/>
          </w:tcPr>
          <w:p w14:paraId="7F2B1C27">
            <w:pPr>
              <w:adjustRightInd w:val="0"/>
              <w:snapToGrid w:val="0"/>
              <w:rPr>
                <w:rFonts w:ascii="宋体" w:hAnsi="宋体" w:cs="宋体"/>
                <w:szCs w:val="21"/>
              </w:rPr>
            </w:pPr>
          </w:p>
        </w:tc>
        <w:tc>
          <w:tcPr>
            <w:tcW w:w="1049" w:type="dxa"/>
            <w:vMerge w:val="continue"/>
            <w:tcBorders>
              <w:right w:val="single" w:color="auto" w:sz="4" w:space="0"/>
            </w:tcBorders>
            <w:vAlign w:val="center"/>
          </w:tcPr>
          <w:p w14:paraId="7B885D6D">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6C5B8594">
            <w:pPr>
              <w:adjustRightInd w:val="0"/>
              <w:snapToGrid w:val="0"/>
              <w:jc w:val="center"/>
              <w:rPr>
                <w:rFonts w:ascii="宋体" w:hAnsi="宋体" w:cs="宋体"/>
                <w:szCs w:val="21"/>
              </w:rPr>
            </w:pPr>
            <w:r>
              <w:rPr>
                <w:rFonts w:hint="eastAsia" w:ascii="宋体" w:hAnsi="宋体" w:cs="宋体"/>
                <w:szCs w:val="21"/>
              </w:rPr>
              <w:t>比选有效期</w:t>
            </w:r>
          </w:p>
        </w:tc>
        <w:tc>
          <w:tcPr>
            <w:tcW w:w="5947" w:type="dxa"/>
            <w:gridSpan w:val="2"/>
            <w:tcBorders>
              <w:top w:val="single" w:color="auto" w:sz="4" w:space="0"/>
              <w:left w:val="single" w:color="auto" w:sz="4" w:space="0"/>
              <w:bottom w:val="single" w:color="auto" w:sz="4" w:space="0"/>
            </w:tcBorders>
            <w:vAlign w:val="center"/>
          </w:tcPr>
          <w:p w14:paraId="07236D78">
            <w:pPr>
              <w:adjustRightInd w:val="0"/>
              <w:snapToGrid w:val="0"/>
              <w:rPr>
                <w:rFonts w:ascii="宋体" w:hAnsi="宋体" w:cs="宋体"/>
                <w:szCs w:val="21"/>
              </w:rPr>
            </w:pPr>
            <w:r>
              <w:rPr>
                <w:rFonts w:hint="eastAsia" w:ascii="宋体" w:hAnsi="宋体" w:cs="宋体"/>
                <w:szCs w:val="21"/>
              </w:rPr>
              <w:t>30日历天（从比选截止之日算起）</w:t>
            </w:r>
          </w:p>
        </w:tc>
      </w:tr>
      <w:tr w14:paraId="11C293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tcBorders>
              <w:right w:val="single" w:color="auto" w:sz="4" w:space="0"/>
            </w:tcBorders>
            <w:vAlign w:val="center"/>
          </w:tcPr>
          <w:p w14:paraId="2C8DF073">
            <w:pPr>
              <w:adjustRightInd w:val="0"/>
              <w:snapToGrid w:val="0"/>
              <w:rPr>
                <w:rFonts w:ascii="宋体" w:hAnsi="宋体" w:cs="宋体"/>
                <w:szCs w:val="21"/>
              </w:rPr>
            </w:pPr>
          </w:p>
        </w:tc>
        <w:tc>
          <w:tcPr>
            <w:tcW w:w="1049" w:type="dxa"/>
            <w:tcBorders>
              <w:right w:val="single" w:color="auto" w:sz="4" w:space="0"/>
            </w:tcBorders>
            <w:vAlign w:val="center"/>
          </w:tcPr>
          <w:p w14:paraId="516B5C44">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2CD3C02F">
            <w:pPr>
              <w:adjustRightInd w:val="0"/>
              <w:snapToGrid w:val="0"/>
              <w:jc w:val="center"/>
              <w:rPr>
                <w:rFonts w:ascii="宋体" w:hAnsi="宋体" w:cs="宋体"/>
                <w:szCs w:val="21"/>
              </w:rPr>
            </w:pPr>
            <w:r>
              <w:rPr>
                <w:rFonts w:hint="eastAsia" w:ascii="宋体" w:hAnsi="宋体" w:cs="宋体"/>
                <w:szCs w:val="21"/>
              </w:rPr>
              <w:t>其他要求</w:t>
            </w:r>
          </w:p>
        </w:tc>
        <w:tc>
          <w:tcPr>
            <w:tcW w:w="5947" w:type="dxa"/>
            <w:gridSpan w:val="2"/>
            <w:tcBorders>
              <w:top w:val="single" w:color="auto" w:sz="4" w:space="0"/>
              <w:left w:val="single" w:color="auto" w:sz="4" w:space="0"/>
              <w:bottom w:val="single" w:color="auto" w:sz="4" w:space="0"/>
            </w:tcBorders>
            <w:vAlign w:val="center"/>
          </w:tcPr>
          <w:p w14:paraId="0CEB4D1A">
            <w:pPr>
              <w:adjustRightInd w:val="0"/>
              <w:snapToGrid w:val="0"/>
              <w:rPr>
                <w:rFonts w:ascii="宋体" w:hAnsi="宋体" w:cs="宋体"/>
                <w:szCs w:val="21"/>
              </w:rPr>
            </w:pPr>
            <w:r>
              <w:rPr>
                <w:rFonts w:hint="eastAsia" w:ascii="宋体" w:hAnsi="宋体" w:cs="宋体"/>
                <w:szCs w:val="21"/>
              </w:rPr>
              <w:t>不存在比选文件中禁止比选的情形</w:t>
            </w:r>
          </w:p>
        </w:tc>
      </w:tr>
      <w:tr w14:paraId="1D4FE3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1836" w:type="dxa"/>
            <w:gridSpan w:val="2"/>
            <w:tcBorders>
              <w:top w:val="single" w:color="auto" w:sz="4" w:space="0"/>
              <w:bottom w:val="single" w:color="auto" w:sz="4" w:space="0"/>
              <w:right w:val="single" w:color="auto" w:sz="4" w:space="0"/>
            </w:tcBorders>
            <w:vAlign w:val="center"/>
          </w:tcPr>
          <w:p w14:paraId="52855AD9">
            <w:pPr>
              <w:adjustRightInd w:val="0"/>
              <w:snapToGrid w:val="0"/>
              <w:jc w:val="center"/>
              <w:rPr>
                <w:rFonts w:ascii="宋体" w:hAnsi="宋体" w:cs="宋体"/>
                <w:b/>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14:paraId="7EFE2D49">
            <w:pPr>
              <w:adjustRightInd w:val="0"/>
              <w:snapToGrid w:val="0"/>
              <w:jc w:val="center"/>
              <w:rPr>
                <w:rFonts w:ascii="宋体" w:hAnsi="宋体" w:cs="宋体"/>
                <w:b/>
              </w:rPr>
            </w:pPr>
            <w:r>
              <w:rPr>
                <w:rFonts w:hint="eastAsia" w:ascii="宋体" w:hAnsi="宋体" w:cs="宋体"/>
                <w:b/>
              </w:rPr>
              <w:t>条款内容</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6D9D88EC">
            <w:pPr>
              <w:adjustRightInd w:val="0"/>
              <w:snapToGrid w:val="0"/>
              <w:jc w:val="center"/>
              <w:rPr>
                <w:rFonts w:ascii="宋体" w:hAnsi="宋体" w:cs="宋体"/>
                <w:b/>
              </w:rPr>
            </w:pPr>
            <w:r>
              <w:rPr>
                <w:rFonts w:hint="eastAsia" w:ascii="宋体" w:hAnsi="宋体" w:cs="宋体"/>
                <w:b/>
              </w:rPr>
              <w:t>编列内容</w:t>
            </w:r>
          </w:p>
        </w:tc>
      </w:tr>
      <w:tr w14:paraId="2CCD8F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1836" w:type="dxa"/>
            <w:gridSpan w:val="2"/>
            <w:tcBorders>
              <w:bottom w:val="single" w:color="auto" w:sz="4" w:space="0"/>
              <w:right w:val="single" w:color="auto" w:sz="4" w:space="0"/>
            </w:tcBorders>
            <w:vAlign w:val="center"/>
          </w:tcPr>
          <w:p w14:paraId="29D9B41D">
            <w:pPr>
              <w:adjustRightInd w:val="0"/>
              <w:snapToGrid w:val="0"/>
              <w:jc w:val="center"/>
              <w:rPr>
                <w:rFonts w:ascii="宋体" w:hAnsi="宋体" w:cs="宋体"/>
              </w:rPr>
            </w:pPr>
            <w:r>
              <w:rPr>
                <w:rFonts w:hint="eastAsia" w:ascii="宋体" w:hAnsi="宋体" w:cs="宋体"/>
              </w:rPr>
              <w:t>2.2.1</w:t>
            </w:r>
          </w:p>
        </w:tc>
        <w:tc>
          <w:tcPr>
            <w:tcW w:w="1275" w:type="dxa"/>
            <w:tcBorders>
              <w:top w:val="single" w:color="auto" w:sz="4" w:space="0"/>
              <w:left w:val="single" w:color="auto" w:sz="4" w:space="0"/>
              <w:bottom w:val="single" w:color="auto" w:sz="4" w:space="0"/>
              <w:right w:val="single" w:color="auto" w:sz="4" w:space="0"/>
            </w:tcBorders>
            <w:vAlign w:val="center"/>
          </w:tcPr>
          <w:p w14:paraId="7C8E0291">
            <w:pPr>
              <w:adjustRightInd w:val="0"/>
              <w:snapToGrid w:val="0"/>
              <w:jc w:val="center"/>
              <w:rPr>
                <w:rFonts w:ascii="宋体" w:hAnsi="宋体" w:cs="宋体"/>
              </w:rPr>
            </w:pPr>
            <w:r>
              <w:rPr>
                <w:rFonts w:hint="eastAsia" w:ascii="宋体" w:hAnsi="宋体" w:cs="宋体"/>
              </w:rPr>
              <w:t>分值构成</w:t>
            </w:r>
          </w:p>
          <w:p w14:paraId="710D3D73">
            <w:pPr>
              <w:adjustRightInd w:val="0"/>
              <w:snapToGrid w:val="0"/>
              <w:jc w:val="center"/>
              <w:rPr>
                <w:rFonts w:ascii="宋体" w:hAnsi="宋体" w:cs="宋体"/>
              </w:rPr>
            </w:pPr>
            <w:r>
              <w:rPr>
                <w:rFonts w:hint="eastAsia" w:ascii="宋体" w:hAnsi="宋体" w:cs="宋体"/>
              </w:rPr>
              <w:t>(总分100分)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270D1FAB">
            <w:pPr>
              <w:adjustRightInd w:val="0"/>
              <w:snapToGrid w:val="0"/>
              <w:jc w:val="left"/>
              <w:rPr>
                <w:rFonts w:ascii="宋体" w:hAnsi="宋体" w:cs="宋体"/>
              </w:rPr>
            </w:pPr>
            <w:r>
              <w:rPr>
                <w:rFonts w:hint="eastAsia" w:ascii="宋体" w:hAnsi="宋体" w:cs="宋体"/>
              </w:rPr>
              <w:t>投标总报价评审：</w:t>
            </w:r>
            <w:r>
              <w:rPr>
                <w:rFonts w:hint="eastAsia" w:ascii="宋体" w:hAnsi="宋体" w:cs="宋体"/>
                <w:u w:val="single"/>
              </w:rPr>
              <w:t>20</w:t>
            </w:r>
            <w:r>
              <w:rPr>
                <w:rFonts w:hint="eastAsia" w:ascii="宋体" w:hAnsi="宋体" w:cs="宋体"/>
              </w:rPr>
              <w:t>分</w:t>
            </w:r>
          </w:p>
          <w:p w14:paraId="26C642DB">
            <w:pPr>
              <w:adjustRightInd w:val="0"/>
              <w:snapToGrid w:val="0"/>
              <w:jc w:val="left"/>
              <w:rPr>
                <w:rFonts w:ascii="宋体" w:hAnsi="宋体" w:cs="宋体"/>
              </w:rPr>
            </w:pPr>
            <w:r>
              <w:rPr>
                <w:rFonts w:hint="eastAsia" w:ascii="宋体" w:hAnsi="宋体" w:cs="宋体"/>
              </w:rPr>
              <w:t>商务部分评审：</w:t>
            </w:r>
            <w:r>
              <w:rPr>
                <w:rFonts w:hint="eastAsia" w:ascii="宋体" w:hAnsi="宋体" w:cs="宋体"/>
                <w:u w:val="single"/>
              </w:rPr>
              <w:t>20</w:t>
            </w:r>
            <w:r>
              <w:rPr>
                <w:rFonts w:hint="eastAsia" w:ascii="宋体" w:hAnsi="宋体" w:cs="宋体"/>
              </w:rPr>
              <w:t>分</w:t>
            </w:r>
          </w:p>
          <w:p w14:paraId="7DD84686">
            <w:pPr>
              <w:adjustRightInd w:val="0"/>
              <w:snapToGrid w:val="0"/>
              <w:jc w:val="left"/>
              <w:rPr>
                <w:rFonts w:ascii="宋体" w:hAnsi="宋体" w:cs="宋体"/>
              </w:rPr>
            </w:pPr>
            <w:r>
              <w:rPr>
                <w:rFonts w:hint="eastAsia" w:ascii="宋体" w:hAnsi="宋体" w:cs="宋体"/>
              </w:rPr>
              <w:t>技术部分评审：</w:t>
            </w:r>
            <w:r>
              <w:rPr>
                <w:rFonts w:hint="eastAsia" w:ascii="宋体" w:hAnsi="宋体" w:cs="宋体"/>
                <w:u w:val="single"/>
              </w:rPr>
              <w:t>60</w:t>
            </w:r>
            <w:r>
              <w:rPr>
                <w:rFonts w:hint="eastAsia" w:ascii="宋体" w:hAnsi="宋体" w:cs="宋体"/>
              </w:rPr>
              <w:t>分</w:t>
            </w:r>
          </w:p>
        </w:tc>
      </w:tr>
      <w:tr w14:paraId="1B1CFD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836" w:type="dxa"/>
            <w:gridSpan w:val="2"/>
            <w:tcBorders>
              <w:top w:val="single" w:color="auto" w:sz="4" w:space="0"/>
              <w:bottom w:val="single" w:color="auto" w:sz="4" w:space="0"/>
              <w:right w:val="single" w:color="auto" w:sz="4" w:space="0"/>
            </w:tcBorders>
            <w:vAlign w:val="center"/>
          </w:tcPr>
          <w:p w14:paraId="33DB2E8B">
            <w:pPr>
              <w:adjustRightInd w:val="0"/>
              <w:snapToGrid w:val="0"/>
              <w:jc w:val="center"/>
              <w:rPr>
                <w:rFonts w:ascii="宋体" w:hAnsi="宋体" w:cs="宋体"/>
                <w:b/>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14:paraId="673FA3AA">
            <w:pPr>
              <w:adjustRightInd w:val="0"/>
              <w:snapToGrid w:val="0"/>
              <w:jc w:val="center"/>
              <w:rPr>
                <w:rFonts w:ascii="宋体" w:hAnsi="宋体" w:cs="宋体"/>
                <w:b/>
              </w:rPr>
            </w:pPr>
            <w:r>
              <w:rPr>
                <w:rFonts w:hint="eastAsia" w:ascii="宋体" w:hAnsi="宋体" w:cs="宋体"/>
                <w:b/>
              </w:rPr>
              <w:t>评分因素</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33AE7974">
            <w:pPr>
              <w:adjustRightInd w:val="0"/>
              <w:snapToGrid w:val="0"/>
              <w:jc w:val="center"/>
              <w:rPr>
                <w:rFonts w:ascii="宋体" w:hAnsi="宋体" w:cs="宋体"/>
                <w:b/>
              </w:rPr>
            </w:pPr>
            <w:r>
              <w:rPr>
                <w:rFonts w:hint="eastAsia" w:ascii="宋体" w:hAnsi="宋体" w:cs="宋体"/>
                <w:b/>
              </w:rPr>
              <w:t>评分标准</w:t>
            </w:r>
          </w:p>
        </w:tc>
      </w:tr>
      <w:tr w14:paraId="0632A9D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04" w:hRule="atLeast"/>
          <w:jc w:val="center"/>
        </w:trPr>
        <w:tc>
          <w:tcPr>
            <w:tcW w:w="787" w:type="dxa"/>
            <w:tcBorders>
              <w:right w:val="single" w:color="auto" w:sz="4" w:space="0"/>
            </w:tcBorders>
            <w:vAlign w:val="center"/>
          </w:tcPr>
          <w:p w14:paraId="4CDEA4B4">
            <w:pPr>
              <w:adjustRightInd w:val="0"/>
              <w:snapToGrid w:val="0"/>
              <w:jc w:val="center"/>
              <w:rPr>
                <w:rFonts w:ascii="宋体" w:hAnsi="宋体" w:cs="宋体"/>
              </w:rPr>
            </w:pPr>
            <w:r>
              <w:rPr>
                <w:rFonts w:hint="eastAsia" w:ascii="宋体" w:hAnsi="宋体" w:cs="宋体"/>
              </w:rPr>
              <w:t>2.2.2（1）</w:t>
            </w:r>
          </w:p>
        </w:tc>
        <w:tc>
          <w:tcPr>
            <w:tcW w:w="1049" w:type="dxa"/>
            <w:tcBorders>
              <w:right w:val="single" w:color="auto" w:sz="4" w:space="0"/>
            </w:tcBorders>
            <w:vAlign w:val="center"/>
          </w:tcPr>
          <w:p w14:paraId="2AA07F14">
            <w:pPr>
              <w:adjustRightInd w:val="0"/>
              <w:snapToGrid w:val="0"/>
              <w:jc w:val="center"/>
              <w:rPr>
                <w:rFonts w:ascii="宋体" w:hAnsi="宋体" w:cs="宋体"/>
              </w:rPr>
            </w:pPr>
            <w:r>
              <w:rPr>
                <w:rFonts w:hint="eastAsia" w:ascii="宋体" w:hAnsi="宋体" w:cs="宋体"/>
              </w:rPr>
              <w:t>比选报价评审</w:t>
            </w:r>
          </w:p>
          <w:p w14:paraId="1273D90B">
            <w:pPr>
              <w:adjustRightInd w:val="0"/>
              <w:snapToGrid w:val="0"/>
              <w:jc w:val="center"/>
              <w:rPr>
                <w:rFonts w:ascii="宋体" w:hAnsi="宋体" w:cs="宋体"/>
                <w:highlight w:val="green"/>
              </w:rPr>
            </w:pPr>
            <w:r>
              <w:rPr>
                <w:rFonts w:hint="eastAsia" w:ascii="宋体" w:hAnsi="宋体" w:cs="宋体"/>
              </w:rPr>
              <w:t>（20分）</w:t>
            </w:r>
          </w:p>
        </w:tc>
        <w:tc>
          <w:tcPr>
            <w:tcW w:w="1275" w:type="dxa"/>
            <w:tcBorders>
              <w:top w:val="single" w:color="auto" w:sz="4" w:space="0"/>
              <w:left w:val="single" w:color="auto" w:sz="4" w:space="0"/>
              <w:right w:val="single" w:color="auto" w:sz="4" w:space="0"/>
            </w:tcBorders>
            <w:vAlign w:val="center"/>
          </w:tcPr>
          <w:p w14:paraId="01BD472B">
            <w:pPr>
              <w:widowControl/>
              <w:adjustRightInd w:val="0"/>
              <w:snapToGrid w:val="0"/>
              <w:jc w:val="center"/>
              <w:rPr>
                <w:rFonts w:ascii="宋体" w:hAnsi="宋体" w:cs="宋体"/>
              </w:rPr>
            </w:pPr>
            <w:r>
              <w:rPr>
                <w:rFonts w:hint="eastAsia" w:ascii="宋体" w:hAnsi="宋体" w:cs="宋体"/>
              </w:rPr>
              <w:t>比选总报价（20分）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7202CA18">
            <w:pPr>
              <w:adjustRightInd w:val="0"/>
              <w:snapToGrid w:val="0"/>
              <w:rPr>
                <w:rFonts w:ascii="宋体" w:hAnsi="宋体" w:cs="宋体"/>
              </w:rPr>
            </w:pPr>
            <w:r>
              <w:rPr>
                <w:rFonts w:hint="eastAsia" w:ascii="宋体" w:hAnsi="宋体" w:cs="宋体"/>
              </w:rPr>
              <w:t>采用满足比选文件要求且有效的比选申请人平均报价为评审基准价，其价格分为满分。高于平均价的1%减1分，低于平均报价的1%减0.5分，减完为止。</w:t>
            </w:r>
          </w:p>
        </w:tc>
      </w:tr>
      <w:tr w14:paraId="1D36D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652" w:hRule="atLeast"/>
          <w:jc w:val="center"/>
        </w:trPr>
        <w:tc>
          <w:tcPr>
            <w:tcW w:w="787" w:type="dxa"/>
            <w:vMerge w:val="restart"/>
            <w:tcBorders>
              <w:top w:val="single" w:color="auto" w:sz="4" w:space="0"/>
              <w:right w:val="single" w:color="auto" w:sz="4" w:space="0"/>
            </w:tcBorders>
            <w:vAlign w:val="center"/>
          </w:tcPr>
          <w:p w14:paraId="26178AAD">
            <w:pPr>
              <w:adjustRightInd w:val="0"/>
              <w:snapToGrid w:val="0"/>
              <w:jc w:val="center"/>
              <w:rPr>
                <w:rFonts w:ascii="宋体" w:hAnsi="宋体" w:cs="宋体"/>
              </w:rPr>
            </w:pPr>
            <w:r>
              <w:rPr>
                <w:rFonts w:hint="eastAsia" w:ascii="宋体" w:hAnsi="宋体" w:cs="宋体"/>
              </w:rPr>
              <w:t>2.2.2（2）</w:t>
            </w:r>
          </w:p>
        </w:tc>
        <w:tc>
          <w:tcPr>
            <w:tcW w:w="1049" w:type="dxa"/>
            <w:vMerge w:val="restart"/>
            <w:tcBorders>
              <w:top w:val="single" w:color="auto" w:sz="4" w:space="0"/>
              <w:right w:val="single" w:color="auto" w:sz="4" w:space="0"/>
            </w:tcBorders>
            <w:vAlign w:val="center"/>
          </w:tcPr>
          <w:p w14:paraId="2909A753">
            <w:pPr>
              <w:tabs>
                <w:tab w:val="left" w:pos="360"/>
              </w:tabs>
              <w:adjustRightInd w:val="0"/>
              <w:snapToGrid w:val="0"/>
              <w:jc w:val="center"/>
              <w:rPr>
                <w:rFonts w:ascii="宋体" w:hAnsi="宋体" w:cs="宋体"/>
                <w:szCs w:val="21"/>
              </w:rPr>
            </w:pPr>
            <w:r>
              <w:rPr>
                <w:rFonts w:hint="eastAsia" w:ascii="宋体" w:hAnsi="宋体" w:cs="宋体"/>
              </w:rPr>
              <w:t>商务部分评审（20分）</w:t>
            </w:r>
          </w:p>
        </w:tc>
        <w:tc>
          <w:tcPr>
            <w:tcW w:w="1275" w:type="dxa"/>
            <w:tcBorders>
              <w:top w:val="single" w:color="auto" w:sz="4" w:space="0"/>
              <w:left w:val="single" w:color="auto" w:sz="4" w:space="0"/>
              <w:right w:val="single" w:color="auto" w:sz="4" w:space="0"/>
            </w:tcBorders>
            <w:vAlign w:val="center"/>
          </w:tcPr>
          <w:p w14:paraId="5B4543FF">
            <w:pPr>
              <w:adjustRightInd w:val="0"/>
              <w:snapToGrid w:val="0"/>
              <w:jc w:val="center"/>
              <w:rPr>
                <w:rFonts w:ascii="宋体" w:hAnsi="宋体" w:cs="宋体"/>
                <w:szCs w:val="21"/>
              </w:rPr>
            </w:pPr>
            <w:r>
              <w:rPr>
                <w:rFonts w:hint="eastAsia" w:ascii="宋体" w:hAnsi="宋体" w:cs="宋体"/>
                <w:szCs w:val="21"/>
              </w:rPr>
              <w:t>项目组人员配备情况</w:t>
            </w:r>
          </w:p>
          <w:p w14:paraId="3894995B">
            <w:pPr>
              <w:adjustRightInd w:val="0"/>
              <w:snapToGrid w:val="0"/>
              <w:jc w:val="center"/>
              <w:rPr>
                <w:rFonts w:ascii="宋体" w:hAnsi="宋体" w:cs="宋体"/>
              </w:rPr>
            </w:pPr>
            <w:r>
              <w:rPr>
                <w:rFonts w:hint="eastAsia" w:ascii="宋体" w:hAnsi="宋体" w:cs="宋体"/>
                <w:szCs w:val="21"/>
              </w:rPr>
              <w:t>（8分）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0C7466B5">
            <w:pPr>
              <w:adjustRightInd w:val="0"/>
              <w:snapToGrid w:val="0"/>
              <w:jc w:val="center"/>
              <w:rPr>
                <w:rFonts w:ascii="宋体" w:hAnsi="宋体" w:cs="宋体"/>
                <w:szCs w:val="21"/>
              </w:rPr>
            </w:pPr>
            <w:r>
              <w:rPr>
                <w:rFonts w:hint="eastAsia" w:ascii="宋体" w:hAnsi="宋体" w:cs="宋体"/>
                <w:szCs w:val="21"/>
              </w:rPr>
              <w:t>1.项目负责人为水利相关专业工程师，且具有高级及以上职称，得2分，不满足不得分。</w:t>
            </w:r>
          </w:p>
          <w:p w14:paraId="74C8329B">
            <w:pPr>
              <w:adjustRightInd w:val="0"/>
              <w:snapToGrid w:val="0"/>
              <w:jc w:val="center"/>
              <w:rPr>
                <w:rFonts w:ascii="宋体" w:hAnsi="宋体" w:cs="宋体"/>
                <w:szCs w:val="21"/>
              </w:rPr>
            </w:pPr>
            <w:r>
              <w:rPr>
                <w:rFonts w:hint="eastAsia" w:ascii="宋体" w:hAnsi="宋体" w:cs="宋体"/>
                <w:szCs w:val="21"/>
              </w:rPr>
              <w:t>2.除项目负责人外，项目组成员每增加一名水利相关专业工程师及</w:t>
            </w:r>
            <w:r>
              <w:rPr>
                <w:rFonts w:ascii="宋体" w:hAnsi="宋体" w:cs="宋体"/>
                <w:szCs w:val="21"/>
              </w:rPr>
              <w:t>以上</w:t>
            </w:r>
            <w:r>
              <w:rPr>
                <w:rFonts w:hint="eastAsia" w:ascii="宋体" w:hAnsi="宋体" w:cs="宋体"/>
                <w:szCs w:val="21"/>
              </w:rPr>
              <w:t xml:space="preserve">得 </w:t>
            </w:r>
            <w:r>
              <w:rPr>
                <w:rFonts w:ascii="宋体" w:hAnsi="宋体" w:cs="宋体"/>
                <w:szCs w:val="21"/>
              </w:rPr>
              <w:t>2</w:t>
            </w:r>
            <w:r>
              <w:rPr>
                <w:rFonts w:hint="eastAsia" w:ascii="宋体" w:hAnsi="宋体" w:cs="宋体"/>
                <w:szCs w:val="21"/>
              </w:rPr>
              <w:t xml:space="preserve"> 分，最高得 </w:t>
            </w:r>
            <w:r>
              <w:rPr>
                <w:rFonts w:ascii="宋体" w:hAnsi="宋体" w:cs="宋体"/>
                <w:szCs w:val="21"/>
              </w:rPr>
              <w:t>6</w:t>
            </w:r>
            <w:r>
              <w:rPr>
                <w:rFonts w:hint="eastAsia" w:ascii="宋体" w:hAnsi="宋体" w:cs="宋体"/>
                <w:szCs w:val="21"/>
              </w:rPr>
              <w:t xml:space="preserve"> 分。</w:t>
            </w:r>
          </w:p>
          <w:p w14:paraId="5656086C">
            <w:pPr>
              <w:adjustRightInd w:val="0"/>
              <w:snapToGrid w:val="0"/>
              <w:jc w:val="center"/>
              <w:rPr>
                <w:rFonts w:ascii="宋体" w:hAnsi="宋体" w:cs="宋体"/>
                <w:szCs w:val="21"/>
              </w:rPr>
            </w:pPr>
            <w:r>
              <w:rPr>
                <w:rFonts w:hint="eastAsia" w:ascii="宋体" w:hAnsi="宋体" w:cs="宋体"/>
                <w:szCs w:val="21"/>
              </w:rPr>
              <w:t>（水利相关专业工程师需为本单位职工，提供社保证明、身份证、相关职称证书的扫描件，否则不得分）</w:t>
            </w:r>
          </w:p>
        </w:tc>
      </w:tr>
      <w:tr w14:paraId="6A76FA1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540" w:hRule="atLeast"/>
          <w:jc w:val="center"/>
        </w:trPr>
        <w:tc>
          <w:tcPr>
            <w:tcW w:w="787" w:type="dxa"/>
            <w:vMerge w:val="continue"/>
            <w:tcBorders>
              <w:right w:val="single" w:color="auto" w:sz="4" w:space="0"/>
            </w:tcBorders>
            <w:vAlign w:val="center"/>
          </w:tcPr>
          <w:p w14:paraId="5A83FA32">
            <w:pPr>
              <w:adjustRightInd w:val="0"/>
              <w:snapToGrid w:val="0"/>
              <w:jc w:val="center"/>
              <w:rPr>
                <w:rFonts w:ascii="宋体" w:hAnsi="宋体" w:cs="宋体"/>
              </w:rPr>
            </w:pPr>
          </w:p>
        </w:tc>
        <w:tc>
          <w:tcPr>
            <w:tcW w:w="1049" w:type="dxa"/>
            <w:vMerge w:val="continue"/>
            <w:tcBorders>
              <w:right w:val="single" w:color="auto" w:sz="4" w:space="0"/>
            </w:tcBorders>
            <w:vAlign w:val="center"/>
          </w:tcPr>
          <w:p w14:paraId="389082F6">
            <w:pPr>
              <w:adjustRightInd w:val="0"/>
              <w:snapToGrid w:val="0"/>
              <w:jc w:val="center"/>
              <w:rPr>
                <w:rFonts w:ascii="宋体" w:hAnsi="宋体" w:cs="宋体"/>
              </w:rPr>
            </w:pPr>
          </w:p>
        </w:tc>
        <w:tc>
          <w:tcPr>
            <w:tcW w:w="1275" w:type="dxa"/>
            <w:tcBorders>
              <w:top w:val="single" w:color="auto" w:sz="4" w:space="0"/>
              <w:left w:val="single" w:color="auto" w:sz="4" w:space="0"/>
              <w:right w:val="single" w:color="auto" w:sz="4" w:space="0"/>
            </w:tcBorders>
            <w:vAlign w:val="center"/>
          </w:tcPr>
          <w:p w14:paraId="6CDD48DC">
            <w:pPr>
              <w:pStyle w:val="9"/>
              <w:adjustRightInd w:val="0"/>
              <w:snapToGrid w:val="0"/>
              <w:ind w:left="62" w:right="52"/>
              <w:jc w:val="center"/>
              <w:rPr>
                <w:rFonts w:ascii="宋体" w:hAnsi="宋体" w:cs="宋体"/>
                <w:kern w:val="2"/>
                <w:sz w:val="21"/>
                <w:szCs w:val="21"/>
                <w:lang w:eastAsia="zh-CN"/>
              </w:rPr>
            </w:pPr>
            <w:r>
              <w:rPr>
                <w:rFonts w:hint="eastAsia" w:ascii="宋体" w:hAnsi="宋体"/>
                <w:sz w:val="21"/>
                <w:szCs w:val="21"/>
                <w:lang w:eastAsia="zh-CN"/>
              </w:rPr>
              <w:t>同类业绩</w:t>
            </w:r>
            <w:r>
              <w:rPr>
                <w:rFonts w:hint="eastAsia" w:ascii="宋体" w:hAnsi="宋体" w:cs="宋体"/>
                <w:kern w:val="2"/>
                <w:sz w:val="21"/>
                <w:szCs w:val="21"/>
                <w:lang w:eastAsia="zh-CN"/>
              </w:rPr>
              <w:t>（10分）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671FF645">
            <w:pPr>
              <w:adjustRightInd w:val="0"/>
              <w:snapToGrid w:val="0"/>
              <w:jc w:val="center"/>
              <w:rPr>
                <w:rFonts w:ascii="宋体" w:hAnsi="宋体" w:cs="宋体"/>
                <w:szCs w:val="21"/>
              </w:rPr>
            </w:pPr>
            <w:r>
              <w:rPr>
                <w:rFonts w:hint="eastAsia" w:ascii="宋体" w:hAnsi="宋体" w:cs="宋体"/>
                <w:szCs w:val="21"/>
              </w:rPr>
              <w:t xml:space="preserve">近五年来供应商承接类似水土保持项目，每有一项同类业绩得 </w:t>
            </w:r>
            <w:r>
              <w:rPr>
                <w:rFonts w:ascii="宋体" w:hAnsi="宋体" w:cs="宋体"/>
                <w:szCs w:val="21"/>
              </w:rPr>
              <w:t>2</w:t>
            </w:r>
            <w:r>
              <w:rPr>
                <w:rFonts w:hint="eastAsia" w:ascii="宋体" w:hAnsi="宋体" w:cs="宋体"/>
                <w:szCs w:val="21"/>
              </w:rPr>
              <w:t xml:space="preserve"> 分，最多得 10分。</w:t>
            </w:r>
          </w:p>
          <w:p w14:paraId="3A81BC4D">
            <w:pPr>
              <w:adjustRightInd w:val="0"/>
              <w:snapToGrid w:val="0"/>
              <w:jc w:val="center"/>
              <w:rPr>
                <w:rFonts w:ascii="宋体" w:hAnsi="宋体" w:cs="宋体"/>
                <w:szCs w:val="21"/>
              </w:rPr>
            </w:pPr>
            <w:r>
              <w:rPr>
                <w:rFonts w:hint="eastAsia" w:ascii="宋体" w:hAnsi="宋体" w:cs="宋体"/>
                <w:szCs w:val="21"/>
              </w:rPr>
              <w:t>注：近五年日期指从 20</w:t>
            </w:r>
            <w:r>
              <w:rPr>
                <w:rFonts w:hint="eastAsia" w:ascii="宋体" w:hAnsi="宋体" w:cs="宋体"/>
                <w:szCs w:val="21"/>
                <w:lang w:val="en-US" w:eastAsia="zh-CN"/>
              </w:rPr>
              <w:t>21</w:t>
            </w:r>
            <w:r>
              <w:rPr>
                <w:rFonts w:hint="eastAsia" w:ascii="宋体" w:hAnsi="宋体" w:cs="宋体"/>
                <w:szCs w:val="21"/>
              </w:rPr>
              <w:t xml:space="preserve"> 年1月起算，时间以合同签订时间为准，提供签订合同原件扫描件，未提供不得分。</w:t>
            </w:r>
          </w:p>
        </w:tc>
      </w:tr>
      <w:tr w14:paraId="1396025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03" w:hRule="atLeast"/>
          <w:jc w:val="center"/>
        </w:trPr>
        <w:tc>
          <w:tcPr>
            <w:tcW w:w="787" w:type="dxa"/>
            <w:vMerge w:val="continue"/>
            <w:tcBorders>
              <w:right w:val="single" w:color="auto" w:sz="4" w:space="0"/>
            </w:tcBorders>
            <w:vAlign w:val="center"/>
          </w:tcPr>
          <w:p w14:paraId="5CA74241">
            <w:pPr>
              <w:adjustRightInd w:val="0"/>
              <w:snapToGrid w:val="0"/>
              <w:jc w:val="center"/>
              <w:rPr>
                <w:rFonts w:ascii="宋体" w:hAnsi="宋体" w:cs="宋体"/>
              </w:rPr>
            </w:pPr>
          </w:p>
        </w:tc>
        <w:tc>
          <w:tcPr>
            <w:tcW w:w="1049" w:type="dxa"/>
            <w:vMerge w:val="continue"/>
            <w:tcBorders>
              <w:right w:val="single" w:color="auto" w:sz="4" w:space="0"/>
            </w:tcBorders>
            <w:vAlign w:val="center"/>
          </w:tcPr>
          <w:p w14:paraId="41477C52">
            <w:pPr>
              <w:adjustRightInd w:val="0"/>
              <w:snapToGrid w:val="0"/>
              <w:jc w:val="center"/>
              <w:rPr>
                <w:rFonts w:ascii="宋体" w:hAnsi="宋体" w:cs="宋体"/>
              </w:rPr>
            </w:pPr>
          </w:p>
        </w:tc>
        <w:tc>
          <w:tcPr>
            <w:tcW w:w="1275" w:type="dxa"/>
            <w:tcBorders>
              <w:top w:val="single" w:color="auto" w:sz="4" w:space="0"/>
              <w:left w:val="single" w:color="auto" w:sz="4" w:space="0"/>
              <w:right w:val="single" w:color="auto" w:sz="4" w:space="0"/>
            </w:tcBorders>
            <w:vAlign w:val="center"/>
          </w:tcPr>
          <w:p w14:paraId="441B7011">
            <w:pPr>
              <w:pStyle w:val="9"/>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 xml:space="preserve">企业实力 </w:t>
            </w:r>
          </w:p>
          <w:p w14:paraId="73A996B9">
            <w:pPr>
              <w:pStyle w:val="9"/>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（2分）</w:t>
            </w:r>
          </w:p>
        </w:tc>
        <w:tc>
          <w:tcPr>
            <w:tcW w:w="5947" w:type="dxa"/>
            <w:gridSpan w:val="2"/>
            <w:tcBorders>
              <w:top w:val="single" w:color="auto" w:sz="4" w:space="0"/>
              <w:left w:val="single" w:color="auto" w:sz="4" w:space="0"/>
              <w:right w:val="single" w:color="auto" w:sz="4" w:space="0"/>
            </w:tcBorders>
            <w:vAlign w:val="center"/>
          </w:tcPr>
          <w:p w14:paraId="2D508DA8">
            <w:pPr>
              <w:adjustRightInd w:val="0"/>
              <w:snapToGrid w:val="0"/>
              <w:jc w:val="left"/>
              <w:rPr>
                <w:rFonts w:ascii="宋体" w:hAnsi="宋体" w:cs="宋体"/>
                <w:szCs w:val="21"/>
              </w:rPr>
            </w:pPr>
            <w:r>
              <w:rPr>
                <w:rFonts w:hint="eastAsia" w:ascii="宋体" w:hAnsi="宋体" w:cs="宋体"/>
                <w:szCs w:val="21"/>
              </w:rPr>
              <w:t>具有质量管理体系认证证书得2分，满分 2分。（以原件扫描件为准，否则不得分）</w:t>
            </w:r>
          </w:p>
        </w:tc>
      </w:tr>
      <w:tr w14:paraId="185DD2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restart"/>
            <w:tcBorders>
              <w:top w:val="single" w:color="auto" w:sz="4" w:space="0"/>
              <w:left w:val="single" w:color="auto" w:sz="4" w:space="0"/>
              <w:right w:val="single" w:color="auto" w:sz="4" w:space="0"/>
            </w:tcBorders>
            <w:vAlign w:val="center"/>
          </w:tcPr>
          <w:p w14:paraId="5084C9C9">
            <w:pPr>
              <w:adjustRightInd w:val="0"/>
              <w:snapToGrid w:val="0"/>
              <w:jc w:val="center"/>
              <w:rPr>
                <w:rFonts w:ascii="宋体" w:hAnsi="宋体" w:cs="宋体"/>
              </w:rPr>
            </w:pPr>
            <w:r>
              <w:rPr>
                <w:rFonts w:hint="eastAsia" w:ascii="宋体" w:hAnsi="宋体" w:cs="宋体"/>
              </w:rPr>
              <w:t>2.2.2（3）</w:t>
            </w:r>
          </w:p>
        </w:tc>
        <w:tc>
          <w:tcPr>
            <w:tcW w:w="1049" w:type="dxa"/>
            <w:vMerge w:val="restart"/>
            <w:tcBorders>
              <w:top w:val="single" w:color="auto" w:sz="4" w:space="0"/>
              <w:left w:val="single" w:color="auto" w:sz="4" w:space="0"/>
              <w:right w:val="single" w:color="auto" w:sz="4" w:space="0"/>
            </w:tcBorders>
            <w:vAlign w:val="center"/>
          </w:tcPr>
          <w:p w14:paraId="500AB99D">
            <w:pPr>
              <w:adjustRightInd w:val="0"/>
              <w:snapToGrid w:val="0"/>
              <w:jc w:val="left"/>
              <w:rPr>
                <w:rFonts w:ascii="宋体" w:hAnsi="宋体" w:cs="宋体"/>
              </w:rPr>
            </w:pPr>
            <w:r>
              <w:rPr>
                <w:rFonts w:hint="eastAsia" w:ascii="宋体" w:hAnsi="宋体" w:cs="宋体"/>
              </w:rPr>
              <w:t>技术部分评审（60分）</w:t>
            </w:r>
          </w:p>
        </w:tc>
        <w:tc>
          <w:tcPr>
            <w:tcW w:w="1283" w:type="dxa"/>
            <w:gridSpan w:val="2"/>
            <w:tcBorders>
              <w:top w:val="single" w:color="auto" w:sz="4" w:space="0"/>
              <w:left w:val="single" w:color="auto" w:sz="4" w:space="0"/>
              <w:bottom w:val="single" w:color="auto" w:sz="4" w:space="0"/>
              <w:right w:val="single" w:color="auto" w:sz="4" w:space="0"/>
            </w:tcBorders>
            <w:vAlign w:val="center"/>
          </w:tcPr>
          <w:p w14:paraId="7621BF4F">
            <w:pPr>
              <w:pStyle w:val="9"/>
              <w:adjustRightInd w:val="0"/>
              <w:snapToGrid w:val="0"/>
              <w:ind w:left="63" w:right="5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 xml:space="preserve">水保方案编制总体安排（20分） </w:t>
            </w:r>
          </w:p>
        </w:tc>
        <w:tc>
          <w:tcPr>
            <w:tcW w:w="5939" w:type="dxa"/>
            <w:tcBorders>
              <w:top w:val="single" w:color="auto" w:sz="4" w:space="0"/>
              <w:left w:val="single" w:color="auto" w:sz="4" w:space="0"/>
              <w:bottom w:val="single" w:color="auto" w:sz="4" w:space="0"/>
              <w:right w:val="single" w:color="auto" w:sz="4" w:space="0"/>
            </w:tcBorders>
            <w:vAlign w:val="center"/>
          </w:tcPr>
          <w:p w14:paraId="504D9C0E">
            <w:pPr>
              <w:adjustRightInd w:val="0"/>
              <w:snapToGrid w:val="0"/>
              <w:jc w:val="center"/>
              <w:rPr>
                <w:rFonts w:hint="eastAsia" w:ascii="宋体" w:hAnsi="宋体" w:eastAsia="宋体" w:cs="宋体"/>
                <w:kern w:val="2"/>
                <w:sz w:val="21"/>
                <w:szCs w:val="21"/>
                <w:lang w:val="en-US" w:eastAsia="zh-CN" w:bidi="ar-SA"/>
              </w:rPr>
            </w:pPr>
            <w:bookmarkStart w:id="0" w:name="OLE_LINK3"/>
            <w:bookmarkStart w:id="1" w:name="OLE_LINK4"/>
            <w:r>
              <w:rPr>
                <w:rFonts w:hint="eastAsia" w:ascii="宋体" w:hAnsi="宋体" w:eastAsia="宋体" w:cs="宋体"/>
                <w:kern w:val="2"/>
                <w:sz w:val="21"/>
                <w:szCs w:val="21"/>
                <w:lang w:val="en-US" w:eastAsia="zh-CN" w:bidi="ar-SA"/>
              </w:rPr>
              <w:t>对供应商水土保持方</w:t>
            </w:r>
            <w:bookmarkStart w:id="25" w:name="_GoBack"/>
            <w:bookmarkEnd w:id="25"/>
            <w:r>
              <w:rPr>
                <w:rFonts w:hint="eastAsia" w:ascii="宋体" w:hAnsi="宋体" w:eastAsia="宋体" w:cs="宋体"/>
                <w:kern w:val="2"/>
                <w:sz w:val="21"/>
                <w:szCs w:val="21"/>
                <w:lang w:val="en-US" w:eastAsia="zh-CN" w:bidi="ar-SA"/>
              </w:rPr>
              <w:t>案编制总体安排进行评审：</w:t>
            </w:r>
          </w:p>
          <w:p w14:paraId="6D975868">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根据对本项目的理解，服务方案的全面、完善、合理性，工作计划中的工序组织、质量管理及效率管理等进行打分：</w:t>
            </w:r>
          </w:p>
          <w:p w14:paraId="659A96E7">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总体方案切实可行，得 20分；</w:t>
            </w:r>
          </w:p>
          <w:p w14:paraId="3CA57CED">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总体方案较为切合实际，得 16分；</w:t>
            </w:r>
          </w:p>
          <w:p w14:paraId="6E13EF41">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要点分析一般，得 12 分。</w:t>
            </w:r>
            <w:bookmarkEnd w:id="0"/>
            <w:bookmarkEnd w:id="1"/>
          </w:p>
        </w:tc>
      </w:tr>
      <w:tr w14:paraId="0C88BD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continue"/>
            <w:tcBorders>
              <w:top w:val="single" w:color="auto" w:sz="4" w:space="0"/>
              <w:left w:val="single" w:color="auto" w:sz="4" w:space="0"/>
              <w:right w:val="single" w:color="auto" w:sz="4" w:space="0"/>
            </w:tcBorders>
            <w:vAlign w:val="center"/>
          </w:tcPr>
          <w:p w14:paraId="38AB4D62">
            <w:pPr>
              <w:adjustRightInd w:val="0"/>
              <w:snapToGrid w:val="0"/>
              <w:jc w:val="center"/>
              <w:rPr>
                <w:rFonts w:hint="eastAsia" w:ascii="宋体" w:hAnsi="宋体" w:cs="宋体"/>
              </w:rPr>
            </w:pPr>
          </w:p>
        </w:tc>
        <w:tc>
          <w:tcPr>
            <w:tcW w:w="1049" w:type="dxa"/>
            <w:vMerge w:val="continue"/>
            <w:tcBorders>
              <w:top w:val="single" w:color="auto" w:sz="4" w:space="0"/>
              <w:left w:val="single" w:color="auto" w:sz="4" w:space="0"/>
              <w:right w:val="single" w:color="auto" w:sz="4" w:space="0"/>
            </w:tcBorders>
            <w:vAlign w:val="center"/>
          </w:tcPr>
          <w:p w14:paraId="1EC46FB6">
            <w:pPr>
              <w:adjustRightInd w:val="0"/>
              <w:snapToGrid w:val="0"/>
              <w:jc w:val="left"/>
              <w:rPr>
                <w:rFonts w:hint="eastAsia" w:ascii="宋体" w:hAnsi="宋体" w:cs="宋体"/>
              </w:rPr>
            </w:pPr>
          </w:p>
        </w:tc>
        <w:tc>
          <w:tcPr>
            <w:tcW w:w="1283" w:type="dxa"/>
            <w:gridSpan w:val="2"/>
            <w:tcBorders>
              <w:top w:val="single" w:color="auto" w:sz="4" w:space="0"/>
              <w:left w:val="single" w:color="auto" w:sz="4" w:space="0"/>
              <w:bottom w:val="single" w:color="auto" w:sz="4" w:space="0"/>
              <w:right w:val="single" w:color="auto" w:sz="4" w:space="0"/>
            </w:tcBorders>
            <w:vAlign w:val="center"/>
          </w:tcPr>
          <w:p w14:paraId="70FE5B0D">
            <w:pPr>
              <w:pStyle w:val="3"/>
              <w:spacing w:line="240" w:lineRule="auto"/>
              <w:rPr>
                <w:rFonts w:hint="eastAsia" w:ascii="宋体" w:hAnsi="宋体" w:eastAsia="宋体" w:cs="宋体"/>
                <w:kern w:val="2"/>
                <w:sz w:val="21"/>
                <w:szCs w:val="21"/>
                <w:lang w:val="en-US" w:eastAsia="zh-CN" w:bidi="ar-SA"/>
              </w:rPr>
            </w:pPr>
            <w:bookmarkStart w:id="2" w:name="OLE_LINK5"/>
            <w:bookmarkStart w:id="3" w:name="OLE_LINK6"/>
            <w:r>
              <w:rPr>
                <w:rFonts w:hint="eastAsia" w:ascii="宋体" w:hAnsi="宋体" w:eastAsia="宋体" w:cs="宋体"/>
                <w:kern w:val="2"/>
                <w:sz w:val="21"/>
                <w:szCs w:val="21"/>
                <w:lang w:val="en-US" w:eastAsia="zh-CN" w:bidi="ar-SA"/>
              </w:rPr>
              <w:t>水库清淤类方案编制要点分析</w:t>
            </w:r>
            <w:bookmarkEnd w:id="2"/>
            <w:bookmarkEnd w:id="3"/>
            <w:r>
              <w:rPr>
                <w:rFonts w:hint="eastAsia" w:ascii="宋体" w:hAnsi="宋体" w:eastAsia="宋体" w:cs="宋体"/>
                <w:kern w:val="2"/>
                <w:sz w:val="21"/>
                <w:szCs w:val="21"/>
                <w:lang w:val="en-US" w:eastAsia="zh-CN" w:bidi="ar-SA"/>
              </w:rPr>
              <w:t>（10分）</w:t>
            </w:r>
          </w:p>
        </w:tc>
        <w:tc>
          <w:tcPr>
            <w:tcW w:w="5939" w:type="dxa"/>
            <w:tcBorders>
              <w:top w:val="single" w:color="auto" w:sz="4" w:space="0"/>
              <w:left w:val="single" w:color="auto" w:sz="4" w:space="0"/>
              <w:bottom w:val="single" w:color="auto" w:sz="4" w:space="0"/>
              <w:right w:val="single" w:color="auto" w:sz="4" w:space="0"/>
            </w:tcBorders>
            <w:vAlign w:val="center"/>
          </w:tcPr>
          <w:p w14:paraId="2CB6B28A">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对供应商对水库清淤类方案编制要点分析进行评审：</w:t>
            </w:r>
          </w:p>
          <w:p w14:paraId="77EC132C">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根据对本类项目的理解的全面性、合理性，进行打分：</w:t>
            </w:r>
          </w:p>
          <w:p w14:paraId="36A88448">
            <w:pPr>
              <w:adjustRightInd w:val="0"/>
              <w:snapToGrid w:val="0"/>
              <w:jc w:val="center"/>
              <w:rPr>
                <w:rFonts w:hint="eastAsia" w:ascii="宋体" w:hAnsi="宋体" w:eastAsia="宋体" w:cs="宋体"/>
                <w:kern w:val="2"/>
                <w:sz w:val="21"/>
                <w:szCs w:val="21"/>
                <w:lang w:val="en-US" w:eastAsia="zh-CN" w:bidi="ar-SA"/>
              </w:rPr>
            </w:pPr>
            <w:bookmarkStart w:id="4" w:name="OLE_LINK7"/>
            <w:bookmarkStart w:id="5" w:name="OLE_LINK8"/>
            <w:r>
              <w:rPr>
                <w:rFonts w:hint="eastAsia" w:ascii="宋体" w:hAnsi="宋体" w:eastAsia="宋体" w:cs="宋体"/>
                <w:kern w:val="2"/>
                <w:sz w:val="21"/>
                <w:szCs w:val="21"/>
                <w:lang w:val="en-US" w:eastAsia="zh-CN" w:bidi="ar-SA"/>
              </w:rPr>
              <w:t>要点分析</w:t>
            </w:r>
            <w:bookmarkEnd w:id="4"/>
            <w:bookmarkEnd w:id="5"/>
            <w:r>
              <w:rPr>
                <w:rFonts w:hint="eastAsia" w:ascii="宋体" w:hAnsi="宋体" w:eastAsia="宋体" w:cs="宋体"/>
                <w:kern w:val="2"/>
                <w:sz w:val="21"/>
                <w:szCs w:val="21"/>
                <w:lang w:val="en-US" w:eastAsia="zh-CN" w:bidi="ar-SA"/>
              </w:rPr>
              <w:t>全面可行，得 10分；</w:t>
            </w:r>
          </w:p>
          <w:p w14:paraId="79E79D63">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要点分析较为切合实际，得 8分；</w:t>
            </w:r>
          </w:p>
          <w:p w14:paraId="68F7FBEE">
            <w:pPr>
              <w:adjustRightInd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总体方案一般，得 6分。</w:t>
            </w:r>
          </w:p>
        </w:tc>
      </w:tr>
      <w:tr w14:paraId="6C59CA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continue"/>
            <w:tcBorders>
              <w:left w:val="single" w:color="auto" w:sz="4" w:space="0"/>
              <w:right w:val="single" w:color="auto" w:sz="4" w:space="0"/>
            </w:tcBorders>
            <w:vAlign w:val="center"/>
          </w:tcPr>
          <w:p w14:paraId="76A2CF6B">
            <w:pPr>
              <w:adjustRightInd w:val="0"/>
              <w:snapToGrid w:val="0"/>
              <w:jc w:val="center"/>
              <w:rPr>
                <w:rFonts w:ascii="宋体" w:hAnsi="宋体" w:cs="宋体"/>
              </w:rPr>
            </w:pPr>
          </w:p>
        </w:tc>
        <w:tc>
          <w:tcPr>
            <w:tcW w:w="1049" w:type="dxa"/>
            <w:vMerge w:val="continue"/>
            <w:tcBorders>
              <w:left w:val="single" w:color="auto" w:sz="4" w:space="0"/>
              <w:right w:val="single" w:color="auto" w:sz="4" w:space="0"/>
            </w:tcBorders>
            <w:vAlign w:val="center"/>
          </w:tcPr>
          <w:p w14:paraId="29DC0778">
            <w:pPr>
              <w:adjustRightInd w:val="0"/>
              <w:snapToGrid w:val="0"/>
              <w:jc w:val="left"/>
              <w:rPr>
                <w:rFonts w:ascii="宋体" w:hAnsi="宋体" w:cs="宋体"/>
              </w:rPr>
            </w:pPr>
          </w:p>
        </w:tc>
        <w:tc>
          <w:tcPr>
            <w:tcW w:w="1283" w:type="dxa"/>
            <w:gridSpan w:val="2"/>
            <w:tcBorders>
              <w:top w:val="single" w:color="auto" w:sz="4" w:space="0"/>
              <w:left w:val="single" w:color="auto" w:sz="4" w:space="0"/>
              <w:bottom w:val="single" w:color="auto" w:sz="4" w:space="0"/>
              <w:right w:val="single" w:color="auto" w:sz="4" w:space="0"/>
            </w:tcBorders>
            <w:vAlign w:val="center"/>
          </w:tcPr>
          <w:p w14:paraId="0E3BEC35">
            <w:pPr>
              <w:pStyle w:val="9"/>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 xml:space="preserve">进度保证措施 </w:t>
            </w:r>
          </w:p>
          <w:p w14:paraId="6AE42DE5">
            <w:pPr>
              <w:pStyle w:val="9"/>
              <w:adjustRightInd w:val="0"/>
              <w:snapToGrid w:val="0"/>
              <w:ind w:left="63" w:right="50"/>
              <w:jc w:val="center"/>
              <w:rPr>
                <w:rFonts w:ascii="宋体" w:hAnsi="宋体" w:cs="宋体"/>
                <w:sz w:val="21"/>
                <w:szCs w:val="21"/>
                <w:lang w:eastAsia="zh-CN"/>
              </w:rPr>
            </w:pPr>
            <w:r>
              <w:rPr>
                <w:rFonts w:hint="eastAsia" w:ascii="宋体" w:hAnsi="宋体" w:cs="宋体"/>
                <w:lang w:eastAsia="zh-CN"/>
              </w:rPr>
              <w:t>（10分）</w:t>
            </w:r>
          </w:p>
        </w:tc>
        <w:tc>
          <w:tcPr>
            <w:tcW w:w="5939" w:type="dxa"/>
            <w:tcBorders>
              <w:top w:val="single" w:color="auto" w:sz="4" w:space="0"/>
              <w:left w:val="single" w:color="auto" w:sz="4" w:space="0"/>
              <w:bottom w:val="single" w:color="auto" w:sz="4" w:space="0"/>
              <w:right w:val="single" w:color="auto" w:sz="4" w:space="0"/>
            </w:tcBorders>
            <w:vAlign w:val="center"/>
          </w:tcPr>
          <w:p w14:paraId="2BA26055">
            <w:pPr>
              <w:adjustRightInd w:val="0"/>
              <w:snapToGrid w:val="0"/>
              <w:jc w:val="center"/>
              <w:rPr>
                <w:rFonts w:ascii="宋体" w:hAnsi="宋体" w:cs="宋体"/>
                <w:szCs w:val="21"/>
              </w:rPr>
            </w:pPr>
            <w:r>
              <w:rPr>
                <w:rFonts w:hint="eastAsia" w:ascii="宋体" w:hAnsi="宋体" w:cs="宋体"/>
                <w:szCs w:val="21"/>
              </w:rPr>
              <w:t>对供应商进度保证措施进行评审：</w:t>
            </w:r>
          </w:p>
          <w:p w14:paraId="41656774">
            <w:pPr>
              <w:adjustRightInd w:val="0"/>
              <w:snapToGrid w:val="0"/>
              <w:jc w:val="center"/>
              <w:rPr>
                <w:rFonts w:ascii="宋体" w:hAnsi="宋体" w:cs="宋体"/>
                <w:szCs w:val="21"/>
              </w:rPr>
            </w:pPr>
            <w:r>
              <w:rPr>
                <w:rFonts w:hint="eastAsia" w:ascii="宋体" w:hAnsi="宋体" w:cs="宋体"/>
                <w:szCs w:val="21"/>
              </w:rPr>
              <w:t>切实可行，针对性强的，得 10 分；</w:t>
            </w:r>
          </w:p>
          <w:p w14:paraId="354B649D">
            <w:pPr>
              <w:adjustRightInd w:val="0"/>
              <w:snapToGrid w:val="0"/>
              <w:jc w:val="center"/>
              <w:rPr>
                <w:rFonts w:ascii="宋体" w:hAnsi="宋体" w:cs="宋体"/>
                <w:szCs w:val="21"/>
              </w:rPr>
            </w:pPr>
            <w:r>
              <w:rPr>
                <w:rFonts w:hint="eastAsia" w:ascii="宋体" w:hAnsi="宋体" w:cs="宋体"/>
                <w:szCs w:val="21"/>
              </w:rPr>
              <w:t>较切实可行，针对性较强的，得 8 分；</w:t>
            </w:r>
          </w:p>
          <w:p w14:paraId="7188606D">
            <w:pPr>
              <w:adjustRightInd w:val="0"/>
              <w:snapToGrid w:val="0"/>
              <w:jc w:val="center"/>
              <w:rPr>
                <w:rFonts w:ascii="宋体" w:hAnsi="宋体" w:cs="宋体"/>
                <w:szCs w:val="21"/>
              </w:rPr>
            </w:pPr>
            <w:r>
              <w:rPr>
                <w:rFonts w:hint="eastAsia" w:ascii="宋体" w:hAnsi="宋体" w:cs="宋体"/>
                <w:szCs w:val="21"/>
              </w:rPr>
              <w:t>措施一般的，得 6 分。</w:t>
            </w:r>
          </w:p>
        </w:tc>
      </w:tr>
      <w:tr w14:paraId="17F4EE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continue"/>
            <w:tcBorders>
              <w:left w:val="single" w:color="auto" w:sz="4" w:space="0"/>
              <w:right w:val="single" w:color="auto" w:sz="4" w:space="0"/>
            </w:tcBorders>
            <w:vAlign w:val="center"/>
          </w:tcPr>
          <w:p w14:paraId="420C8EC5">
            <w:pPr>
              <w:adjustRightInd w:val="0"/>
              <w:snapToGrid w:val="0"/>
              <w:jc w:val="center"/>
              <w:rPr>
                <w:rFonts w:ascii="宋体" w:hAnsi="宋体" w:cs="宋体"/>
              </w:rPr>
            </w:pPr>
          </w:p>
        </w:tc>
        <w:tc>
          <w:tcPr>
            <w:tcW w:w="1049" w:type="dxa"/>
            <w:vMerge w:val="continue"/>
            <w:tcBorders>
              <w:left w:val="single" w:color="auto" w:sz="4" w:space="0"/>
              <w:right w:val="single" w:color="auto" w:sz="4" w:space="0"/>
            </w:tcBorders>
            <w:vAlign w:val="center"/>
          </w:tcPr>
          <w:p w14:paraId="09E9B675">
            <w:pPr>
              <w:adjustRightInd w:val="0"/>
              <w:snapToGrid w:val="0"/>
              <w:jc w:val="left"/>
              <w:rPr>
                <w:rFonts w:ascii="宋体" w:hAnsi="宋体" w:cs="宋体"/>
              </w:rPr>
            </w:pPr>
          </w:p>
        </w:tc>
        <w:tc>
          <w:tcPr>
            <w:tcW w:w="1283" w:type="dxa"/>
            <w:gridSpan w:val="2"/>
            <w:tcBorders>
              <w:top w:val="single" w:color="auto" w:sz="4" w:space="0"/>
              <w:left w:val="single" w:color="auto" w:sz="4" w:space="0"/>
              <w:bottom w:val="single" w:color="auto" w:sz="4" w:space="0"/>
              <w:right w:val="single" w:color="auto" w:sz="4" w:space="0"/>
            </w:tcBorders>
            <w:vAlign w:val="center"/>
          </w:tcPr>
          <w:p w14:paraId="70A5DF0A">
            <w:pPr>
              <w:pStyle w:val="9"/>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 xml:space="preserve">质量保证措施 </w:t>
            </w:r>
          </w:p>
          <w:p w14:paraId="217D65B2">
            <w:pPr>
              <w:pStyle w:val="9"/>
              <w:adjustRightInd w:val="0"/>
              <w:snapToGrid w:val="0"/>
              <w:ind w:left="63" w:right="50"/>
              <w:jc w:val="center"/>
              <w:rPr>
                <w:rFonts w:ascii="宋体" w:hAnsi="宋体" w:cs="宋体"/>
                <w:sz w:val="21"/>
                <w:szCs w:val="21"/>
                <w:lang w:eastAsia="zh-CN"/>
              </w:rPr>
            </w:pPr>
            <w:r>
              <w:rPr>
                <w:rFonts w:hint="eastAsia" w:ascii="宋体" w:hAnsi="宋体" w:cs="宋体"/>
                <w:lang w:eastAsia="zh-CN"/>
              </w:rPr>
              <w:t>（10分）</w:t>
            </w:r>
          </w:p>
        </w:tc>
        <w:tc>
          <w:tcPr>
            <w:tcW w:w="5939" w:type="dxa"/>
            <w:tcBorders>
              <w:top w:val="single" w:color="auto" w:sz="4" w:space="0"/>
              <w:left w:val="single" w:color="auto" w:sz="4" w:space="0"/>
              <w:bottom w:val="single" w:color="auto" w:sz="4" w:space="0"/>
              <w:right w:val="single" w:color="auto" w:sz="4" w:space="0"/>
            </w:tcBorders>
            <w:vAlign w:val="center"/>
          </w:tcPr>
          <w:p w14:paraId="0888627E">
            <w:pPr>
              <w:adjustRightInd w:val="0"/>
              <w:snapToGrid w:val="0"/>
              <w:jc w:val="center"/>
              <w:rPr>
                <w:rFonts w:ascii="宋体" w:hAnsi="宋体" w:cs="宋体"/>
                <w:szCs w:val="21"/>
              </w:rPr>
            </w:pPr>
            <w:r>
              <w:rPr>
                <w:rFonts w:hint="eastAsia" w:ascii="宋体" w:hAnsi="宋体" w:cs="宋体"/>
                <w:szCs w:val="21"/>
              </w:rPr>
              <w:t>对供应商质量保证措施进行评审：</w:t>
            </w:r>
          </w:p>
          <w:p w14:paraId="77177FC2">
            <w:pPr>
              <w:adjustRightInd w:val="0"/>
              <w:snapToGrid w:val="0"/>
              <w:jc w:val="center"/>
              <w:rPr>
                <w:rFonts w:ascii="宋体" w:hAnsi="宋体" w:cs="宋体"/>
                <w:szCs w:val="21"/>
              </w:rPr>
            </w:pPr>
            <w:r>
              <w:rPr>
                <w:rFonts w:hint="eastAsia" w:ascii="宋体" w:hAnsi="宋体" w:cs="宋体"/>
                <w:szCs w:val="21"/>
              </w:rPr>
              <w:t>切实可行，针对性强的，得 10 分；</w:t>
            </w:r>
          </w:p>
          <w:p w14:paraId="2AF6065E">
            <w:pPr>
              <w:adjustRightInd w:val="0"/>
              <w:snapToGrid w:val="0"/>
              <w:jc w:val="center"/>
              <w:rPr>
                <w:rFonts w:ascii="宋体" w:hAnsi="宋体" w:cs="宋体"/>
                <w:szCs w:val="21"/>
              </w:rPr>
            </w:pPr>
            <w:r>
              <w:rPr>
                <w:rFonts w:hint="eastAsia" w:ascii="宋体" w:hAnsi="宋体" w:cs="宋体"/>
                <w:szCs w:val="21"/>
              </w:rPr>
              <w:t>较切实可行，针对性较强的，得 8 分；</w:t>
            </w:r>
          </w:p>
          <w:p w14:paraId="1E840746">
            <w:pPr>
              <w:adjustRightInd w:val="0"/>
              <w:snapToGrid w:val="0"/>
              <w:jc w:val="center"/>
              <w:rPr>
                <w:rFonts w:ascii="宋体" w:hAnsi="宋体" w:cs="宋体"/>
                <w:szCs w:val="21"/>
              </w:rPr>
            </w:pPr>
            <w:r>
              <w:rPr>
                <w:rFonts w:hint="eastAsia" w:ascii="宋体" w:hAnsi="宋体" w:cs="宋体"/>
                <w:szCs w:val="21"/>
              </w:rPr>
              <w:t>措施一般的，得 6 分。</w:t>
            </w:r>
          </w:p>
        </w:tc>
      </w:tr>
      <w:tr w14:paraId="28F5A1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tcBorders>
              <w:left w:val="single" w:color="auto" w:sz="4" w:space="0"/>
              <w:right w:val="single" w:color="auto" w:sz="4" w:space="0"/>
            </w:tcBorders>
            <w:vAlign w:val="center"/>
          </w:tcPr>
          <w:p w14:paraId="58CE9F1D">
            <w:pPr>
              <w:adjustRightInd w:val="0"/>
              <w:snapToGrid w:val="0"/>
              <w:jc w:val="center"/>
              <w:rPr>
                <w:rFonts w:ascii="宋体" w:hAnsi="宋体" w:cs="宋体"/>
              </w:rPr>
            </w:pPr>
          </w:p>
        </w:tc>
        <w:tc>
          <w:tcPr>
            <w:tcW w:w="1049" w:type="dxa"/>
            <w:tcBorders>
              <w:left w:val="single" w:color="auto" w:sz="4" w:space="0"/>
              <w:right w:val="single" w:color="auto" w:sz="4" w:space="0"/>
            </w:tcBorders>
            <w:vAlign w:val="center"/>
          </w:tcPr>
          <w:p w14:paraId="47F443D8">
            <w:pPr>
              <w:adjustRightInd w:val="0"/>
              <w:snapToGrid w:val="0"/>
              <w:jc w:val="left"/>
              <w:rPr>
                <w:rFonts w:ascii="宋体" w:hAnsi="宋体" w:cs="宋体"/>
              </w:rPr>
            </w:pPr>
          </w:p>
        </w:tc>
        <w:tc>
          <w:tcPr>
            <w:tcW w:w="1283" w:type="dxa"/>
            <w:gridSpan w:val="2"/>
            <w:tcBorders>
              <w:top w:val="single" w:color="auto" w:sz="4" w:space="0"/>
              <w:left w:val="single" w:color="auto" w:sz="4" w:space="0"/>
              <w:bottom w:val="single" w:color="auto" w:sz="4" w:space="0"/>
              <w:right w:val="single" w:color="auto" w:sz="4" w:space="0"/>
            </w:tcBorders>
            <w:vAlign w:val="center"/>
          </w:tcPr>
          <w:p w14:paraId="1B324D9B">
            <w:pPr>
              <w:pStyle w:val="9"/>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服务</w:t>
            </w:r>
            <w:r>
              <w:rPr>
                <w:rFonts w:ascii="宋体" w:hAnsi="宋体" w:cs="宋体"/>
                <w:sz w:val="21"/>
                <w:szCs w:val="21"/>
                <w:lang w:eastAsia="zh-CN"/>
              </w:rPr>
              <w:t>承诺</w:t>
            </w:r>
            <w:r>
              <w:rPr>
                <w:rFonts w:hint="eastAsia" w:ascii="宋体" w:hAnsi="宋体" w:cs="宋体"/>
                <w:sz w:val="21"/>
                <w:szCs w:val="21"/>
                <w:lang w:eastAsia="zh-CN"/>
              </w:rPr>
              <w:t xml:space="preserve"> </w:t>
            </w:r>
          </w:p>
          <w:p w14:paraId="1F40638C">
            <w:pPr>
              <w:pStyle w:val="9"/>
              <w:adjustRightInd w:val="0"/>
              <w:snapToGrid w:val="0"/>
              <w:ind w:left="63" w:right="50"/>
              <w:jc w:val="center"/>
              <w:rPr>
                <w:rFonts w:ascii="宋体" w:hAnsi="宋体" w:cs="宋体"/>
                <w:sz w:val="21"/>
                <w:szCs w:val="21"/>
                <w:lang w:eastAsia="zh-CN"/>
              </w:rPr>
            </w:pPr>
            <w:r>
              <w:rPr>
                <w:rFonts w:hint="eastAsia" w:ascii="宋体" w:hAnsi="宋体" w:cs="宋体"/>
                <w:lang w:eastAsia="zh-CN"/>
              </w:rPr>
              <w:t>（10分）</w:t>
            </w:r>
          </w:p>
        </w:tc>
        <w:tc>
          <w:tcPr>
            <w:tcW w:w="5939" w:type="dxa"/>
            <w:tcBorders>
              <w:top w:val="single" w:color="auto" w:sz="4" w:space="0"/>
              <w:left w:val="single" w:color="auto" w:sz="4" w:space="0"/>
              <w:bottom w:val="single" w:color="auto" w:sz="4" w:space="0"/>
              <w:right w:val="single" w:color="auto" w:sz="4" w:space="0"/>
            </w:tcBorders>
            <w:vAlign w:val="center"/>
          </w:tcPr>
          <w:p w14:paraId="3EA3637C">
            <w:pPr>
              <w:adjustRightInd w:val="0"/>
              <w:snapToGrid w:val="0"/>
              <w:jc w:val="center"/>
              <w:rPr>
                <w:rFonts w:ascii="宋体" w:hAnsi="宋体" w:cs="宋体"/>
                <w:szCs w:val="21"/>
              </w:rPr>
            </w:pPr>
            <w:r>
              <w:rPr>
                <w:rFonts w:hint="eastAsia" w:ascii="宋体" w:hAnsi="宋体" w:cs="宋体"/>
                <w:szCs w:val="21"/>
              </w:rPr>
              <w:t>对供应商服务承诺进行评审：</w:t>
            </w:r>
          </w:p>
          <w:p w14:paraId="4EBE5379">
            <w:pPr>
              <w:adjustRightInd w:val="0"/>
              <w:snapToGrid w:val="0"/>
              <w:jc w:val="center"/>
              <w:rPr>
                <w:rFonts w:ascii="宋体" w:hAnsi="宋体" w:cs="宋体"/>
                <w:szCs w:val="21"/>
              </w:rPr>
            </w:pPr>
            <w:r>
              <w:rPr>
                <w:rFonts w:hint="eastAsia" w:ascii="宋体" w:hAnsi="宋体" w:cs="宋体"/>
                <w:szCs w:val="21"/>
              </w:rPr>
              <w:t>切实可行，针对性强的，得 10 分；</w:t>
            </w:r>
          </w:p>
          <w:p w14:paraId="3E2548C2">
            <w:pPr>
              <w:adjustRightInd w:val="0"/>
              <w:snapToGrid w:val="0"/>
              <w:jc w:val="center"/>
              <w:rPr>
                <w:rFonts w:ascii="宋体" w:hAnsi="宋体" w:cs="宋体"/>
                <w:szCs w:val="21"/>
              </w:rPr>
            </w:pPr>
            <w:r>
              <w:rPr>
                <w:rFonts w:hint="eastAsia" w:ascii="宋体" w:hAnsi="宋体" w:cs="宋体"/>
                <w:szCs w:val="21"/>
              </w:rPr>
              <w:t>较切实可行，针对性较强的，得 8 分；</w:t>
            </w:r>
          </w:p>
          <w:p w14:paraId="7ED1F922">
            <w:pPr>
              <w:adjustRightInd w:val="0"/>
              <w:snapToGrid w:val="0"/>
              <w:jc w:val="center"/>
              <w:rPr>
                <w:rFonts w:ascii="宋体" w:hAnsi="宋体" w:cs="宋体"/>
                <w:szCs w:val="21"/>
              </w:rPr>
            </w:pPr>
            <w:r>
              <w:rPr>
                <w:rFonts w:hint="eastAsia" w:ascii="宋体" w:hAnsi="宋体" w:cs="宋体"/>
                <w:szCs w:val="21"/>
              </w:rPr>
              <w:t>措施一般的，得 6 分。</w:t>
            </w:r>
          </w:p>
        </w:tc>
      </w:tr>
    </w:tbl>
    <w:p w14:paraId="08AB500A">
      <w:pPr>
        <w:spacing w:line="400" w:lineRule="exact"/>
        <w:outlineLvl w:val="0"/>
        <w:rPr>
          <w:rFonts w:ascii="宋体" w:hAnsi="宋体"/>
          <w:b/>
          <w:bCs/>
          <w:spacing w:val="2"/>
          <w:szCs w:val="21"/>
        </w:rPr>
      </w:pPr>
    </w:p>
    <w:p w14:paraId="2C0BC14B">
      <w:pPr>
        <w:spacing w:line="480" w:lineRule="exact"/>
        <w:rPr>
          <w:rFonts w:ascii="宋体" w:hAnsi="宋体" w:cs="宋体"/>
          <w:b/>
          <w:bCs/>
          <w:color w:val="000000"/>
          <w:kern w:val="0"/>
          <w:sz w:val="25"/>
          <w:szCs w:val="25"/>
          <w:lang w:bidi="ar"/>
        </w:rPr>
      </w:pPr>
      <w:r>
        <w:rPr>
          <w:rFonts w:hint="eastAsia" w:ascii="宋体" w:hAnsi="宋体" w:cs="宋体"/>
          <w:b/>
          <w:bCs/>
          <w:color w:val="000000"/>
          <w:kern w:val="0"/>
          <w:sz w:val="25"/>
          <w:szCs w:val="25"/>
          <w:lang w:bidi="ar"/>
        </w:rPr>
        <w:t>1. 评审方法</w:t>
      </w:r>
    </w:p>
    <w:p w14:paraId="5FAFC28B">
      <w:pPr>
        <w:spacing w:line="480" w:lineRule="exact"/>
        <w:ind w:firstLine="500" w:firstLineChars="200"/>
        <w:rPr>
          <w:rFonts w:ascii="宋体" w:hAnsi="宋体" w:cs="宋体"/>
          <w:color w:val="000000"/>
          <w:kern w:val="0"/>
          <w:sz w:val="25"/>
          <w:szCs w:val="25"/>
          <w:lang w:bidi="ar"/>
        </w:rPr>
      </w:pPr>
      <w:bookmarkStart w:id="6" w:name="_Toc3444031"/>
      <w:r>
        <w:rPr>
          <w:rFonts w:hint="eastAsia" w:ascii="宋体" w:hAnsi="宋体" w:cs="宋体"/>
          <w:color w:val="000000"/>
          <w:kern w:val="0"/>
          <w:sz w:val="25"/>
          <w:szCs w:val="25"/>
          <w:lang w:bidi="ar"/>
        </w:rPr>
        <w:t>本次评审采用综合评估法。评审小组对满足比选文件实质性要求的比选申请书，按照第2.2款规定的评分标准进行打分，并按得分由高到低顺序推荐中选候选人，并标明排序；综合评分相等时，以比选报价低的优先；如果比选报价相同时，以技术服务方案评分标准得分高的优先；如果技术服务方案评分标准得分也相等，由评审小组投票确定。</w:t>
      </w:r>
    </w:p>
    <w:p w14:paraId="0AC2234D">
      <w:pPr>
        <w:spacing w:line="480" w:lineRule="exact"/>
        <w:rPr>
          <w:rFonts w:ascii="宋体" w:hAnsi="宋体" w:cs="宋体"/>
          <w:b/>
          <w:bCs/>
          <w:color w:val="000000"/>
          <w:kern w:val="0"/>
          <w:sz w:val="25"/>
          <w:szCs w:val="25"/>
          <w:lang w:bidi="ar"/>
        </w:rPr>
      </w:pPr>
      <w:r>
        <w:rPr>
          <w:rFonts w:hint="eastAsia" w:ascii="宋体" w:hAnsi="宋体" w:cs="宋体"/>
          <w:b/>
          <w:bCs/>
          <w:color w:val="000000"/>
          <w:kern w:val="0"/>
          <w:sz w:val="25"/>
          <w:szCs w:val="25"/>
          <w:lang w:bidi="ar"/>
        </w:rPr>
        <w:t>2. 评审标准</w:t>
      </w:r>
      <w:bookmarkEnd w:id="6"/>
    </w:p>
    <w:p w14:paraId="795F1E39">
      <w:pPr>
        <w:spacing w:line="480" w:lineRule="exact"/>
        <w:rPr>
          <w:rFonts w:ascii="宋体" w:hAnsi="宋体" w:cs="宋体"/>
          <w:b/>
          <w:bCs/>
          <w:color w:val="000000"/>
          <w:kern w:val="0"/>
          <w:sz w:val="25"/>
          <w:szCs w:val="25"/>
          <w:lang w:bidi="ar"/>
        </w:rPr>
      </w:pPr>
      <w:bookmarkStart w:id="7" w:name="_Toc3444032"/>
      <w:r>
        <w:rPr>
          <w:rFonts w:hint="eastAsia" w:ascii="宋体" w:hAnsi="宋体" w:cs="宋体"/>
          <w:b/>
          <w:bCs/>
          <w:color w:val="000000"/>
          <w:kern w:val="0"/>
          <w:sz w:val="25"/>
          <w:szCs w:val="25"/>
          <w:lang w:bidi="ar"/>
        </w:rPr>
        <w:t>2.1 初步评审标准</w:t>
      </w:r>
      <w:bookmarkEnd w:id="7"/>
    </w:p>
    <w:p w14:paraId="3E05639A">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2.1.1 形式评审标准：见评审办法前附表。</w:t>
      </w:r>
    </w:p>
    <w:p w14:paraId="664D7F4E">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2.1.2 资格评审标准：见评审办法前附表。</w:t>
      </w:r>
    </w:p>
    <w:p w14:paraId="663BB8F6">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2.1.3 响应性评审标准：见评审办法前附表。</w:t>
      </w:r>
    </w:p>
    <w:p w14:paraId="558DBA27">
      <w:pPr>
        <w:spacing w:line="480" w:lineRule="exact"/>
        <w:rPr>
          <w:rFonts w:ascii="宋体" w:hAnsi="宋体" w:cs="宋体"/>
          <w:b/>
          <w:bCs/>
          <w:color w:val="000000"/>
          <w:kern w:val="0"/>
          <w:sz w:val="25"/>
          <w:szCs w:val="25"/>
          <w:lang w:bidi="ar"/>
        </w:rPr>
      </w:pPr>
      <w:bookmarkStart w:id="8" w:name="_Toc3444033"/>
      <w:r>
        <w:rPr>
          <w:rFonts w:hint="eastAsia" w:ascii="宋体" w:hAnsi="宋体" w:cs="宋体"/>
          <w:b/>
          <w:bCs/>
          <w:color w:val="000000"/>
          <w:kern w:val="0"/>
          <w:sz w:val="25"/>
          <w:szCs w:val="25"/>
          <w:lang w:bidi="ar"/>
        </w:rPr>
        <w:t>2.2 分值构成与评分标准</w:t>
      </w:r>
      <w:bookmarkEnd w:id="8"/>
    </w:p>
    <w:p w14:paraId="1431E6FD">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2.2.1 分值构成</w:t>
      </w:r>
    </w:p>
    <w:p w14:paraId="104647F9">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（1）比选报价评审：见评审办法前附表；</w:t>
      </w:r>
    </w:p>
    <w:p w14:paraId="0703DD14">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（2）商务部分评审：见评审办法前附表；</w:t>
      </w:r>
    </w:p>
    <w:p w14:paraId="72BE4EDE">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（3）技术部分评审：见评审办法前附表；</w:t>
      </w:r>
    </w:p>
    <w:p w14:paraId="22AC4744">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2.2.2 评分标准</w:t>
      </w:r>
    </w:p>
    <w:p w14:paraId="0D0589A6">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（1）比选报价评分标准：见评审办法前附表；</w:t>
      </w:r>
    </w:p>
    <w:p w14:paraId="4B7B5102">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（2）商务部分评分标准：见评审办法前附表；</w:t>
      </w:r>
    </w:p>
    <w:p w14:paraId="33AA2430">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（3）技术部分评分标准：见评审办法前附表。</w:t>
      </w:r>
    </w:p>
    <w:p w14:paraId="6B8E8CB2">
      <w:pPr>
        <w:spacing w:line="480" w:lineRule="exact"/>
        <w:rPr>
          <w:rFonts w:ascii="宋体" w:hAnsi="宋体" w:cs="宋体"/>
          <w:b/>
          <w:bCs/>
          <w:color w:val="000000"/>
          <w:kern w:val="0"/>
          <w:sz w:val="25"/>
          <w:szCs w:val="25"/>
          <w:lang w:bidi="ar"/>
        </w:rPr>
      </w:pPr>
      <w:bookmarkStart w:id="9" w:name="_Toc3444034"/>
      <w:r>
        <w:rPr>
          <w:rFonts w:hint="eastAsia" w:ascii="宋体" w:hAnsi="宋体" w:cs="宋体"/>
          <w:b/>
          <w:bCs/>
          <w:color w:val="000000"/>
          <w:kern w:val="0"/>
          <w:sz w:val="25"/>
          <w:szCs w:val="25"/>
          <w:lang w:bidi="ar"/>
        </w:rPr>
        <w:t>3. 评审程序</w:t>
      </w:r>
      <w:bookmarkEnd w:id="9"/>
    </w:p>
    <w:p w14:paraId="28FC2791">
      <w:pPr>
        <w:spacing w:line="480" w:lineRule="exact"/>
        <w:rPr>
          <w:rFonts w:ascii="宋体" w:hAnsi="宋体" w:cs="宋体"/>
          <w:b/>
          <w:bCs/>
          <w:color w:val="000000"/>
          <w:kern w:val="0"/>
          <w:sz w:val="25"/>
          <w:szCs w:val="25"/>
          <w:lang w:bidi="ar"/>
        </w:rPr>
      </w:pPr>
      <w:bookmarkStart w:id="10" w:name="_Toc3444035"/>
      <w:r>
        <w:rPr>
          <w:rFonts w:hint="eastAsia" w:ascii="宋体" w:hAnsi="宋体" w:cs="宋体"/>
          <w:b/>
          <w:bCs/>
          <w:color w:val="000000"/>
          <w:kern w:val="0"/>
          <w:sz w:val="25"/>
          <w:szCs w:val="25"/>
          <w:lang w:bidi="ar"/>
        </w:rPr>
        <w:t>3.1 初步评审</w:t>
      </w:r>
      <w:bookmarkEnd w:id="10"/>
    </w:p>
    <w:p w14:paraId="1FB9FF31">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3.1.1 评审小组可以要求比选申请人提交比选公告“六、供应商资格要求”规定的有关证明和证件的原件，以便核验。评审小组依据第2.1款规定的标准对比选申请书进行初步评审。有一项不符合评审标准的，评审小组应当否决其比选。</w:t>
      </w:r>
    </w:p>
    <w:p w14:paraId="469CEF37">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3.1.2 比选申请人有以下情形之一的，评审小组应当否决其比选：</w:t>
      </w:r>
    </w:p>
    <w:p w14:paraId="7C59D8BC">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（1）比选申请书没有对比选文件的实质性要求和条件作出响应，或者对比选文件的偏差超出比选文件规定的偏差范围或最高项数；</w:t>
      </w:r>
    </w:p>
    <w:p w14:paraId="4F6DC482">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（2）有串通比选、弄虚作假、行贿等违法行为。</w:t>
      </w:r>
    </w:p>
    <w:p w14:paraId="2DE93B99">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3.1.3 比选报价有算术错误及其他错误的，评审小组按以下原则要求比选申请人对比选报价进</w:t>
      </w:r>
      <w:bookmarkStart w:id="11" w:name="_Toc352691538"/>
      <w:bookmarkStart w:id="12" w:name="_Toc361508651"/>
      <w:bookmarkStart w:id="13" w:name="_Toc300835013"/>
      <w:bookmarkStart w:id="14" w:name="_Toc247514027"/>
      <w:bookmarkStart w:id="15" w:name="_Toc152042380"/>
      <w:bookmarkStart w:id="16" w:name="_Toc152045603"/>
      <w:bookmarkStart w:id="17" w:name="_Toc369531582"/>
      <w:bookmarkStart w:id="18" w:name="_Toc247527628"/>
      <w:bookmarkStart w:id="19" w:name="_Toc2907"/>
      <w:bookmarkStart w:id="20" w:name="_Toc384308277"/>
      <w:bookmarkStart w:id="21" w:name="_Toc144974570"/>
      <w:r>
        <w:rPr>
          <w:rFonts w:hint="eastAsia" w:ascii="宋体" w:hAnsi="宋体" w:cs="宋体"/>
          <w:color w:val="000000"/>
          <w:kern w:val="0"/>
          <w:sz w:val="25"/>
          <w:szCs w:val="25"/>
          <w:lang w:bidi="ar"/>
        </w:rPr>
        <w:t>行修正，并要求比选申请人书面澄清确认。</w:t>
      </w:r>
      <w:bookmarkEnd w:id="11"/>
      <w:bookmarkEnd w:id="12"/>
      <w:bookmarkEnd w:id="13"/>
      <w:bookmarkEnd w:id="14"/>
      <w:bookmarkEnd w:id="15"/>
      <w:bookmarkEnd w:id="16"/>
      <w:bookmarkEnd w:id="17"/>
      <w:bookmarkEnd w:id="18"/>
      <w:bookmarkEnd w:id="19"/>
      <w:bookmarkEnd w:id="20"/>
      <w:bookmarkEnd w:id="21"/>
      <w:r>
        <w:rPr>
          <w:rFonts w:hint="eastAsia" w:ascii="宋体" w:hAnsi="宋体" w:cs="宋体"/>
          <w:color w:val="000000"/>
          <w:kern w:val="0"/>
          <w:sz w:val="25"/>
          <w:szCs w:val="25"/>
          <w:lang w:bidi="ar"/>
        </w:rPr>
        <w:t>比选申请人拒不澄清确认的，评审小组应当否决其比选：</w:t>
      </w:r>
    </w:p>
    <w:p w14:paraId="44BA6C83">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（1）比选申请书中的大写金额与小写金额不一致的，以大写金额为准；</w:t>
      </w:r>
    </w:p>
    <w:p w14:paraId="25161FED">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（2）总价金额与单价金额不一致的，以单价金额为准，但单价金额小数点有明显错误的除外。</w:t>
      </w:r>
    </w:p>
    <w:p w14:paraId="17BA86C2">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3.1.4 比选申请人未按比选申请书格式编制比选申请书的。</w:t>
      </w:r>
    </w:p>
    <w:p w14:paraId="1CEED5DB">
      <w:pPr>
        <w:spacing w:line="480" w:lineRule="exact"/>
        <w:rPr>
          <w:rFonts w:ascii="宋体" w:hAnsi="宋体" w:cs="宋体"/>
          <w:b/>
          <w:bCs/>
          <w:color w:val="000000"/>
          <w:kern w:val="0"/>
          <w:sz w:val="25"/>
          <w:szCs w:val="25"/>
          <w:lang w:bidi="ar"/>
        </w:rPr>
      </w:pPr>
      <w:bookmarkStart w:id="22" w:name="_Toc3444036"/>
      <w:r>
        <w:rPr>
          <w:rFonts w:hint="eastAsia" w:ascii="宋体" w:hAnsi="宋体" w:cs="宋体"/>
          <w:b/>
          <w:bCs/>
          <w:color w:val="000000"/>
          <w:kern w:val="0"/>
          <w:sz w:val="25"/>
          <w:szCs w:val="25"/>
          <w:lang w:bidi="ar"/>
        </w:rPr>
        <w:t>3.2 详细评审</w:t>
      </w:r>
      <w:bookmarkEnd w:id="22"/>
    </w:p>
    <w:p w14:paraId="1B546A0A">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3.2.1 评审小组按第2.2款规定的量化因素和分值进行打分，并计算出综合评估得分。</w:t>
      </w:r>
    </w:p>
    <w:p w14:paraId="3D9D4043">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（1）按评审办法规定的比选报价评审标准计算出得分A；</w:t>
      </w:r>
    </w:p>
    <w:p w14:paraId="6E02A4D2">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（2）按评审办法规定的商务部分评审标准计算出得分B；</w:t>
      </w:r>
    </w:p>
    <w:p w14:paraId="1F4F635F">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（3）按评审办法规定的技术部分评审标准计算出得分C。</w:t>
      </w:r>
    </w:p>
    <w:p w14:paraId="1198C21B">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3.2.2 评分分值计算保留小数点后两位，小数点后第三位“四舍五入”。</w:t>
      </w:r>
    </w:p>
    <w:p w14:paraId="298EC985">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3.2.3 比选申请人得分=A+B+C。</w:t>
      </w:r>
    </w:p>
    <w:p w14:paraId="30A6629F">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3.2.4 评审小组发现比选申请人的报价明显低于其他比选报价，使得其比选报价可能低于其个别成本的，应当要求该比选申请人作出书面说明并提供相应的证明材料。比选申请人不能合理说明或者不能提供相应证明材料的，评审小组应当认定该比选申请人以低于成本报价竞标，并否决其比选。</w:t>
      </w:r>
    </w:p>
    <w:p w14:paraId="410E91EB">
      <w:pPr>
        <w:spacing w:line="480" w:lineRule="exact"/>
        <w:rPr>
          <w:rFonts w:ascii="宋体" w:hAnsi="宋体" w:cs="宋体"/>
          <w:b/>
          <w:bCs/>
          <w:color w:val="000000"/>
          <w:kern w:val="0"/>
          <w:sz w:val="25"/>
          <w:szCs w:val="25"/>
          <w:lang w:bidi="ar"/>
        </w:rPr>
      </w:pPr>
      <w:bookmarkStart w:id="23" w:name="_Toc3444037"/>
      <w:r>
        <w:rPr>
          <w:rFonts w:hint="eastAsia" w:ascii="宋体" w:hAnsi="宋体" w:cs="宋体"/>
          <w:b/>
          <w:bCs/>
          <w:color w:val="000000"/>
          <w:kern w:val="0"/>
          <w:sz w:val="25"/>
          <w:szCs w:val="25"/>
          <w:lang w:bidi="ar"/>
        </w:rPr>
        <w:t>3.3 比选申请书的澄清</w:t>
      </w:r>
      <w:bookmarkEnd w:id="23"/>
    </w:p>
    <w:p w14:paraId="6160712A">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3.3.1 在评审过程中，评审小组可以书面形式要求比选申请人对比选申请书中含义不明确、对同类问题表述不一致或者有明显文字和计算错误的内容作必要的澄清、说明或补正。澄清、说明或补正应以书面方式进行。评审小组不接受比选申请人主动提出的澄清、说明或补正。</w:t>
      </w:r>
    </w:p>
    <w:p w14:paraId="4C923D7D">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3.3.2 澄清、说明或补正不得超出比选申请书的范围且不得改变比选申请书的实质性内容，并构成比选申请书的组成部分。</w:t>
      </w:r>
    </w:p>
    <w:p w14:paraId="1A7A3696">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3.3.3 评审小组对比选申请人提交的澄清、说明或补正有疑问的，可以要求比选申请人进一步澄清、说明或补正，直至满足评审小组的要求。</w:t>
      </w:r>
    </w:p>
    <w:p w14:paraId="07010535">
      <w:pPr>
        <w:spacing w:line="480" w:lineRule="exact"/>
        <w:rPr>
          <w:rFonts w:ascii="宋体" w:hAnsi="宋体" w:cs="宋体"/>
          <w:b/>
          <w:bCs/>
          <w:color w:val="000000"/>
          <w:kern w:val="0"/>
          <w:sz w:val="25"/>
          <w:szCs w:val="25"/>
          <w:lang w:bidi="ar"/>
        </w:rPr>
      </w:pPr>
      <w:bookmarkStart w:id="24" w:name="_Toc3444038"/>
      <w:r>
        <w:rPr>
          <w:rFonts w:hint="eastAsia" w:ascii="宋体" w:hAnsi="宋体" w:cs="宋体"/>
          <w:b/>
          <w:bCs/>
          <w:color w:val="000000"/>
          <w:kern w:val="0"/>
          <w:sz w:val="25"/>
          <w:szCs w:val="25"/>
          <w:lang w:bidi="ar"/>
        </w:rPr>
        <w:t>3.4 评审结果</w:t>
      </w:r>
      <w:bookmarkEnd w:id="24"/>
    </w:p>
    <w:p w14:paraId="3B31CF59">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3.4.1 评审小组按照得分由高到低的顺序推荐中标候选人。</w:t>
      </w:r>
    </w:p>
    <w:p w14:paraId="5578B7BB">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3.4.2 评审小组完成评审后，应当向比选人提交书面评审报告和中选候选人名单。</w:t>
      </w:r>
    </w:p>
    <w:p w14:paraId="152B0A0E">
      <w:pPr>
        <w:pStyle w:val="2"/>
        <w:ind w:firstLine="640"/>
        <w:rPr>
          <w:rFonts w:ascii="仿宋" w:hAnsi="仿宋" w:eastAsia="仿宋" w:cs="仿宋"/>
          <w:color w:val="000000"/>
          <w:kern w:val="0"/>
          <w:sz w:val="32"/>
          <w:szCs w:val="32"/>
          <w:highlight w:val="green"/>
          <w:lang w:bidi="ar"/>
        </w:rPr>
      </w:pPr>
    </w:p>
    <w:p w14:paraId="3E0C813A"/>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0130B"/>
    <w:rsid w:val="002715F4"/>
    <w:rsid w:val="002D2D00"/>
    <w:rsid w:val="002E361B"/>
    <w:rsid w:val="0032704D"/>
    <w:rsid w:val="003E5D9E"/>
    <w:rsid w:val="00662F76"/>
    <w:rsid w:val="008B77FC"/>
    <w:rsid w:val="008C5D87"/>
    <w:rsid w:val="00CD4CA5"/>
    <w:rsid w:val="01EF43FE"/>
    <w:rsid w:val="062F567C"/>
    <w:rsid w:val="089C2B44"/>
    <w:rsid w:val="0C77492A"/>
    <w:rsid w:val="0CC63C13"/>
    <w:rsid w:val="208E1789"/>
    <w:rsid w:val="2DAF77D3"/>
    <w:rsid w:val="34AD5538"/>
    <w:rsid w:val="3A566466"/>
    <w:rsid w:val="3B117E94"/>
    <w:rsid w:val="3C862009"/>
    <w:rsid w:val="3EF94B8E"/>
    <w:rsid w:val="480B0E8C"/>
    <w:rsid w:val="4960130B"/>
    <w:rsid w:val="53CA0566"/>
    <w:rsid w:val="5B9018D7"/>
    <w:rsid w:val="608B6E0E"/>
    <w:rsid w:val="617734A3"/>
    <w:rsid w:val="70F27F0A"/>
    <w:rsid w:val="712A1F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正文（缩进）"/>
    <w:qFormat/>
    <w:uiPriority w:val="0"/>
    <w:pPr>
      <w:widowControl w:val="0"/>
      <w:spacing w:before="50" w:after="50"/>
      <w:ind w:firstLine="200" w:firstLineChars="200"/>
      <w:jc w:val="both"/>
    </w:pPr>
    <w:rPr>
      <w:rFonts w:ascii="Calibri" w:hAnsi="Calibri" w:eastAsia="宋体" w:cs="Times New Roman"/>
      <w:kern w:val="28"/>
      <w:sz w:val="28"/>
      <w:szCs w:val="22"/>
      <w:lang w:val="en-US" w:eastAsia="zh-CN" w:bidi="ar-SA"/>
    </w:rPr>
  </w:style>
  <w:style w:type="paragraph" w:styleId="3">
    <w:name w:val="Plain Text"/>
    <w:basedOn w:val="1"/>
    <w:next w:val="1"/>
    <w:link w:val="12"/>
    <w:qFormat/>
    <w:uiPriority w:val="0"/>
    <w:pPr>
      <w:adjustRightInd w:val="0"/>
      <w:spacing w:line="312" w:lineRule="atLeast"/>
    </w:pPr>
    <w:rPr>
      <w:rFonts w:hint="eastAsia" w:ascii="宋体" w:hAnsi="Courier New"/>
      <w:kern w:val="0"/>
      <w:szCs w:val="20"/>
    </w:r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kern w:val="0"/>
      <w:sz w:val="24"/>
    </w:rPr>
  </w:style>
  <w:style w:type="paragraph" w:customStyle="1" w:styleId="9">
    <w:name w:val="Table Paragraph"/>
    <w:basedOn w:val="1"/>
    <w:qFormat/>
    <w:uiPriority w:val="0"/>
    <w:pPr>
      <w:jc w:val="left"/>
    </w:pPr>
    <w:rPr>
      <w:kern w:val="0"/>
      <w:sz w:val="22"/>
      <w:szCs w:val="22"/>
      <w:lang w:eastAsia="en-US"/>
    </w:rPr>
  </w:style>
  <w:style w:type="character" w:customStyle="1" w:styleId="10">
    <w:name w:val="页眉 Char"/>
    <w:basedOn w:val="8"/>
    <w:link w:val="5"/>
    <w:qFormat/>
    <w:uiPriority w:val="0"/>
    <w:rPr>
      <w:rFonts w:ascii="Calibri" w:hAnsi="Calibri"/>
      <w:kern w:val="2"/>
      <w:sz w:val="18"/>
      <w:szCs w:val="18"/>
    </w:rPr>
  </w:style>
  <w:style w:type="character" w:customStyle="1" w:styleId="11">
    <w:name w:val="页脚 Char"/>
    <w:basedOn w:val="8"/>
    <w:link w:val="4"/>
    <w:qFormat/>
    <w:uiPriority w:val="0"/>
    <w:rPr>
      <w:rFonts w:ascii="Calibri" w:hAnsi="Calibri"/>
      <w:kern w:val="2"/>
      <w:sz w:val="18"/>
      <w:szCs w:val="18"/>
    </w:rPr>
  </w:style>
  <w:style w:type="character" w:customStyle="1" w:styleId="12">
    <w:name w:val="纯文本 Char"/>
    <w:basedOn w:val="8"/>
    <w:link w:val="3"/>
    <w:uiPriority w:val="0"/>
    <w:rPr>
      <w:rFonts w:ascii="宋体" w:hAnsi="Courier New"/>
      <w:sz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Pages>
  <Words>2666</Words>
  <Characters>2826</Characters>
  <Lines>21</Lines>
  <Paragraphs>6</Paragraphs>
  <TotalTime>64</TotalTime>
  <ScaleCrop>false</ScaleCrop>
  <LinksUpToDate>false</LinksUpToDate>
  <CharactersWithSpaces>2893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2024-12-25T01:27:00Z</dcterms:created>
  <dc:creator>lenovo</dc:creator>
  <cp:lastModifiedBy>Moon.</cp:lastModifiedBy>
  <cp:lastPrinted>2026-04-30T01:35:06Z</cp:lastPrinted>
  <dcterms:modified xsi:type="dcterms:W3CDTF">2026-04-30T01:42:59Z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eyJoZGlkIjoiZWRjMzJhODMyYTI2YTQ4ODhmNjc2N2UyM2IxMzk5MzQiLCJ1c2VySWQiOiI2NzAzMzIwNTgifQ==</vt:lpwstr>
  </property>
  <property fmtid="{D5CDD505-2E9C-101B-9397-08002B2CF9AE}" pid="4" name="ICV">
    <vt:lpwstr>A86EC1BA6C2A4247A3F049A0D9F79327_12</vt:lpwstr>
  </property>
</Properties>
</file>