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6ED88">
      <w:pPr>
        <w:pStyle w:val="7"/>
        <w:widowControl/>
        <w:shd w:val="clear" w:color="auto" w:fill="FFFFFF"/>
        <w:spacing w:beforeAutospacing="0" w:afterAutospacing="0" w:line="360" w:lineRule="auto"/>
        <w:jc w:val="both"/>
        <w:rPr>
          <w:rFonts w:ascii="黑体" w:hAnsi="黑体" w:eastAsia="黑体" w:cs="黑体"/>
          <w:b w:val="0"/>
          <w:bCs w:val="0"/>
          <w:color w:val="000000"/>
          <w:sz w:val="32"/>
          <w:szCs w:val="32"/>
        </w:rPr>
      </w:pPr>
      <w:r>
        <w:rPr>
          <w:rFonts w:hint="eastAsia" w:ascii="黑体" w:hAnsi="黑体" w:eastAsia="黑体" w:cs="黑体"/>
          <w:b w:val="0"/>
          <w:bCs w:val="0"/>
          <w:color w:val="000000"/>
          <w:sz w:val="32"/>
          <w:szCs w:val="32"/>
        </w:rPr>
        <w:t>附件2</w:t>
      </w:r>
      <w:bookmarkStart w:id="2" w:name="_GoBack"/>
      <w:bookmarkEnd w:id="2"/>
    </w:p>
    <w:p w14:paraId="0D870817">
      <w:pPr>
        <w:pStyle w:val="7"/>
        <w:widowControl/>
        <w:shd w:val="clear" w:color="auto" w:fill="FFFFFF"/>
        <w:spacing w:beforeAutospacing="0" w:afterAutospacing="0" w:line="360" w:lineRule="auto"/>
        <w:jc w:val="center"/>
        <w:rPr>
          <w:rFonts w:ascii="方正小标宋简体" w:hAnsi="方正小标宋简体" w:eastAsia="方正小标宋简体" w:cs="方正小标宋简体"/>
          <w:color w:val="000000"/>
          <w:sz w:val="40"/>
          <w:szCs w:val="40"/>
        </w:rPr>
      </w:pPr>
      <w:r>
        <w:rPr>
          <w:rFonts w:hint="eastAsia" w:ascii="方正小标宋简体" w:hAnsi="方正小标宋简体" w:eastAsia="方正小标宋简体" w:cs="方正小标宋简体"/>
          <w:color w:val="000000"/>
          <w:sz w:val="40"/>
          <w:szCs w:val="40"/>
        </w:rPr>
        <w:t>评审办法</w:t>
      </w:r>
    </w:p>
    <w:tbl>
      <w:tblPr>
        <w:tblStyle w:val="8"/>
        <w:tblW w:w="5212" w:type="pct"/>
        <w:jc w:val="center"/>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Layout w:type="fixed"/>
        <w:tblCellMar>
          <w:top w:w="15" w:type="dxa"/>
          <w:left w:w="15" w:type="dxa"/>
          <w:bottom w:w="15" w:type="dxa"/>
          <w:right w:w="15" w:type="dxa"/>
        </w:tblCellMar>
      </w:tblPr>
      <w:tblGrid>
        <w:gridCol w:w="845"/>
        <w:gridCol w:w="836"/>
        <w:gridCol w:w="1317"/>
        <w:gridCol w:w="5910"/>
      </w:tblGrid>
      <w:tr w14:paraId="3E968031">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blHeader/>
          <w:jc w:val="center"/>
        </w:trPr>
        <w:tc>
          <w:tcPr>
            <w:tcW w:w="475" w:type="pct"/>
            <w:tcBorders>
              <w:tl2br w:val="nil"/>
              <w:tr2bl w:val="nil"/>
            </w:tcBorders>
            <w:shd w:val="clear" w:color="auto" w:fill="auto"/>
            <w:tcMar>
              <w:top w:w="120" w:type="dxa"/>
              <w:left w:w="120" w:type="dxa"/>
              <w:bottom w:w="120" w:type="dxa"/>
              <w:right w:w="120" w:type="dxa"/>
            </w:tcMar>
            <w:vAlign w:val="center"/>
          </w:tcPr>
          <w:p w14:paraId="176BC3BC">
            <w:pPr>
              <w:widowControl/>
              <w:snapToGrid w:val="0"/>
              <w:textAlignment w:val="top"/>
              <w:rPr>
                <w:rFonts w:ascii="宋体"/>
                <w:b/>
                <w:szCs w:val="21"/>
              </w:rPr>
            </w:pPr>
            <w:r>
              <w:rPr>
                <w:rFonts w:ascii="宋体" w:hAnsi="宋体" w:cs="宋体"/>
                <w:b/>
                <w:kern w:val="0"/>
                <w:szCs w:val="21"/>
                <w:lang w:bidi="ar"/>
              </w:rPr>
              <w:t>条款号</w:t>
            </w:r>
          </w:p>
        </w:tc>
        <w:tc>
          <w:tcPr>
            <w:tcW w:w="469" w:type="pct"/>
            <w:tcBorders>
              <w:tl2br w:val="nil"/>
              <w:tr2bl w:val="nil"/>
            </w:tcBorders>
            <w:shd w:val="clear" w:color="auto" w:fill="auto"/>
            <w:tcMar>
              <w:top w:w="120" w:type="dxa"/>
              <w:left w:w="120" w:type="dxa"/>
              <w:bottom w:w="120" w:type="dxa"/>
              <w:right w:w="120" w:type="dxa"/>
            </w:tcMar>
            <w:vAlign w:val="center"/>
          </w:tcPr>
          <w:p w14:paraId="254C78A9">
            <w:pPr>
              <w:widowControl/>
              <w:snapToGrid w:val="0"/>
              <w:jc w:val="center"/>
              <w:textAlignment w:val="top"/>
              <w:rPr>
                <w:rFonts w:ascii="宋体"/>
                <w:b/>
                <w:szCs w:val="21"/>
              </w:rPr>
            </w:pPr>
            <w:r>
              <w:rPr>
                <w:rFonts w:hint="eastAsia" w:ascii="宋体"/>
                <w:b/>
                <w:szCs w:val="21"/>
              </w:rPr>
              <w:t>条款内容</w:t>
            </w:r>
          </w:p>
        </w:tc>
        <w:tc>
          <w:tcPr>
            <w:tcW w:w="739" w:type="pct"/>
            <w:tcBorders>
              <w:tl2br w:val="nil"/>
              <w:tr2bl w:val="nil"/>
            </w:tcBorders>
            <w:shd w:val="clear" w:color="auto" w:fill="auto"/>
            <w:tcMar>
              <w:top w:w="120" w:type="dxa"/>
              <w:left w:w="120" w:type="dxa"/>
              <w:bottom w:w="120" w:type="dxa"/>
              <w:right w:w="120" w:type="dxa"/>
            </w:tcMar>
            <w:vAlign w:val="center"/>
          </w:tcPr>
          <w:p w14:paraId="545474BB">
            <w:pPr>
              <w:widowControl/>
              <w:snapToGrid w:val="0"/>
              <w:jc w:val="center"/>
              <w:textAlignment w:val="top"/>
              <w:rPr>
                <w:rFonts w:ascii="宋体"/>
                <w:b/>
                <w:szCs w:val="21"/>
              </w:rPr>
            </w:pPr>
            <w:r>
              <w:rPr>
                <w:rFonts w:ascii="宋体" w:hAnsi="宋体" w:cs="宋体"/>
                <w:b/>
                <w:kern w:val="0"/>
                <w:szCs w:val="21"/>
                <w:lang w:bidi="ar"/>
              </w:rPr>
              <w:t>评审因素</w:t>
            </w:r>
          </w:p>
        </w:tc>
        <w:tc>
          <w:tcPr>
            <w:tcW w:w="3316" w:type="pct"/>
            <w:tcBorders>
              <w:tl2br w:val="nil"/>
              <w:tr2bl w:val="nil"/>
            </w:tcBorders>
            <w:shd w:val="clear" w:color="auto" w:fill="auto"/>
            <w:tcMar>
              <w:top w:w="120" w:type="dxa"/>
              <w:left w:w="120" w:type="dxa"/>
              <w:bottom w:w="120" w:type="dxa"/>
              <w:right w:w="120" w:type="dxa"/>
            </w:tcMar>
            <w:vAlign w:val="center"/>
          </w:tcPr>
          <w:p w14:paraId="238C32D6">
            <w:pPr>
              <w:widowControl/>
              <w:snapToGrid w:val="0"/>
              <w:jc w:val="center"/>
              <w:textAlignment w:val="top"/>
              <w:rPr>
                <w:rFonts w:ascii="宋体"/>
                <w:b/>
                <w:szCs w:val="21"/>
              </w:rPr>
            </w:pPr>
            <w:r>
              <w:rPr>
                <w:rFonts w:ascii="宋体" w:hAnsi="宋体" w:cs="宋体"/>
                <w:b/>
                <w:kern w:val="0"/>
                <w:szCs w:val="21"/>
                <w:lang w:bidi="ar"/>
              </w:rPr>
              <w:t>评审标准</w:t>
            </w:r>
          </w:p>
        </w:tc>
      </w:tr>
      <w:tr w14:paraId="6E472AA1">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tcBorders>
              <w:tl2br w:val="nil"/>
              <w:tr2bl w:val="nil"/>
            </w:tcBorders>
            <w:shd w:val="clear" w:color="auto" w:fill="auto"/>
            <w:tcMar>
              <w:top w:w="120" w:type="dxa"/>
              <w:left w:w="120" w:type="dxa"/>
              <w:bottom w:w="120" w:type="dxa"/>
              <w:right w:w="120" w:type="dxa"/>
            </w:tcMar>
            <w:vAlign w:val="center"/>
          </w:tcPr>
          <w:p w14:paraId="37F92893">
            <w:pPr>
              <w:widowControl/>
              <w:snapToGrid w:val="0"/>
              <w:jc w:val="center"/>
              <w:textAlignment w:val="top"/>
              <w:rPr>
                <w:rFonts w:ascii="宋体"/>
                <w:szCs w:val="21"/>
              </w:rPr>
            </w:pPr>
            <w:r>
              <w:rPr>
                <w:rFonts w:ascii="宋体" w:hAnsi="宋体" w:cs="宋体"/>
                <w:kern w:val="0"/>
                <w:szCs w:val="21"/>
                <w:lang w:bidi="ar"/>
              </w:rPr>
              <w:t>1</w:t>
            </w:r>
          </w:p>
        </w:tc>
        <w:tc>
          <w:tcPr>
            <w:tcW w:w="469" w:type="pct"/>
            <w:tcBorders>
              <w:tl2br w:val="nil"/>
              <w:tr2bl w:val="nil"/>
            </w:tcBorders>
            <w:shd w:val="clear" w:color="auto" w:fill="auto"/>
            <w:tcMar>
              <w:top w:w="120" w:type="dxa"/>
              <w:left w:w="120" w:type="dxa"/>
              <w:bottom w:w="120" w:type="dxa"/>
              <w:right w:w="120" w:type="dxa"/>
            </w:tcMar>
            <w:vAlign w:val="center"/>
          </w:tcPr>
          <w:p w14:paraId="2B48384B">
            <w:pPr>
              <w:widowControl/>
              <w:snapToGrid w:val="0"/>
              <w:jc w:val="center"/>
              <w:textAlignment w:val="top"/>
              <w:rPr>
                <w:rFonts w:ascii="宋体"/>
                <w:szCs w:val="21"/>
              </w:rPr>
            </w:pPr>
            <w:r>
              <w:rPr>
                <w:rFonts w:ascii="宋体" w:hAnsi="宋体" w:cs="宋体"/>
                <w:kern w:val="0"/>
                <w:szCs w:val="21"/>
                <w:lang w:bidi="ar"/>
              </w:rPr>
              <w:t>评审方法</w:t>
            </w:r>
          </w:p>
        </w:tc>
        <w:tc>
          <w:tcPr>
            <w:tcW w:w="739" w:type="pct"/>
            <w:tcBorders>
              <w:tl2br w:val="nil"/>
              <w:tr2bl w:val="nil"/>
            </w:tcBorders>
            <w:shd w:val="clear" w:color="auto" w:fill="auto"/>
            <w:tcMar>
              <w:top w:w="120" w:type="dxa"/>
              <w:left w:w="120" w:type="dxa"/>
              <w:bottom w:w="120" w:type="dxa"/>
              <w:right w:w="120" w:type="dxa"/>
            </w:tcMar>
            <w:vAlign w:val="center"/>
          </w:tcPr>
          <w:p w14:paraId="338A9800">
            <w:pPr>
              <w:widowControl/>
              <w:snapToGrid w:val="0"/>
              <w:jc w:val="left"/>
              <w:textAlignment w:val="top"/>
              <w:rPr>
                <w:rFonts w:ascii="宋体"/>
                <w:szCs w:val="21"/>
              </w:rPr>
            </w:pPr>
            <w:r>
              <w:rPr>
                <w:rFonts w:ascii="宋体" w:hAnsi="宋体" w:cs="宋体"/>
                <w:kern w:val="0"/>
                <w:szCs w:val="21"/>
                <w:lang w:bidi="ar"/>
              </w:rPr>
              <w:t>中选候选人排序方法</w:t>
            </w:r>
          </w:p>
        </w:tc>
        <w:tc>
          <w:tcPr>
            <w:tcW w:w="3316" w:type="pct"/>
            <w:tcBorders>
              <w:tl2br w:val="nil"/>
              <w:tr2bl w:val="nil"/>
            </w:tcBorders>
            <w:shd w:val="clear" w:color="auto" w:fill="auto"/>
            <w:tcMar>
              <w:top w:w="120" w:type="dxa"/>
              <w:left w:w="120" w:type="dxa"/>
              <w:bottom w:w="120" w:type="dxa"/>
              <w:right w:w="120" w:type="dxa"/>
            </w:tcMar>
            <w:vAlign w:val="center"/>
          </w:tcPr>
          <w:p w14:paraId="4A530B2D">
            <w:pPr>
              <w:widowControl/>
              <w:snapToGrid w:val="0"/>
              <w:jc w:val="left"/>
              <w:textAlignment w:val="top"/>
              <w:rPr>
                <w:rFonts w:ascii="宋体"/>
                <w:szCs w:val="21"/>
              </w:rPr>
            </w:pPr>
            <w:r>
              <w:rPr>
                <w:rFonts w:ascii="宋体" w:hAnsi="宋体" w:cs="宋体"/>
                <w:kern w:val="0"/>
                <w:szCs w:val="21"/>
                <w:lang w:bidi="ar"/>
              </w:rPr>
              <w:t>按得分由高到低顺序推荐中选候选人，并标明排序；综合评分相等时，以比选报价低的优先；如果比选报价相同时，以环境影响评价技术服务方案评分标准得分高的优先；如果环境影响评价技术服务方案评分标准得分也相等，由评审小组投票确定。</w:t>
            </w:r>
          </w:p>
        </w:tc>
      </w:tr>
      <w:tr w14:paraId="28C2E1FC">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restart"/>
            <w:tcBorders>
              <w:tl2br w:val="nil"/>
              <w:tr2bl w:val="nil"/>
            </w:tcBorders>
            <w:shd w:val="clear" w:color="auto" w:fill="auto"/>
            <w:tcMar>
              <w:top w:w="120" w:type="dxa"/>
              <w:left w:w="120" w:type="dxa"/>
              <w:bottom w:w="120" w:type="dxa"/>
              <w:right w:w="120" w:type="dxa"/>
            </w:tcMar>
            <w:vAlign w:val="center"/>
          </w:tcPr>
          <w:p w14:paraId="240C7A16">
            <w:pPr>
              <w:widowControl/>
              <w:snapToGrid w:val="0"/>
              <w:jc w:val="center"/>
              <w:textAlignment w:val="top"/>
              <w:rPr>
                <w:rFonts w:ascii="宋体"/>
                <w:szCs w:val="21"/>
              </w:rPr>
            </w:pPr>
            <w:r>
              <w:rPr>
                <w:rFonts w:ascii="宋体" w:hAnsi="宋体" w:cs="宋体"/>
                <w:kern w:val="0"/>
                <w:szCs w:val="21"/>
                <w:lang w:bidi="ar"/>
              </w:rPr>
              <w:t>2.1.1</w:t>
            </w:r>
          </w:p>
        </w:tc>
        <w:tc>
          <w:tcPr>
            <w:tcW w:w="469" w:type="pct"/>
            <w:vMerge w:val="restart"/>
            <w:tcBorders>
              <w:tl2br w:val="nil"/>
              <w:tr2bl w:val="nil"/>
            </w:tcBorders>
            <w:shd w:val="clear" w:color="auto" w:fill="auto"/>
            <w:tcMar>
              <w:top w:w="120" w:type="dxa"/>
              <w:left w:w="120" w:type="dxa"/>
              <w:bottom w:w="120" w:type="dxa"/>
              <w:right w:w="120" w:type="dxa"/>
            </w:tcMar>
            <w:vAlign w:val="center"/>
          </w:tcPr>
          <w:p w14:paraId="30681214">
            <w:pPr>
              <w:widowControl/>
              <w:snapToGrid w:val="0"/>
              <w:jc w:val="center"/>
              <w:textAlignment w:val="top"/>
              <w:rPr>
                <w:rFonts w:ascii="宋体"/>
                <w:szCs w:val="21"/>
              </w:rPr>
            </w:pPr>
            <w:r>
              <w:rPr>
                <w:rFonts w:ascii="宋体" w:hAnsi="宋体" w:cs="宋体"/>
                <w:kern w:val="0"/>
                <w:szCs w:val="21"/>
                <w:lang w:bidi="ar"/>
              </w:rPr>
              <w:t>形式评审标准</w:t>
            </w:r>
          </w:p>
        </w:tc>
        <w:tc>
          <w:tcPr>
            <w:tcW w:w="739" w:type="pct"/>
            <w:tcBorders>
              <w:tl2br w:val="nil"/>
              <w:tr2bl w:val="nil"/>
            </w:tcBorders>
            <w:shd w:val="clear" w:color="auto" w:fill="auto"/>
            <w:tcMar>
              <w:top w:w="120" w:type="dxa"/>
              <w:left w:w="120" w:type="dxa"/>
              <w:bottom w:w="120" w:type="dxa"/>
              <w:right w:w="120" w:type="dxa"/>
            </w:tcMar>
            <w:vAlign w:val="center"/>
          </w:tcPr>
          <w:p w14:paraId="72473E82">
            <w:pPr>
              <w:widowControl/>
              <w:snapToGrid w:val="0"/>
              <w:jc w:val="left"/>
              <w:textAlignment w:val="top"/>
              <w:rPr>
                <w:rFonts w:ascii="宋体"/>
                <w:szCs w:val="21"/>
              </w:rPr>
            </w:pPr>
            <w:r>
              <w:rPr>
                <w:rFonts w:ascii="宋体" w:hAnsi="宋体" w:cs="宋体"/>
                <w:kern w:val="0"/>
                <w:szCs w:val="21"/>
                <w:lang w:bidi="ar"/>
              </w:rPr>
              <w:t>比选申请人名称</w:t>
            </w:r>
          </w:p>
        </w:tc>
        <w:tc>
          <w:tcPr>
            <w:tcW w:w="3316" w:type="pct"/>
            <w:tcBorders>
              <w:tl2br w:val="nil"/>
              <w:tr2bl w:val="nil"/>
            </w:tcBorders>
            <w:shd w:val="clear" w:color="auto" w:fill="auto"/>
            <w:tcMar>
              <w:top w:w="120" w:type="dxa"/>
              <w:left w:w="120" w:type="dxa"/>
              <w:bottom w:w="120" w:type="dxa"/>
              <w:right w:w="120" w:type="dxa"/>
            </w:tcMar>
            <w:vAlign w:val="center"/>
          </w:tcPr>
          <w:p w14:paraId="06847B7B">
            <w:pPr>
              <w:widowControl/>
              <w:snapToGrid w:val="0"/>
              <w:jc w:val="left"/>
              <w:textAlignment w:val="top"/>
              <w:rPr>
                <w:rFonts w:ascii="宋体"/>
                <w:szCs w:val="21"/>
              </w:rPr>
            </w:pPr>
            <w:r>
              <w:rPr>
                <w:rFonts w:ascii="宋体" w:hAnsi="宋体" w:cs="宋体"/>
                <w:kern w:val="0"/>
                <w:szCs w:val="21"/>
                <w:lang w:bidi="ar"/>
              </w:rPr>
              <w:t>与营业执照一致。</w:t>
            </w:r>
          </w:p>
        </w:tc>
      </w:tr>
      <w:tr w14:paraId="7833B6C5">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2C80EFFD">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1F304F19">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01E2EB20">
            <w:pPr>
              <w:widowControl/>
              <w:snapToGrid w:val="0"/>
              <w:jc w:val="left"/>
              <w:textAlignment w:val="top"/>
              <w:rPr>
                <w:rFonts w:ascii="宋体"/>
                <w:szCs w:val="21"/>
              </w:rPr>
            </w:pPr>
            <w:r>
              <w:rPr>
                <w:rFonts w:ascii="宋体" w:hAnsi="宋体" w:cs="宋体"/>
                <w:kern w:val="0"/>
                <w:szCs w:val="21"/>
                <w:lang w:bidi="ar"/>
              </w:rPr>
              <w:t>比选申请函及比选申请函附录签字盖章</w:t>
            </w:r>
          </w:p>
        </w:tc>
        <w:tc>
          <w:tcPr>
            <w:tcW w:w="3316" w:type="pct"/>
            <w:tcBorders>
              <w:tl2br w:val="nil"/>
              <w:tr2bl w:val="nil"/>
            </w:tcBorders>
            <w:shd w:val="clear" w:color="auto" w:fill="auto"/>
            <w:tcMar>
              <w:top w:w="120" w:type="dxa"/>
              <w:left w:w="120" w:type="dxa"/>
              <w:bottom w:w="120" w:type="dxa"/>
              <w:right w:w="120" w:type="dxa"/>
            </w:tcMar>
            <w:vAlign w:val="center"/>
          </w:tcPr>
          <w:p w14:paraId="4FC22AB0">
            <w:pPr>
              <w:widowControl/>
              <w:snapToGrid w:val="0"/>
              <w:jc w:val="left"/>
              <w:textAlignment w:val="top"/>
              <w:rPr>
                <w:rFonts w:ascii="宋体"/>
                <w:szCs w:val="21"/>
              </w:rPr>
            </w:pPr>
            <w:r>
              <w:rPr>
                <w:rFonts w:ascii="宋体" w:hAnsi="宋体" w:cs="宋体"/>
                <w:kern w:val="0"/>
                <w:szCs w:val="21"/>
                <w:lang w:bidi="ar"/>
              </w:rPr>
              <w:t>有法定代表人或其委托代理人签字或加盖单位公章。由法定代表人签字的，应附法定代表人身份证明，由代理人签字的，应附授权委托书，身份证明或授权委托书应符合“比选申请书格式”的规定。</w:t>
            </w:r>
          </w:p>
        </w:tc>
      </w:tr>
      <w:tr w14:paraId="1D47D662">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67" w:hRule="atLeast"/>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52D0D2AF">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6526A8C8">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6967814B">
            <w:pPr>
              <w:widowControl/>
              <w:snapToGrid w:val="0"/>
              <w:jc w:val="left"/>
              <w:textAlignment w:val="top"/>
              <w:rPr>
                <w:rFonts w:ascii="宋体"/>
                <w:szCs w:val="21"/>
              </w:rPr>
            </w:pPr>
            <w:r>
              <w:rPr>
                <w:rFonts w:ascii="宋体" w:hAnsi="宋体" w:cs="宋体"/>
                <w:kern w:val="0"/>
                <w:szCs w:val="21"/>
                <w:lang w:bidi="ar"/>
              </w:rPr>
              <w:t>比选申请书格式</w:t>
            </w:r>
          </w:p>
        </w:tc>
        <w:tc>
          <w:tcPr>
            <w:tcW w:w="3316" w:type="pct"/>
            <w:tcBorders>
              <w:tl2br w:val="nil"/>
              <w:tr2bl w:val="nil"/>
            </w:tcBorders>
            <w:shd w:val="clear" w:color="auto" w:fill="auto"/>
            <w:tcMar>
              <w:top w:w="120" w:type="dxa"/>
              <w:left w:w="120" w:type="dxa"/>
              <w:bottom w:w="120" w:type="dxa"/>
              <w:right w:w="120" w:type="dxa"/>
            </w:tcMar>
            <w:vAlign w:val="center"/>
          </w:tcPr>
          <w:p w14:paraId="2BBD8003">
            <w:pPr>
              <w:widowControl/>
              <w:snapToGrid w:val="0"/>
              <w:jc w:val="left"/>
              <w:textAlignment w:val="top"/>
              <w:rPr>
                <w:rFonts w:ascii="宋体"/>
                <w:szCs w:val="21"/>
              </w:rPr>
            </w:pPr>
            <w:r>
              <w:rPr>
                <w:rFonts w:ascii="宋体" w:hAnsi="宋体" w:cs="宋体"/>
                <w:kern w:val="0"/>
                <w:szCs w:val="21"/>
                <w:lang w:bidi="ar"/>
              </w:rPr>
              <w:t>符合“响应文件格式”的要求。</w:t>
            </w:r>
          </w:p>
        </w:tc>
      </w:tr>
      <w:tr w14:paraId="5E99FEC3">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51440F64">
            <w:pPr>
              <w:widowControl/>
              <w:snapToGrid w:val="0"/>
              <w:jc w:val="center"/>
              <w:textAlignment w:val="top"/>
              <w:rPr>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48DED00E">
            <w:pPr>
              <w:widowControl/>
              <w:snapToGrid w:val="0"/>
              <w:jc w:val="center"/>
              <w:textAlignment w:val="top"/>
              <w:rPr>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7BA32E3A">
            <w:pPr>
              <w:widowControl/>
              <w:snapToGrid w:val="0"/>
              <w:jc w:val="center"/>
              <w:textAlignment w:val="top"/>
              <w:rPr>
                <w:szCs w:val="21"/>
              </w:rPr>
            </w:pPr>
            <w:r>
              <w:rPr>
                <w:rFonts w:ascii="宋体" w:hAnsi="宋体" w:cs="宋体"/>
                <w:kern w:val="0"/>
                <w:szCs w:val="21"/>
                <w:lang w:bidi="ar"/>
              </w:rPr>
              <w:t>备选比选申请方案</w:t>
            </w:r>
          </w:p>
        </w:tc>
        <w:tc>
          <w:tcPr>
            <w:tcW w:w="3316" w:type="pct"/>
            <w:tcBorders>
              <w:tl2br w:val="nil"/>
              <w:tr2bl w:val="nil"/>
            </w:tcBorders>
            <w:shd w:val="clear" w:color="auto" w:fill="auto"/>
            <w:tcMar>
              <w:top w:w="120" w:type="dxa"/>
              <w:left w:w="120" w:type="dxa"/>
              <w:bottom w:w="120" w:type="dxa"/>
              <w:right w:w="120" w:type="dxa"/>
            </w:tcMar>
            <w:vAlign w:val="center"/>
          </w:tcPr>
          <w:p w14:paraId="282861FE">
            <w:pPr>
              <w:widowControl/>
              <w:snapToGrid w:val="0"/>
              <w:jc w:val="left"/>
              <w:textAlignment w:val="top"/>
              <w:rPr>
                <w:szCs w:val="21"/>
              </w:rPr>
            </w:pPr>
            <w:r>
              <w:rPr>
                <w:rFonts w:ascii="宋体" w:hAnsi="宋体" w:cs="宋体"/>
                <w:kern w:val="0"/>
                <w:szCs w:val="21"/>
                <w:lang w:bidi="ar"/>
              </w:rPr>
              <w:t>除比选文件明确允许提交备选比选申请方案外，比选申请人不得提交备选比选申请方案。</w:t>
            </w:r>
          </w:p>
        </w:tc>
      </w:tr>
      <w:tr w14:paraId="0BFA88E5">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30D3B368">
            <w:pPr>
              <w:widowControl/>
              <w:snapToGrid w:val="0"/>
              <w:jc w:val="center"/>
              <w:textAlignment w:val="top"/>
              <w:rPr>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02D39B23">
            <w:pPr>
              <w:widowControl/>
              <w:snapToGrid w:val="0"/>
              <w:jc w:val="center"/>
              <w:textAlignment w:val="top"/>
              <w:rPr>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3063CD04">
            <w:pPr>
              <w:widowControl/>
              <w:snapToGrid w:val="0"/>
              <w:jc w:val="center"/>
              <w:textAlignment w:val="top"/>
              <w:rPr>
                <w:szCs w:val="21"/>
              </w:rPr>
            </w:pPr>
            <w:r>
              <w:rPr>
                <w:rFonts w:ascii="宋体" w:hAnsi="宋体" w:cs="宋体"/>
                <w:kern w:val="0"/>
                <w:szCs w:val="21"/>
                <w:lang w:bidi="ar"/>
              </w:rPr>
              <w:t>报价唯一</w:t>
            </w:r>
          </w:p>
        </w:tc>
        <w:tc>
          <w:tcPr>
            <w:tcW w:w="3316" w:type="pct"/>
            <w:tcBorders>
              <w:tl2br w:val="nil"/>
              <w:tr2bl w:val="nil"/>
            </w:tcBorders>
            <w:shd w:val="clear" w:color="auto" w:fill="auto"/>
            <w:tcMar>
              <w:top w:w="120" w:type="dxa"/>
              <w:left w:w="120" w:type="dxa"/>
              <w:bottom w:w="120" w:type="dxa"/>
              <w:right w:w="120" w:type="dxa"/>
            </w:tcMar>
            <w:vAlign w:val="center"/>
          </w:tcPr>
          <w:p w14:paraId="0837213A">
            <w:pPr>
              <w:widowControl/>
              <w:snapToGrid w:val="0"/>
              <w:jc w:val="left"/>
              <w:textAlignment w:val="top"/>
              <w:rPr>
                <w:szCs w:val="21"/>
              </w:rPr>
            </w:pPr>
            <w:r>
              <w:rPr>
                <w:rFonts w:ascii="宋体" w:hAnsi="宋体" w:cs="宋体"/>
                <w:kern w:val="0"/>
                <w:szCs w:val="21"/>
                <w:lang w:bidi="ar"/>
              </w:rPr>
              <w:t>只能有一个有效报价。</w:t>
            </w:r>
          </w:p>
        </w:tc>
      </w:tr>
      <w:tr w14:paraId="0AD49920">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tcBorders>
              <w:tl2br w:val="nil"/>
              <w:tr2bl w:val="nil"/>
            </w:tcBorders>
            <w:shd w:val="clear" w:color="auto" w:fill="auto"/>
            <w:tcMar>
              <w:top w:w="120" w:type="dxa"/>
              <w:left w:w="120" w:type="dxa"/>
              <w:bottom w:w="120" w:type="dxa"/>
              <w:right w:w="120" w:type="dxa"/>
            </w:tcMar>
            <w:vAlign w:val="center"/>
          </w:tcPr>
          <w:p w14:paraId="44E16E70">
            <w:pPr>
              <w:widowControl/>
              <w:snapToGrid w:val="0"/>
              <w:jc w:val="center"/>
              <w:textAlignment w:val="top"/>
              <w:rPr>
                <w:rFonts w:ascii="宋体"/>
                <w:szCs w:val="21"/>
              </w:rPr>
            </w:pPr>
            <w:r>
              <w:rPr>
                <w:rFonts w:ascii="宋体" w:hAnsi="宋体" w:cs="宋体"/>
                <w:kern w:val="0"/>
                <w:szCs w:val="21"/>
                <w:lang w:bidi="ar"/>
              </w:rPr>
              <w:t>2.1.2</w:t>
            </w:r>
          </w:p>
        </w:tc>
        <w:tc>
          <w:tcPr>
            <w:tcW w:w="469" w:type="pct"/>
            <w:tcBorders>
              <w:tl2br w:val="nil"/>
              <w:tr2bl w:val="nil"/>
            </w:tcBorders>
            <w:shd w:val="clear" w:color="auto" w:fill="auto"/>
            <w:tcMar>
              <w:top w:w="120" w:type="dxa"/>
              <w:left w:w="120" w:type="dxa"/>
              <w:bottom w:w="120" w:type="dxa"/>
              <w:right w:w="120" w:type="dxa"/>
            </w:tcMar>
            <w:vAlign w:val="center"/>
          </w:tcPr>
          <w:p w14:paraId="02E9FCA7">
            <w:pPr>
              <w:widowControl/>
              <w:snapToGrid w:val="0"/>
              <w:jc w:val="center"/>
              <w:textAlignment w:val="top"/>
              <w:rPr>
                <w:rFonts w:ascii="宋体"/>
                <w:szCs w:val="21"/>
              </w:rPr>
            </w:pPr>
            <w:r>
              <w:rPr>
                <w:rFonts w:ascii="宋体" w:hAnsi="宋体" w:cs="宋体"/>
                <w:kern w:val="0"/>
                <w:szCs w:val="21"/>
                <w:lang w:bidi="ar"/>
              </w:rPr>
              <w:t>资格评审标准</w:t>
            </w:r>
          </w:p>
        </w:tc>
        <w:tc>
          <w:tcPr>
            <w:tcW w:w="739" w:type="pct"/>
            <w:tcBorders>
              <w:tl2br w:val="nil"/>
              <w:tr2bl w:val="nil"/>
            </w:tcBorders>
            <w:shd w:val="clear" w:color="auto" w:fill="auto"/>
            <w:tcMar>
              <w:top w:w="120" w:type="dxa"/>
              <w:left w:w="120" w:type="dxa"/>
              <w:bottom w:w="120" w:type="dxa"/>
              <w:right w:w="120" w:type="dxa"/>
            </w:tcMar>
            <w:vAlign w:val="center"/>
          </w:tcPr>
          <w:p w14:paraId="28C9C94B">
            <w:pPr>
              <w:widowControl/>
              <w:snapToGrid w:val="0"/>
              <w:jc w:val="left"/>
              <w:textAlignment w:val="top"/>
              <w:rPr>
                <w:rFonts w:ascii="宋体"/>
                <w:szCs w:val="21"/>
              </w:rPr>
            </w:pPr>
            <w:r>
              <w:rPr>
                <w:rFonts w:ascii="宋体" w:hAnsi="宋体" w:cs="宋体"/>
                <w:kern w:val="0"/>
                <w:szCs w:val="21"/>
                <w:lang w:bidi="ar"/>
              </w:rPr>
              <w:t>见比选公告“六、供应商资格要求”</w:t>
            </w:r>
          </w:p>
        </w:tc>
        <w:tc>
          <w:tcPr>
            <w:tcW w:w="3316" w:type="pct"/>
            <w:tcBorders>
              <w:tl2br w:val="nil"/>
              <w:tr2bl w:val="nil"/>
            </w:tcBorders>
            <w:shd w:val="clear" w:color="auto" w:fill="auto"/>
            <w:tcMar>
              <w:top w:w="120" w:type="dxa"/>
              <w:left w:w="120" w:type="dxa"/>
              <w:bottom w:w="120" w:type="dxa"/>
              <w:right w:w="120" w:type="dxa"/>
            </w:tcMar>
            <w:vAlign w:val="center"/>
          </w:tcPr>
          <w:p w14:paraId="44D5B6D2">
            <w:pPr>
              <w:widowControl/>
              <w:snapToGrid w:val="0"/>
              <w:jc w:val="left"/>
              <w:textAlignment w:val="top"/>
              <w:rPr>
                <w:rFonts w:ascii="宋体"/>
                <w:szCs w:val="21"/>
              </w:rPr>
            </w:pPr>
            <w:r>
              <w:rPr>
                <w:rFonts w:ascii="宋体" w:hAnsi="宋体" w:cs="宋体"/>
                <w:kern w:val="0"/>
                <w:szCs w:val="21"/>
                <w:lang w:bidi="ar"/>
              </w:rPr>
              <w:t>（需包含环境影响评价相关资质、环境影响评价工程师配备等核心要求，符合《建设项目环境影响评价资质管理办法》《环境影响评价工程师职业资格制度暂行规定》相关规定）</w:t>
            </w:r>
          </w:p>
        </w:tc>
      </w:tr>
      <w:tr w14:paraId="600FFD46">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restart"/>
            <w:tcBorders>
              <w:tl2br w:val="nil"/>
              <w:tr2bl w:val="nil"/>
            </w:tcBorders>
            <w:shd w:val="clear" w:color="auto" w:fill="auto"/>
            <w:tcMar>
              <w:top w:w="120" w:type="dxa"/>
              <w:left w:w="120" w:type="dxa"/>
              <w:bottom w:w="120" w:type="dxa"/>
              <w:right w:w="120" w:type="dxa"/>
            </w:tcMar>
            <w:vAlign w:val="center"/>
          </w:tcPr>
          <w:p w14:paraId="7EE4D105">
            <w:pPr>
              <w:widowControl/>
              <w:snapToGrid w:val="0"/>
              <w:jc w:val="center"/>
              <w:textAlignment w:val="top"/>
              <w:rPr>
                <w:rFonts w:ascii="宋体"/>
                <w:szCs w:val="21"/>
              </w:rPr>
            </w:pPr>
            <w:r>
              <w:rPr>
                <w:rFonts w:ascii="宋体" w:hAnsi="宋体" w:cs="宋体"/>
                <w:kern w:val="0"/>
                <w:szCs w:val="21"/>
                <w:lang w:bidi="ar"/>
              </w:rPr>
              <w:t>2.1.3</w:t>
            </w:r>
          </w:p>
        </w:tc>
        <w:tc>
          <w:tcPr>
            <w:tcW w:w="469" w:type="pct"/>
            <w:vMerge w:val="restart"/>
            <w:tcBorders>
              <w:tl2br w:val="nil"/>
              <w:tr2bl w:val="nil"/>
            </w:tcBorders>
            <w:shd w:val="clear" w:color="auto" w:fill="auto"/>
            <w:tcMar>
              <w:top w:w="120" w:type="dxa"/>
              <w:left w:w="120" w:type="dxa"/>
              <w:bottom w:w="120" w:type="dxa"/>
              <w:right w:w="120" w:type="dxa"/>
            </w:tcMar>
            <w:vAlign w:val="center"/>
          </w:tcPr>
          <w:p w14:paraId="4A96E7AF">
            <w:pPr>
              <w:widowControl/>
              <w:snapToGrid w:val="0"/>
              <w:jc w:val="center"/>
              <w:textAlignment w:val="top"/>
              <w:rPr>
                <w:rFonts w:ascii="宋体"/>
                <w:szCs w:val="21"/>
              </w:rPr>
            </w:pPr>
            <w:r>
              <w:rPr>
                <w:rFonts w:ascii="宋体" w:hAnsi="宋体" w:cs="宋体"/>
                <w:kern w:val="0"/>
                <w:szCs w:val="21"/>
                <w:lang w:bidi="ar"/>
              </w:rPr>
              <w:t>响应性评审标准</w:t>
            </w:r>
          </w:p>
        </w:tc>
        <w:tc>
          <w:tcPr>
            <w:tcW w:w="739" w:type="pct"/>
            <w:tcBorders>
              <w:tl2br w:val="nil"/>
              <w:tr2bl w:val="nil"/>
            </w:tcBorders>
            <w:shd w:val="clear" w:color="auto" w:fill="auto"/>
            <w:tcMar>
              <w:top w:w="120" w:type="dxa"/>
              <w:left w:w="120" w:type="dxa"/>
              <w:bottom w:w="120" w:type="dxa"/>
              <w:right w:w="120" w:type="dxa"/>
            </w:tcMar>
            <w:vAlign w:val="center"/>
          </w:tcPr>
          <w:p w14:paraId="4159854E">
            <w:pPr>
              <w:widowControl/>
              <w:snapToGrid w:val="0"/>
              <w:jc w:val="left"/>
              <w:textAlignment w:val="top"/>
              <w:rPr>
                <w:rFonts w:ascii="宋体"/>
                <w:szCs w:val="21"/>
              </w:rPr>
            </w:pPr>
            <w:r>
              <w:rPr>
                <w:rFonts w:ascii="宋体" w:hAnsi="宋体" w:cs="宋体"/>
                <w:kern w:val="0"/>
                <w:szCs w:val="21"/>
                <w:lang w:bidi="ar"/>
              </w:rPr>
              <w:t>比选报价</w:t>
            </w:r>
          </w:p>
        </w:tc>
        <w:tc>
          <w:tcPr>
            <w:tcW w:w="3316" w:type="pct"/>
            <w:tcBorders>
              <w:tl2br w:val="nil"/>
              <w:tr2bl w:val="nil"/>
            </w:tcBorders>
            <w:shd w:val="clear" w:color="auto" w:fill="auto"/>
            <w:tcMar>
              <w:top w:w="120" w:type="dxa"/>
              <w:left w:w="120" w:type="dxa"/>
              <w:bottom w:w="120" w:type="dxa"/>
              <w:right w:w="120" w:type="dxa"/>
            </w:tcMar>
            <w:vAlign w:val="center"/>
          </w:tcPr>
          <w:p w14:paraId="787E8150">
            <w:pPr>
              <w:widowControl/>
              <w:snapToGrid w:val="0"/>
              <w:jc w:val="left"/>
              <w:textAlignment w:val="top"/>
              <w:rPr>
                <w:rFonts w:ascii="宋体"/>
                <w:szCs w:val="21"/>
              </w:rPr>
            </w:pPr>
            <w:r>
              <w:rPr>
                <w:rFonts w:ascii="宋体" w:hAnsi="宋体" w:cs="宋体"/>
                <w:kern w:val="0"/>
                <w:szCs w:val="21"/>
                <w:lang w:bidi="ar"/>
              </w:rPr>
              <w:t>最高限价为</w:t>
            </w:r>
            <w:r>
              <w:rPr>
                <w:rFonts w:hint="eastAsia" w:ascii="宋体" w:hAnsi="宋体" w:cs="宋体"/>
                <w:kern w:val="0"/>
                <w:szCs w:val="21"/>
                <w:lang w:bidi="ar"/>
              </w:rPr>
              <w:t>1</w:t>
            </w:r>
            <w:r>
              <w:rPr>
                <w:rFonts w:ascii="宋体" w:hAnsi="宋体" w:cs="宋体"/>
                <w:kern w:val="0"/>
                <w:szCs w:val="21"/>
                <w:lang w:bidi="ar"/>
              </w:rPr>
              <w:t>8万元</w:t>
            </w:r>
          </w:p>
        </w:tc>
      </w:tr>
      <w:tr w14:paraId="1D8F7D14">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81" w:hRule="atLeast"/>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13B653D4">
            <w:pPr>
              <w:widowControl/>
              <w:snapToGrid w:val="0"/>
              <w:jc w:val="center"/>
              <w:textAlignment w:val="top"/>
              <w:rPr>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1B92E9AA">
            <w:pPr>
              <w:widowControl/>
              <w:snapToGrid w:val="0"/>
              <w:jc w:val="center"/>
              <w:textAlignment w:val="top"/>
              <w:rPr>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63665FC1">
            <w:pPr>
              <w:widowControl/>
              <w:snapToGrid w:val="0"/>
              <w:jc w:val="center"/>
              <w:textAlignment w:val="top"/>
              <w:rPr>
                <w:szCs w:val="21"/>
              </w:rPr>
            </w:pPr>
            <w:r>
              <w:rPr>
                <w:rFonts w:ascii="宋体" w:hAnsi="宋体" w:cs="宋体"/>
                <w:kern w:val="0"/>
                <w:szCs w:val="21"/>
                <w:lang w:bidi="ar"/>
              </w:rPr>
              <w:t>服务周期</w:t>
            </w:r>
          </w:p>
        </w:tc>
        <w:tc>
          <w:tcPr>
            <w:tcW w:w="3316" w:type="pct"/>
            <w:tcBorders>
              <w:tl2br w:val="nil"/>
              <w:tr2bl w:val="nil"/>
            </w:tcBorders>
            <w:shd w:val="clear" w:color="auto" w:fill="auto"/>
            <w:tcMar>
              <w:top w:w="120" w:type="dxa"/>
              <w:left w:w="120" w:type="dxa"/>
              <w:bottom w:w="120" w:type="dxa"/>
              <w:right w:w="120" w:type="dxa"/>
            </w:tcMar>
            <w:vAlign w:val="center"/>
          </w:tcPr>
          <w:p w14:paraId="49261DC3">
            <w:pPr>
              <w:widowControl/>
              <w:snapToGrid w:val="0"/>
              <w:jc w:val="left"/>
              <w:textAlignment w:val="top"/>
              <w:rPr>
                <w:szCs w:val="21"/>
              </w:rPr>
            </w:pPr>
            <w:r>
              <w:rPr>
                <w:rFonts w:ascii="宋体" w:hAnsi="宋体" w:cs="宋体"/>
                <w:kern w:val="0"/>
                <w:szCs w:val="21"/>
                <w:lang w:bidi="ar"/>
              </w:rPr>
              <w:t>自签订合同日起至环境影响评价文件审批完成（含环评文件编制、修改、专家评审、报批全流程）</w:t>
            </w:r>
          </w:p>
        </w:tc>
      </w:tr>
      <w:tr w14:paraId="3F246565">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978" w:hRule="atLeast"/>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485E575E">
            <w:pPr>
              <w:widowControl/>
              <w:snapToGrid w:val="0"/>
              <w:jc w:val="center"/>
              <w:textAlignment w:val="top"/>
              <w:rPr>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62BD078F">
            <w:pPr>
              <w:widowControl/>
              <w:snapToGrid w:val="0"/>
              <w:jc w:val="center"/>
              <w:textAlignment w:val="top"/>
              <w:rPr>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2DA47770">
            <w:pPr>
              <w:widowControl/>
              <w:snapToGrid w:val="0"/>
              <w:jc w:val="center"/>
              <w:textAlignment w:val="top"/>
              <w:rPr>
                <w:szCs w:val="21"/>
              </w:rPr>
            </w:pPr>
            <w:r>
              <w:rPr>
                <w:rFonts w:ascii="宋体" w:hAnsi="宋体" w:cs="宋体"/>
                <w:kern w:val="0"/>
                <w:szCs w:val="21"/>
                <w:lang w:bidi="ar"/>
              </w:rPr>
              <w:t>质量标准</w:t>
            </w:r>
          </w:p>
        </w:tc>
        <w:tc>
          <w:tcPr>
            <w:tcW w:w="3316" w:type="pct"/>
            <w:tcBorders>
              <w:tl2br w:val="nil"/>
              <w:tr2bl w:val="nil"/>
            </w:tcBorders>
            <w:shd w:val="clear" w:color="auto" w:fill="auto"/>
            <w:tcMar>
              <w:top w:w="120" w:type="dxa"/>
              <w:left w:w="120" w:type="dxa"/>
              <w:bottom w:w="120" w:type="dxa"/>
              <w:right w:w="120" w:type="dxa"/>
            </w:tcMar>
            <w:vAlign w:val="center"/>
          </w:tcPr>
          <w:p w14:paraId="5EE6FC38">
            <w:pPr>
              <w:widowControl/>
              <w:snapToGrid w:val="0"/>
              <w:jc w:val="left"/>
              <w:textAlignment w:val="top"/>
              <w:rPr>
                <w:szCs w:val="21"/>
              </w:rPr>
            </w:pPr>
            <w:r>
              <w:rPr>
                <w:rFonts w:ascii="宋体" w:hAnsi="宋体" w:cs="宋体"/>
                <w:kern w:val="0"/>
                <w:szCs w:val="21"/>
                <w:lang w:bidi="ar"/>
              </w:rPr>
              <w:t>合格，环境影响评价文件需符合《中华人民共和国环境影响评价法》《建设项目环境影响评价技术导则》《建设项目环境影响报告表（登记表）编制技术指南》等相关法律法规及标准要求，顺利通过生态环境主管部门审批或专家评审。</w:t>
            </w:r>
          </w:p>
        </w:tc>
      </w:tr>
      <w:tr w14:paraId="681F57D2">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37C6D2EC">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35683A49">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2DAEBA21">
            <w:pPr>
              <w:widowControl/>
              <w:snapToGrid w:val="0"/>
              <w:jc w:val="left"/>
              <w:textAlignment w:val="top"/>
              <w:rPr>
                <w:rFonts w:ascii="宋体"/>
                <w:szCs w:val="21"/>
              </w:rPr>
            </w:pPr>
            <w:r>
              <w:rPr>
                <w:rFonts w:ascii="宋体" w:hAnsi="宋体" w:cs="宋体"/>
                <w:kern w:val="0"/>
                <w:szCs w:val="21"/>
                <w:lang w:bidi="ar"/>
              </w:rPr>
              <w:t>比选有效期</w:t>
            </w:r>
          </w:p>
        </w:tc>
        <w:tc>
          <w:tcPr>
            <w:tcW w:w="3316" w:type="pct"/>
            <w:tcBorders>
              <w:tl2br w:val="nil"/>
              <w:tr2bl w:val="nil"/>
            </w:tcBorders>
            <w:shd w:val="clear" w:color="auto" w:fill="auto"/>
            <w:tcMar>
              <w:top w:w="120" w:type="dxa"/>
              <w:left w:w="120" w:type="dxa"/>
              <w:bottom w:w="120" w:type="dxa"/>
              <w:right w:w="120" w:type="dxa"/>
            </w:tcMar>
            <w:vAlign w:val="center"/>
          </w:tcPr>
          <w:p w14:paraId="3A8B4E97">
            <w:pPr>
              <w:widowControl/>
              <w:snapToGrid w:val="0"/>
              <w:jc w:val="left"/>
              <w:textAlignment w:val="top"/>
              <w:rPr>
                <w:rFonts w:ascii="宋体"/>
                <w:szCs w:val="21"/>
              </w:rPr>
            </w:pPr>
            <w:r>
              <w:rPr>
                <w:rFonts w:ascii="宋体" w:hAnsi="宋体" w:cs="宋体"/>
                <w:kern w:val="0"/>
                <w:szCs w:val="21"/>
                <w:lang w:bidi="ar"/>
              </w:rPr>
              <w:t>30日历天（从比选截止之日算起）</w:t>
            </w:r>
          </w:p>
        </w:tc>
      </w:tr>
      <w:tr w14:paraId="5611486E">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5" w:type="pct"/>
            <w:vMerge w:val="continue"/>
            <w:tcBorders>
              <w:tl2br w:val="nil"/>
              <w:tr2bl w:val="nil"/>
            </w:tcBorders>
            <w:shd w:val="clear" w:color="auto" w:fill="auto"/>
            <w:tcMar>
              <w:top w:w="120" w:type="dxa"/>
              <w:left w:w="120" w:type="dxa"/>
              <w:bottom w:w="120" w:type="dxa"/>
              <w:right w:w="120" w:type="dxa"/>
            </w:tcMar>
            <w:vAlign w:val="center"/>
          </w:tcPr>
          <w:p w14:paraId="5810F0F8">
            <w:pPr>
              <w:widowControl/>
              <w:snapToGrid w:val="0"/>
              <w:jc w:val="center"/>
              <w:textAlignment w:val="top"/>
              <w:rPr>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288F8D17">
            <w:pPr>
              <w:widowControl/>
              <w:snapToGrid w:val="0"/>
              <w:jc w:val="center"/>
              <w:textAlignment w:val="top"/>
              <w:rPr>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0F6E4FA2">
            <w:pPr>
              <w:widowControl/>
              <w:snapToGrid w:val="0"/>
              <w:jc w:val="center"/>
              <w:textAlignment w:val="top"/>
              <w:rPr>
                <w:szCs w:val="21"/>
              </w:rPr>
            </w:pPr>
            <w:r>
              <w:rPr>
                <w:rFonts w:ascii="宋体" w:hAnsi="宋体" w:cs="宋体"/>
                <w:kern w:val="0"/>
                <w:szCs w:val="21"/>
                <w:lang w:bidi="ar"/>
              </w:rPr>
              <w:t>其他要求</w:t>
            </w:r>
          </w:p>
        </w:tc>
        <w:tc>
          <w:tcPr>
            <w:tcW w:w="3316" w:type="pct"/>
            <w:tcBorders>
              <w:tl2br w:val="nil"/>
              <w:tr2bl w:val="nil"/>
            </w:tcBorders>
            <w:shd w:val="clear" w:color="auto" w:fill="auto"/>
            <w:tcMar>
              <w:top w:w="120" w:type="dxa"/>
              <w:left w:w="120" w:type="dxa"/>
              <w:bottom w:w="120" w:type="dxa"/>
              <w:right w:w="120" w:type="dxa"/>
            </w:tcMar>
            <w:vAlign w:val="center"/>
          </w:tcPr>
          <w:p w14:paraId="3EC64299">
            <w:pPr>
              <w:widowControl/>
              <w:snapToGrid w:val="0"/>
              <w:jc w:val="left"/>
              <w:textAlignment w:val="top"/>
              <w:rPr>
                <w:szCs w:val="21"/>
              </w:rPr>
            </w:pPr>
            <w:r>
              <w:rPr>
                <w:rFonts w:ascii="宋体" w:hAnsi="宋体" w:cs="宋体"/>
                <w:kern w:val="0"/>
                <w:szCs w:val="21"/>
                <w:lang w:bidi="ar"/>
              </w:rPr>
              <w:t>不存在比选文件中禁止比选的情形；无环境影响评价文件编制弄虚作假、违规从业等不良记录，未被列入生态环境主管部门失信名单，未被暂停或取消环境影响评价相关资质。</w:t>
            </w:r>
          </w:p>
        </w:tc>
      </w:tr>
    </w:tbl>
    <w:p w14:paraId="27A9E401"/>
    <w:tbl>
      <w:tblPr>
        <w:tblStyle w:val="8"/>
        <w:tblW w:w="5212" w:type="pct"/>
        <w:jc w:val="center"/>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Layout w:type="fixed"/>
        <w:tblCellMar>
          <w:top w:w="15" w:type="dxa"/>
          <w:left w:w="15" w:type="dxa"/>
          <w:bottom w:w="15" w:type="dxa"/>
          <w:right w:w="15" w:type="dxa"/>
        </w:tblCellMar>
      </w:tblPr>
      <w:tblGrid>
        <w:gridCol w:w="844"/>
        <w:gridCol w:w="836"/>
        <w:gridCol w:w="1317"/>
        <w:gridCol w:w="5911"/>
      </w:tblGrid>
      <w:tr w14:paraId="408F485F">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tcBorders>
              <w:tl2br w:val="nil"/>
              <w:tr2bl w:val="nil"/>
            </w:tcBorders>
            <w:shd w:val="clear" w:color="auto" w:fill="auto"/>
            <w:tcMar>
              <w:top w:w="120" w:type="dxa"/>
              <w:left w:w="120" w:type="dxa"/>
              <w:bottom w:w="120" w:type="dxa"/>
              <w:right w:w="120" w:type="dxa"/>
            </w:tcMar>
            <w:vAlign w:val="center"/>
          </w:tcPr>
          <w:p w14:paraId="0EF95A8D">
            <w:pPr>
              <w:widowControl/>
              <w:snapToGrid w:val="0"/>
              <w:jc w:val="center"/>
              <w:textAlignment w:val="top"/>
              <w:rPr>
                <w:b/>
                <w:bCs/>
                <w:szCs w:val="21"/>
              </w:rPr>
            </w:pPr>
            <w:r>
              <w:rPr>
                <w:rFonts w:ascii="宋体" w:hAnsi="宋体" w:cs="宋体"/>
                <w:b/>
                <w:bCs/>
                <w:kern w:val="0"/>
                <w:szCs w:val="21"/>
                <w:lang w:bidi="ar"/>
              </w:rPr>
              <w:t>条款号</w:t>
            </w:r>
          </w:p>
        </w:tc>
        <w:tc>
          <w:tcPr>
            <w:tcW w:w="469" w:type="pct"/>
            <w:tcBorders>
              <w:tl2br w:val="nil"/>
              <w:tr2bl w:val="nil"/>
            </w:tcBorders>
            <w:shd w:val="clear" w:color="auto" w:fill="auto"/>
            <w:tcMar>
              <w:top w:w="120" w:type="dxa"/>
              <w:left w:w="120" w:type="dxa"/>
              <w:bottom w:w="120" w:type="dxa"/>
              <w:right w:w="120" w:type="dxa"/>
            </w:tcMar>
            <w:vAlign w:val="center"/>
          </w:tcPr>
          <w:p w14:paraId="7C6B0E60">
            <w:pPr>
              <w:widowControl/>
              <w:snapToGrid w:val="0"/>
              <w:jc w:val="center"/>
              <w:textAlignment w:val="top"/>
              <w:rPr>
                <w:b/>
                <w:bCs/>
                <w:szCs w:val="21"/>
              </w:rPr>
            </w:pPr>
            <w:r>
              <w:rPr>
                <w:rFonts w:ascii="宋体" w:hAnsi="宋体" w:cs="宋体"/>
                <w:b/>
                <w:bCs/>
                <w:kern w:val="0"/>
                <w:szCs w:val="21"/>
                <w:lang w:bidi="ar"/>
              </w:rPr>
              <w:t>条款内容</w:t>
            </w:r>
          </w:p>
        </w:tc>
        <w:tc>
          <w:tcPr>
            <w:tcW w:w="4056" w:type="pct"/>
            <w:gridSpan w:val="2"/>
            <w:tcBorders>
              <w:tl2br w:val="nil"/>
              <w:tr2bl w:val="nil"/>
            </w:tcBorders>
            <w:shd w:val="clear" w:color="auto" w:fill="auto"/>
            <w:tcMar>
              <w:top w:w="120" w:type="dxa"/>
              <w:left w:w="120" w:type="dxa"/>
              <w:bottom w:w="120" w:type="dxa"/>
              <w:right w:w="120" w:type="dxa"/>
            </w:tcMar>
            <w:vAlign w:val="center"/>
          </w:tcPr>
          <w:p w14:paraId="5BB8B5CF">
            <w:pPr>
              <w:widowControl/>
              <w:snapToGrid w:val="0"/>
              <w:jc w:val="center"/>
              <w:textAlignment w:val="top"/>
              <w:rPr>
                <w:b/>
                <w:bCs/>
                <w:szCs w:val="21"/>
              </w:rPr>
            </w:pPr>
            <w:r>
              <w:rPr>
                <w:rFonts w:ascii="宋体" w:hAnsi="宋体" w:cs="宋体"/>
                <w:b/>
                <w:bCs/>
                <w:kern w:val="0"/>
                <w:szCs w:val="21"/>
                <w:lang w:bidi="ar"/>
              </w:rPr>
              <w:t>编列内容</w:t>
            </w:r>
          </w:p>
        </w:tc>
      </w:tr>
      <w:tr w14:paraId="116BC331">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tcBorders>
              <w:tl2br w:val="nil"/>
              <w:tr2bl w:val="nil"/>
            </w:tcBorders>
            <w:shd w:val="clear" w:color="auto" w:fill="auto"/>
            <w:tcMar>
              <w:top w:w="120" w:type="dxa"/>
              <w:left w:w="120" w:type="dxa"/>
              <w:bottom w:w="120" w:type="dxa"/>
              <w:right w:w="120" w:type="dxa"/>
            </w:tcMar>
            <w:vAlign w:val="center"/>
          </w:tcPr>
          <w:p w14:paraId="3F1E0401">
            <w:pPr>
              <w:widowControl/>
              <w:snapToGrid w:val="0"/>
              <w:jc w:val="center"/>
              <w:textAlignment w:val="top"/>
              <w:rPr>
                <w:rFonts w:ascii="宋体"/>
                <w:szCs w:val="21"/>
              </w:rPr>
            </w:pPr>
            <w:r>
              <w:rPr>
                <w:rFonts w:ascii="宋体" w:hAnsi="宋体" w:cs="宋体"/>
                <w:kern w:val="0"/>
                <w:szCs w:val="21"/>
                <w:lang w:bidi="ar"/>
              </w:rPr>
              <w:t>2.2.1</w:t>
            </w:r>
          </w:p>
        </w:tc>
        <w:tc>
          <w:tcPr>
            <w:tcW w:w="469" w:type="pct"/>
            <w:tcBorders>
              <w:tl2br w:val="nil"/>
              <w:tr2bl w:val="nil"/>
            </w:tcBorders>
            <w:shd w:val="clear" w:color="auto" w:fill="auto"/>
            <w:tcMar>
              <w:top w:w="120" w:type="dxa"/>
              <w:left w:w="120" w:type="dxa"/>
              <w:bottom w:w="120" w:type="dxa"/>
              <w:right w:w="120" w:type="dxa"/>
            </w:tcMar>
            <w:vAlign w:val="center"/>
          </w:tcPr>
          <w:p w14:paraId="3B9EE177">
            <w:pPr>
              <w:widowControl/>
              <w:snapToGrid w:val="0"/>
              <w:jc w:val="center"/>
              <w:textAlignment w:val="top"/>
              <w:rPr>
                <w:rFonts w:ascii="宋体"/>
                <w:szCs w:val="21"/>
              </w:rPr>
            </w:pPr>
            <w:r>
              <w:rPr>
                <w:rFonts w:ascii="宋体" w:hAnsi="宋体" w:cs="宋体"/>
                <w:kern w:val="0"/>
                <w:szCs w:val="21"/>
                <w:lang w:bidi="ar"/>
              </w:rPr>
              <w:t>分值构成（总分100分）</w:t>
            </w:r>
          </w:p>
        </w:tc>
        <w:tc>
          <w:tcPr>
            <w:tcW w:w="4056" w:type="pct"/>
            <w:gridSpan w:val="2"/>
            <w:tcBorders>
              <w:tl2br w:val="nil"/>
              <w:tr2bl w:val="nil"/>
            </w:tcBorders>
            <w:shd w:val="clear" w:color="auto" w:fill="auto"/>
            <w:tcMar>
              <w:top w:w="120" w:type="dxa"/>
              <w:left w:w="120" w:type="dxa"/>
              <w:bottom w:w="120" w:type="dxa"/>
              <w:right w:w="120" w:type="dxa"/>
            </w:tcMar>
            <w:vAlign w:val="center"/>
          </w:tcPr>
          <w:p w14:paraId="65405AF1">
            <w:pPr>
              <w:widowControl/>
              <w:snapToGrid w:val="0"/>
              <w:jc w:val="left"/>
              <w:textAlignment w:val="top"/>
              <w:rPr>
                <w:rFonts w:ascii="宋体"/>
                <w:szCs w:val="21"/>
              </w:rPr>
            </w:pPr>
            <w:r>
              <w:rPr>
                <w:rFonts w:ascii="宋体" w:hAnsi="宋体" w:cs="宋体"/>
                <w:kern w:val="0"/>
                <w:szCs w:val="21"/>
                <w:lang w:bidi="ar"/>
              </w:rPr>
              <w:t>投标总报价评审：20分；商务部分评审：20分；技术部分评审：60分</w:t>
            </w:r>
          </w:p>
        </w:tc>
      </w:tr>
      <w:tr w14:paraId="6187A75E">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tcBorders>
              <w:tl2br w:val="nil"/>
              <w:tr2bl w:val="nil"/>
            </w:tcBorders>
            <w:shd w:val="clear" w:color="auto" w:fill="auto"/>
            <w:tcMar>
              <w:top w:w="120" w:type="dxa"/>
              <w:left w:w="120" w:type="dxa"/>
              <w:bottom w:w="120" w:type="dxa"/>
              <w:right w:w="120" w:type="dxa"/>
            </w:tcMar>
            <w:vAlign w:val="center"/>
          </w:tcPr>
          <w:p w14:paraId="46561A6D">
            <w:pPr>
              <w:widowControl/>
              <w:snapToGrid w:val="0"/>
              <w:jc w:val="center"/>
              <w:textAlignment w:val="top"/>
              <w:rPr>
                <w:szCs w:val="21"/>
              </w:rPr>
            </w:pPr>
            <w:r>
              <w:rPr>
                <w:rFonts w:ascii="宋体" w:hAnsi="宋体" w:cs="宋体"/>
                <w:kern w:val="0"/>
                <w:szCs w:val="21"/>
                <w:lang w:bidi="ar"/>
              </w:rPr>
              <w:t>条款号</w:t>
            </w:r>
          </w:p>
        </w:tc>
        <w:tc>
          <w:tcPr>
            <w:tcW w:w="469" w:type="pct"/>
            <w:tcBorders>
              <w:tl2br w:val="nil"/>
              <w:tr2bl w:val="nil"/>
            </w:tcBorders>
            <w:shd w:val="clear" w:color="auto" w:fill="auto"/>
            <w:tcMar>
              <w:top w:w="120" w:type="dxa"/>
              <w:left w:w="120" w:type="dxa"/>
              <w:bottom w:w="120" w:type="dxa"/>
              <w:right w:w="120" w:type="dxa"/>
            </w:tcMar>
            <w:vAlign w:val="center"/>
          </w:tcPr>
          <w:p w14:paraId="73ADAD51">
            <w:pPr>
              <w:widowControl/>
              <w:snapToGrid w:val="0"/>
              <w:jc w:val="center"/>
              <w:textAlignment w:val="top"/>
              <w:rPr>
                <w:szCs w:val="21"/>
              </w:rPr>
            </w:pPr>
            <w:r>
              <w:rPr>
                <w:rFonts w:ascii="宋体" w:hAnsi="宋体" w:cs="宋体"/>
                <w:kern w:val="0"/>
                <w:szCs w:val="21"/>
                <w:lang w:bidi="ar"/>
              </w:rPr>
              <w:t>评分因素</w:t>
            </w:r>
          </w:p>
        </w:tc>
        <w:tc>
          <w:tcPr>
            <w:tcW w:w="4056" w:type="pct"/>
            <w:gridSpan w:val="2"/>
            <w:tcBorders>
              <w:tl2br w:val="nil"/>
              <w:tr2bl w:val="nil"/>
            </w:tcBorders>
            <w:shd w:val="clear" w:color="auto" w:fill="auto"/>
            <w:tcMar>
              <w:top w:w="120" w:type="dxa"/>
              <w:left w:w="120" w:type="dxa"/>
              <w:bottom w:w="120" w:type="dxa"/>
              <w:right w:w="120" w:type="dxa"/>
            </w:tcMar>
            <w:vAlign w:val="center"/>
          </w:tcPr>
          <w:p w14:paraId="0CE15F08">
            <w:pPr>
              <w:widowControl/>
              <w:snapToGrid w:val="0"/>
              <w:jc w:val="center"/>
              <w:textAlignment w:val="top"/>
              <w:rPr>
                <w:szCs w:val="21"/>
              </w:rPr>
            </w:pPr>
            <w:r>
              <w:rPr>
                <w:rFonts w:ascii="宋体" w:hAnsi="宋体" w:cs="宋体"/>
                <w:kern w:val="0"/>
                <w:szCs w:val="21"/>
                <w:lang w:bidi="ar"/>
              </w:rPr>
              <w:t>评分标准</w:t>
            </w:r>
          </w:p>
        </w:tc>
      </w:tr>
      <w:tr w14:paraId="7973D63A">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tcBorders>
              <w:tl2br w:val="nil"/>
              <w:tr2bl w:val="nil"/>
            </w:tcBorders>
            <w:shd w:val="clear" w:color="auto" w:fill="auto"/>
            <w:tcMar>
              <w:top w:w="120" w:type="dxa"/>
              <w:left w:w="120" w:type="dxa"/>
              <w:bottom w:w="120" w:type="dxa"/>
              <w:right w:w="120" w:type="dxa"/>
            </w:tcMar>
            <w:vAlign w:val="center"/>
          </w:tcPr>
          <w:p w14:paraId="70D6BF39">
            <w:pPr>
              <w:widowControl/>
              <w:snapToGrid w:val="0"/>
              <w:jc w:val="center"/>
              <w:textAlignment w:val="top"/>
              <w:rPr>
                <w:rFonts w:ascii="宋体"/>
                <w:szCs w:val="21"/>
              </w:rPr>
            </w:pPr>
            <w:r>
              <w:rPr>
                <w:rFonts w:ascii="宋体" w:hAnsi="宋体" w:cs="宋体"/>
                <w:kern w:val="0"/>
                <w:szCs w:val="21"/>
                <w:lang w:bidi="ar"/>
              </w:rPr>
              <w:t>2.2.2（1）</w:t>
            </w:r>
          </w:p>
        </w:tc>
        <w:tc>
          <w:tcPr>
            <w:tcW w:w="469" w:type="pct"/>
            <w:tcBorders>
              <w:tl2br w:val="nil"/>
              <w:tr2bl w:val="nil"/>
            </w:tcBorders>
            <w:shd w:val="clear" w:color="auto" w:fill="auto"/>
            <w:tcMar>
              <w:top w:w="120" w:type="dxa"/>
              <w:left w:w="120" w:type="dxa"/>
              <w:bottom w:w="120" w:type="dxa"/>
              <w:right w:w="120" w:type="dxa"/>
            </w:tcMar>
            <w:vAlign w:val="center"/>
          </w:tcPr>
          <w:p w14:paraId="56B6A088">
            <w:pPr>
              <w:widowControl/>
              <w:snapToGrid w:val="0"/>
              <w:jc w:val="center"/>
              <w:textAlignment w:val="top"/>
              <w:rPr>
                <w:rFonts w:ascii="宋体"/>
                <w:szCs w:val="21"/>
              </w:rPr>
            </w:pPr>
            <w:r>
              <w:rPr>
                <w:rFonts w:ascii="宋体" w:hAnsi="宋体" w:cs="宋体"/>
                <w:kern w:val="0"/>
                <w:szCs w:val="21"/>
                <w:lang w:bidi="ar"/>
              </w:rPr>
              <w:t>比选报价评审（20分）</w:t>
            </w:r>
          </w:p>
        </w:tc>
        <w:tc>
          <w:tcPr>
            <w:tcW w:w="739" w:type="pct"/>
            <w:tcBorders>
              <w:tl2br w:val="nil"/>
              <w:tr2bl w:val="nil"/>
            </w:tcBorders>
            <w:shd w:val="clear" w:color="auto" w:fill="auto"/>
            <w:tcMar>
              <w:top w:w="120" w:type="dxa"/>
              <w:left w:w="120" w:type="dxa"/>
              <w:bottom w:w="120" w:type="dxa"/>
              <w:right w:w="120" w:type="dxa"/>
            </w:tcMar>
            <w:vAlign w:val="center"/>
          </w:tcPr>
          <w:p w14:paraId="5537CD7F">
            <w:pPr>
              <w:widowControl/>
              <w:snapToGrid w:val="0"/>
              <w:jc w:val="left"/>
              <w:textAlignment w:val="top"/>
              <w:rPr>
                <w:rFonts w:ascii="宋体"/>
                <w:szCs w:val="21"/>
              </w:rPr>
            </w:pPr>
            <w:r>
              <w:rPr>
                <w:rFonts w:ascii="宋体" w:hAnsi="宋体" w:cs="宋体"/>
                <w:kern w:val="0"/>
                <w:szCs w:val="21"/>
                <w:lang w:bidi="ar"/>
              </w:rPr>
              <w:t>比选总报价（20分）</w:t>
            </w:r>
          </w:p>
        </w:tc>
        <w:tc>
          <w:tcPr>
            <w:tcW w:w="3317" w:type="pct"/>
            <w:tcBorders>
              <w:tl2br w:val="nil"/>
              <w:tr2bl w:val="nil"/>
            </w:tcBorders>
            <w:shd w:val="clear" w:color="auto" w:fill="auto"/>
            <w:tcMar>
              <w:top w:w="120" w:type="dxa"/>
              <w:left w:w="120" w:type="dxa"/>
              <w:bottom w:w="120" w:type="dxa"/>
              <w:right w:w="120" w:type="dxa"/>
            </w:tcMar>
            <w:vAlign w:val="center"/>
          </w:tcPr>
          <w:p w14:paraId="706DFF7B">
            <w:pPr>
              <w:widowControl/>
              <w:snapToGrid w:val="0"/>
              <w:jc w:val="left"/>
              <w:textAlignment w:val="top"/>
              <w:rPr>
                <w:rFonts w:ascii="宋体"/>
                <w:szCs w:val="21"/>
              </w:rPr>
            </w:pPr>
            <w:r>
              <w:rPr>
                <w:rFonts w:ascii="宋体" w:hAnsi="宋体" w:cs="宋体"/>
                <w:kern w:val="0"/>
                <w:szCs w:val="21"/>
                <w:lang w:bidi="ar"/>
              </w:rPr>
              <w:t>采用满足比选文件要求且有效的比选申请人平均报价为评审基准价，其价格分为满分。高于平均价的1%减1分，低于平均报价的1%减0.5分，减完为止。</w:t>
            </w:r>
          </w:p>
        </w:tc>
      </w:tr>
      <w:tr w14:paraId="12E25FAA">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restart"/>
            <w:tcBorders>
              <w:tl2br w:val="nil"/>
              <w:tr2bl w:val="nil"/>
            </w:tcBorders>
            <w:shd w:val="clear" w:color="auto" w:fill="auto"/>
            <w:tcMar>
              <w:top w:w="120" w:type="dxa"/>
              <w:left w:w="120" w:type="dxa"/>
              <w:bottom w:w="120" w:type="dxa"/>
              <w:right w:w="120" w:type="dxa"/>
            </w:tcMar>
            <w:vAlign w:val="center"/>
          </w:tcPr>
          <w:p w14:paraId="289B1328">
            <w:pPr>
              <w:widowControl/>
              <w:snapToGrid w:val="0"/>
              <w:jc w:val="center"/>
              <w:textAlignment w:val="top"/>
              <w:rPr>
                <w:rFonts w:ascii="宋体"/>
                <w:szCs w:val="21"/>
              </w:rPr>
            </w:pPr>
            <w:r>
              <w:rPr>
                <w:rFonts w:ascii="宋体" w:hAnsi="宋体" w:cs="宋体"/>
                <w:kern w:val="0"/>
                <w:szCs w:val="21"/>
                <w:lang w:bidi="ar"/>
              </w:rPr>
              <w:t>2.2.2（2）</w:t>
            </w:r>
          </w:p>
        </w:tc>
        <w:tc>
          <w:tcPr>
            <w:tcW w:w="469" w:type="pct"/>
            <w:vMerge w:val="restart"/>
            <w:tcBorders>
              <w:tl2br w:val="nil"/>
              <w:tr2bl w:val="nil"/>
            </w:tcBorders>
            <w:shd w:val="clear" w:color="auto" w:fill="auto"/>
            <w:tcMar>
              <w:top w:w="120" w:type="dxa"/>
              <w:left w:w="120" w:type="dxa"/>
              <w:bottom w:w="120" w:type="dxa"/>
              <w:right w:w="120" w:type="dxa"/>
            </w:tcMar>
            <w:vAlign w:val="center"/>
          </w:tcPr>
          <w:p w14:paraId="092D6C7E">
            <w:pPr>
              <w:widowControl/>
              <w:snapToGrid w:val="0"/>
              <w:jc w:val="center"/>
              <w:textAlignment w:val="top"/>
              <w:rPr>
                <w:rFonts w:ascii="宋体"/>
                <w:szCs w:val="21"/>
              </w:rPr>
            </w:pPr>
            <w:r>
              <w:rPr>
                <w:rFonts w:ascii="宋体" w:hAnsi="宋体" w:cs="宋体"/>
                <w:kern w:val="0"/>
                <w:szCs w:val="21"/>
                <w:lang w:bidi="ar"/>
              </w:rPr>
              <w:t>商务部分评审（20分）</w:t>
            </w:r>
          </w:p>
        </w:tc>
        <w:tc>
          <w:tcPr>
            <w:tcW w:w="739" w:type="pct"/>
            <w:tcBorders>
              <w:tl2br w:val="nil"/>
              <w:tr2bl w:val="nil"/>
            </w:tcBorders>
            <w:shd w:val="clear" w:color="auto" w:fill="auto"/>
            <w:tcMar>
              <w:top w:w="120" w:type="dxa"/>
              <w:left w:w="120" w:type="dxa"/>
              <w:bottom w:w="120" w:type="dxa"/>
              <w:right w:w="120" w:type="dxa"/>
            </w:tcMar>
            <w:vAlign w:val="center"/>
          </w:tcPr>
          <w:p w14:paraId="4E709D59">
            <w:pPr>
              <w:widowControl/>
              <w:snapToGrid w:val="0"/>
              <w:jc w:val="left"/>
              <w:textAlignment w:val="top"/>
              <w:rPr>
                <w:rFonts w:ascii="宋体"/>
                <w:szCs w:val="21"/>
              </w:rPr>
            </w:pPr>
            <w:r>
              <w:rPr>
                <w:rFonts w:ascii="宋体" w:hAnsi="宋体" w:cs="宋体"/>
                <w:kern w:val="0"/>
                <w:szCs w:val="21"/>
                <w:lang w:bidi="ar"/>
              </w:rPr>
              <w:t>项目组人员配备情况（8分）</w:t>
            </w:r>
          </w:p>
        </w:tc>
        <w:tc>
          <w:tcPr>
            <w:tcW w:w="3317" w:type="pct"/>
            <w:tcBorders>
              <w:tl2br w:val="nil"/>
              <w:tr2bl w:val="nil"/>
            </w:tcBorders>
            <w:shd w:val="clear" w:color="auto" w:fill="auto"/>
            <w:tcMar>
              <w:top w:w="120" w:type="dxa"/>
              <w:left w:w="120" w:type="dxa"/>
              <w:bottom w:w="120" w:type="dxa"/>
              <w:right w:w="120" w:type="dxa"/>
            </w:tcMar>
            <w:vAlign w:val="center"/>
          </w:tcPr>
          <w:p w14:paraId="48C5EEF2">
            <w:pPr>
              <w:widowControl/>
              <w:snapToGrid w:val="0"/>
              <w:jc w:val="left"/>
              <w:textAlignment w:val="top"/>
              <w:rPr>
                <w:rFonts w:ascii="宋体"/>
                <w:szCs w:val="21"/>
              </w:rPr>
            </w:pPr>
            <w:r>
              <w:rPr>
                <w:rFonts w:ascii="宋体" w:hAnsi="宋体" w:cs="宋体"/>
                <w:kern w:val="0"/>
                <w:szCs w:val="21"/>
                <w:lang w:bidi="ar"/>
              </w:rPr>
              <w:t>1. 项目负责人为环境工程、环境科学、生态学等环境影响评价相关专业工程师，且具有高级及以上职称、持有环境影响评价工程师职业资格证书并登记在册，得2分，不满足不得分。2. 除项目负责人外，项目组成员每增加一名环境影响评价相关专业工程师及以上或持有环境影响评价工程师职业资格证书并登记在册人员得2分，最高得6分。（环境影响评价相关专业人员需为本单位职工，提供社保证明、身份证、相关职称证书、职业资格证书及登记证明的扫描件，否则不得分）</w:t>
            </w:r>
          </w:p>
        </w:tc>
      </w:tr>
      <w:tr w14:paraId="0F059DD4">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continue"/>
            <w:tcBorders>
              <w:tl2br w:val="nil"/>
              <w:tr2bl w:val="nil"/>
            </w:tcBorders>
            <w:shd w:val="clear" w:color="auto" w:fill="auto"/>
            <w:tcMar>
              <w:top w:w="120" w:type="dxa"/>
              <w:left w:w="120" w:type="dxa"/>
              <w:bottom w:w="120" w:type="dxa"/>
              <w:right w:w="120" w:type="dxa"/>
            </w:tcMar>
            <w:vAlign w:val="center"/>
          </w:tcPr>
          <w:p w14:paraId="2330E844">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3ACD463E">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54F0C126">
            <w:pPr>
              <w:widowControl/>
              <w:snapToGrid w:val="0"/>
              <w:jc w:val="left"/>
              <w:textAlignment w:val="top"/>
              <w:rPr>
                <w:rFonts w:ascii="宋体"/>
                <w:szCs w:val="21"/>
              </w:rPr>
            </w:pPr>
            <w:r>
              <w:rPr>
                <w:rFonts w:ascii="宋体" w:hAnsi="宋体" w:cs="宋体"/>
                <w:kern w:val="0"/>
                <w:szCs w:val="21"/>
                <w:lang w:bidi="ar"/>
              </w:rPr>
              <w:t>同类业绩（10分）</w:t>
            </w:r>
          </w:p>
        </w:tc>
        <w:tc>
          <w:tcPr>
            <w:tcW w:w="3317" w:type="pct"/>
            <w:tcBorders>
              <w:tl2br w:val="nil"/>
              <w:tr2bl w:val="nil"/>
            </w:tcBorders>
            <w:shd w:val="clear" w:color="auto" w:fill="auto"/>
            <w:tcMar>
              <w:top w:w="120" w:type="dxa"/>
              <w:left w:w="120" w:type="dxa"/>
              <w:bottom w:w="120" w:type="dxa"/>
              <w:right w:w="120" w:type="dxa"/>
            </w:tcMar>
            <w:vAlign w:val="center"/>
          </w:tcPr>
          <w:p w14:paraId="13C61E89">
            <w:pPr>
              <w:widowControl/>
              <w:snapToGrid w:val="0"/>
              <w:jc w:val="left"/>
              <w:textAlignment w:val="top"/>
              <w:rPr>
                <w:rFonts w:ascii="宋体"/>
                <w:szCs w:val="21"/>
              </w:rPr>
            </w:pPr>
            <w:r>
              <w:rPr>
                <w:rFonts w:ascii="宋体" w:hAnsi="宋体" w:cs="宋体"/>
                <w:kern w:val="0"/>
                <w:szCs w:val="21"/>
                <w:lang w:bidi="ar"/>
              </w:rPr>
              <w:t>近五年来供应商承接类似环境影响评价项目（含环境影响报告书、报告表编制及相关技术服务），每有一项同类业绩得2分，最多得10分。注：近五年日期指从20</w:t>
            </w:r>
            <w:r>
              <w:rPr>
                <w:rFonts w:hint="eastAsia" w:ascii="宋体" w:hAnsi="宋体" w:cs="宋体"/>
                <w:kern w:val="0"/>
                <w:szCs w:val="21"/>
                <w:lang w:val="en-US" w:eastAsia="zh-CN" w:bidi="ar"/>
              </w:rPr>
              <w:t>21</w:t>
            </w:r>
            <w:r>
              <w:rPr>
                <w:rFonts w:ascii="宋体" w:hAnsi="宋体" w:cs="宋体"/>
                <w:kern w:val="0"/>
                <w:szCs w:val="21"/>
                <w:lang w:bidi="ar"/>
              </w:rPr>
              <w:t>年1月起算，时间以合同签订时间为准，需提供签订合同原件扫描件及对应环境影响评价文件审批/评审通过证明，未提供不得分。</w:t>
            </w:r>
          </w:p>
        </w:tc>
      </w:tr>
      <w:tr w14:paraId="0D91CD94">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continue"/>
            <w:tcBorders>
              <w:tl2br w:val="nil"/>
              <w:tr2bl w:val="nil"/>
            </w:tcBorders>
            <w:shd w:val="clear" w:color="auto" w:fill="auto"/>
            <w:tcMar>
              <w:top w:w="120" w:type="dxa"/>
              <w:left w:w="120" w:type="dxa"/>
              <w:bottom w:w="120" w:type="dxa"/>
              <w:right w:w="120" w:type="dxa"/>
            </w:tcMar>
            <w:vAlign w:val="center"/>
          </w:tcPr>
          <w:p w14:paraId="2E5D5781">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40EA57B2">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2E8B8376">
            <w:pPr>
              <w:widowControl/>
              <w:snapToGrid w:val="0"/>
              <w:jc w:val="left"/>
              <w:textAlignment w:val="top"/>
              <w:rPr>
                <w:rFonts w:ascii="宋体"/>
                <w:szCs w:val="21"/>
              </w:rPr>
            </w:pPr>
            <w:r>
              <w:rPr>
                <w:rFonts w:ascii="宋体" w:hAnsi="宋体" w:cs="宋体"/>
                <w:kern w:val="0"/>
                <w:szCs w:val="21"/>
                <w:lang w:bidi="ar"/>
              </w:rPr>
              <w:t>企业实力（2分）</w:t>
            </w:r>
          </w:p>
        </w:tc>
        <w:tc>
          <w:tcPr>
            <w:tcW w:w="3317" w:type="pct"/>
            <w:tcBorders>
              <w:tl2br w:val="nil"/>
              <w:tr2bl w:val="nil"/>
            </w:tcBorders>
            <w:shd w:val="clear" w:color="auto" w:fill="auto"/>
            <w:tcMar>
              <w:top w:w="120" w:type="dxa"/>
              <w:left w:w="120" w:type="dxa"/>
              <w:bottom w:w="120" w:type="dxa"/>
              <w:right w:w="120" w:type="dxa"/>
            </w:tcMar>
            <w:vAlign w:val="center"/>
          </w:tcPr>
          <w:p w14:paraId="50D736B9">
            <w:pPr>
              <w:widowControl/>
              <w:snapToGrid w:val="0"/>
              <w:jc w:val="left"/>
              <w:textAlignment w:val="top"/>
              <w:rPr>
                <w:rFonts w:ascii="宋体"/>
                <w:szCs w:val="21"/>
              </w:rPr>
            </w:pPr>
            <w:r>
              <w:rPr>
                <w:rFonts w:ascii="宋体" w:hAnsi="宋体" w:cs="宋体"/>
                <w:kern w:val="0"/>
                <w:szCs w:val="21"/>
                <w:lang w:bidi="ar"/>
              </w:rPr>
              <w:t>具有质量管理体系认证证书、环境管理体系认证证书，得2分（至少具备1项），满分2分。（以原件扫描件为准，否则不得分）</w:t>
            </w:r>
          </w:p>
        </w:tc>
      </w:tr>
      <w:tr w14:paraId="707F6B71">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restart"/>
            <w:tcBorders>
              <w:tl2br w:val="nil"/>
              <w:tr2bl w:val="nil"/>
            </w:tcBorders>
            <w:shd w:val="clear" w:color="auto" w:fill="auto"/>
            <w:tcMar>
              <w:top w:w="120" w:type="dxa"/>
              <w:left w:w="120" w:type="dxa"/>
              <w:bottom w:w="120" w:type="dxa"/>
              <w:right w:w="120" w:type="dxa"/>
            </w:tcMar>
            <w:vAlign w:val="center"/>
          </w:tcPr>
          <w:p w14:paraId="580A6C2C">
            <w:pPr>
              <w:widowControl/>
              <w:snapToGrid w:val="0"/>
              <w:jc w:val="center"/>
              <w:textAlignment w:val="top"/>
              <w:rPr>
                <w:rFonts w:ascii="宋体"/>
                <w:szCs w:val="21"/>
              </w:rPr>
            </w:pPr>
            <w:r>
              <w:rPr>
                <w:rFonts w:ascii="宋体" w:hAnsi="宋体" w:cs="宋体"/>
                <w:kern w:val="0"/>
                <w:szCs w:val="21"/>
                <w:lang w:bidi="ar"/>
              </w:rPr>
              <w:t>2.2.2（3）</w:t>
            </w:r>
          </w:p>
        </w:tc>
        <w:tc>
          <w:tcPr>
            <w:tcW w:w="469" w:type="pct"/>
            <w:vMerge w:val="restart"/>
            <w:tcBorders>
              <w:tl2br w:val="nil"/>
              <w:tr2bl w:val="nil"/>
            </w:tcBorders>
            <w:shd w:val="clear" w:color="auto" w:fill="auto"/>
            <w:tcMar>
              <w:top w:w="120" w:type="dxa"/>
              <w:left w:w="120" w:type="dxa"/>
              <w:bottom w:w="120" w:type="dxa"/>
              <w:right w:w="120" w:type="dxa"/>
            </w:tcMar>
            <w:vAlign w:val="center"/>
          </w:tcPr>
          <w:p w14:paraId="6B33E268">
            <w:pPr>
              <w:widowControl/>
              <w:snapToGrid w:val="0"/>
              <w:jc w:val="center"/>
              <w:textAlignment w:val="top"/>
              <w:rPr>
                <w:rFonts w:ascii="宋体"/>
                <w:szCs w:val="21"/>
              </w:rPr>
            </w:pPr>
            <w:r>
              <w:rPr>
                <w:rFonts w:ascii="宋体" w:hAnsi="宋体" w:cs="宋体"/>
                <w:kern w:val="0"/>
                <w:szCs w:val="21"/>
                <w:lang w:bidi="ar"/>
              </w:rPr>
              <w:t>技术部分评审（60分）</w:t>
            </w:r>
          </w:p>
        </w:tc>
        <w:tc>
          <w:tcPr>
            <w:tcW w:w="739" w:type="pct"/>
            <w:tcBorders>
              <w:tl2br w:val="nil"/>
              <w:tr2bl w:val="nil"/>
            </w:tcBorders>
            <w:shd w:val="clear" w:color="auto" w:fill="auto"/>
            <w:tcMar>
              <w:top w:w="120" w:type="dxa"/>
              <w:left w:w="120" w:type="dxa"/>
              <w:bottom w:w="120" w:type="dxa"/>
              <w:right w:w="120" w:type="dxa"/>
            </w:tcMar>
            <w:vAlign w:val="center"/>
          </w:tcPr>
          <w:p w14:paraId="793BAAC6">
            <w:pPr>
              <w:widowControl/>
              <w:snapToGrid w:val="0"/>
              <w:jc w:val="left"/>
              <w:textAlignment w:val="top"/>
              <w:rPr>
                <w:rFonts w:ascii="宋体"/>
                <w:szCs w:val="21"/>
              </w:rPr>
            </w:pPr>
            <w:bookmarkStart w:id="0" w:name="OLE_LINK5"/>
            <w:bookmarkStart w:id="1" w:name="OLE_LINK6"/>
            <w:r>
              <w:rPr>
                <w:rFonts w:ascii="宋体" w:hAnsi="宋体" w:cs="宋体"/>
                <w:kern w:val="0"/>
                <w:szCs w:val="21"/>
                <w:lang w:bidi="ar"/>
              </w:rPr>
              <w:t>环境影响评价编制、技术服务方案</w:t>
            </w:r>
            <w:bookmarkEnd w:id="0"/>
            <w:bookmarkEnd w:id="1"/>
            <w:r>
              <w:rPr>
                <w:rFonts w:ascii="宋体" w:hAnsi="宋体" w:cs="宋体"/>
                <w:kern w:val="0"/>
                <w:szCs w:val="21"/>
                <w:lang w:bidi="ar"/>
              </w:rPr>
              <w:t>（30分）</w:t>
            </w:r>
          </w:p>
        </w:tc>
        <w:tc>
          <w:tcPr>
            <w:tcW w:w="3317" w:type="pct"/>
            <w:tcBorders>
              <w:tl2br w:val="nil"/>
              <w:tr2bl w:val="nil"/>
            </w:tcBorders>
            <w:shd w:val="clear" w:color="auto" w:fill="auto"/>
            <w:tcMar>
              <w:top w:w="120" w:type="dxa"/>
              <w:left w:w="120" w:type="dxa"/>
              <w:bottom w:w="120" w:type="dxa"/>
              <w:right w:w="120" w:type="dxa"/>
            </w:tcMar>
            <w:vAlign w:val="center"/>
          </w:tcPr>
          <w:p w14:paraId="18D24EA3">
            <w:pPr>
              <w:widowControl/>
              <w:snapToGrid w:val="0"/>
              <w:jc w:val="left"/>
              <w:textAlignment w:val="top"/>
              <w:rPr>
                <w:rFonts w:ascii="宋体"/>
                <w:szCs w:val="21"/>
              </w:rPr>
            </w:pPr>
            <w:r>
              <w:rPr>
                <w:rFonts w:ascii="宋体" w:hAnsi="宋体" w:cs="宋体"/>
                <w:kern w:val="0"/>
                <w:szCs w:val="21"/>
                <w:lang w:bidi="ar"/>
              </w:rPr>
              <w:t>对供应商环境影响评价文件编制、技术服务方案进行评审：根据对本项目的理解，结合项目特点对环境现状调查、污染因子识别、影响预测与评价、污染防治措施、生态保护与恢复方案、环境风险防控等内容的全面性、完善性、合理性，以及工作计划中的工序组织、质量管理及效率管理等进行打分：总体方案切实可行，贴合项目实际、符合环评导则及相关标准要求，得30分；总体方案较为切合实际，基本满足环评要求，得20分；总体方案一般，存在疏漏、可行性不足，得10分。</w:t>
            </w:r>
          </w:p>
        </w:tc>
      </w:tr>
      <w:tr w14:paraId="6227804C">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continue"/>
            <w:tcBorders>
              <w:tl2br w:val="nil"/>
              <w:tr2bl w:val="nil"/>
            </w:tcBorders>
            <w:shd w:val="clear" w:color="auto" w:fill="auto"/>
            <w:tcMar>
              <w:top w:w="120" w:type="dxa"/>
              <w:left w:w="120" w:type="dxa"/>
              <w:bottom w:w="120" w:type="dxa"/>
              <w:right w:w="120" w:type="dxa"/>
            </w:tcMar>
            <w:vAlign w:val="center"/>
          </w:tcPr>
          <w:p w14:paraId="0DF3FC23">
            <w:pPr>
              <w:widowControl/>
              <w:snapToGrid w:val="0"/>
              <w:jc w:val="center"/>
              <w:textAlignment w:val="top"/>
              <w:rPr>
                <w:rFonts w:ascii="宋体"/>
                <w:szCs w:val="21"/>
              </w:rPr>
            </w:pPr>
          </w:p>
        </w:tc>
        <w:tc>
          <w:tcPr>
            <w:tcW w:w="469" w:type="pct"/>
            <w:vMerge w:val="continue"/>
            <w:tcBorders>
              <w:tl2br w:val="nil"/>
              <w:tr2bl w:val="nil"/>
            </w:tcBorders>
            <w:shd w:val="clear" w:color="auto" w:fill="auto"/>
            <w:tcMar>
              <w:top w:w="120" w:type="dxa"/>
              <w:left w:w="120" w:type="dxa"/>
              <w:bottom w:w="120" w:type="dxa"/>
              <w:right w:w="120" w:type="dxa"/>
            </w:tcMar>
            <w:vAlign w:val="center"/>
          </w:tcPr>
          <w:p w14:paraId="46AE3450">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11CC6D74">
            <w:pPr>
              <w:widowControl/>
              <w:snapToGrid w:val="0"/>
              <w:jc w:val="left"/>
              <w:textAlignment w:val="top"/>
              <w:rPr>
                <w:rFonts w:ascii="宋体"/>
                <w:szCs w:val="21"/>
              </w:rPr>
            </w:pPr>
            <w:r>
              <w:rPr>
                <w:rFonts w:ascii="宋体" w:hAnsi="宋体" w:cs="宋体"/>
                <w:kern w:val="0"/>
                <w:szCs w:val="21"/>
                <w:lang w:bidi="ar"/>
              </w:rPr>
              <w:t>进度保证措施（10分）</w:t>
            </w:r>
          </w:p>
        </w:tc>
        <w:tc>
          <w:tcPr>
            <w:tcW w:w="3317" w:type="pct"/>
            <w:tcBorders>
              <w:tl2br w:val="nil"/>
              <w:tr2bl w:val="nil"/>
            </w:tcBorders>
            <w:shd w:val="clear" w:color="auto" w:fill="auto"/>
            <w:tcMar>
              <w:top w:w="120" w:type="dxa"/>
              <w:left w:w="120" w:type="dxa"/>
              <w:bottom w:w="120" w:type="dxa"/>
              <w:right w:w="120" w:type="dxa"/>
            </w:tcMar>
            <w:vAlign w:val="center"/>
          </w:tcPr>
          <w:p w14:paraId="0593DCC9">
            <w:pPr>
              <w:widowControl/>
              <w:snapToGrid w:val="0"/>
              <w:jc w:val="left"/>
              <w:textAlignment w:val="top"/>
              <w:rPr>
                <w:rFonts w:ascii="宋体"/>
                <w:szCs w:val="21"/>
              </w:rPr>
            </w:pPr>
            <w:r>
              <w:rPr>
                <w:rFonts w:ascii="宋体" w:hAnsi="宋体" w:cs="宋体"/>
                <w:kern w:val="0"/>
                <w:szCs w:val="21"/>
                <w:lang w:bidi="ar"/>
              </w:rPr>
              <w:t>对供应商进度保证措施进行评审：结合环评编制各环节（现状监测、报告编制、修改完善、专家评审、报批）制定切实可行、针对性强的进度计划及保障措施，明确各环节时间节点及责任分工，得10分；较切实可行，针对性较强，得8分；措施一般，缺乏针对性，得6分。</w:t>
            </w:r>
          </w:p>
        </w:tc>
      </w:tr>
      <w:tr w14:paraId="3CA612C0">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continue"/>
            <w:tcBorders>
              <w:tl2br w:val="nil"/>
              <w:tr2bl w:val="nil"/>
            </w:tcBorders>
            <w:shd w:val="clear" w:color="auto" w:fill="auto"/>
            <w:tcMar>
              <w:top w:w="120" w:type="dxa"/>
              <w:left w:w="120" w:type="dxa"/>
              <w:bottom w:w="120" w:type="dxa"/>
              <w:right w:w="120" w:type="dxa"/>
            </w:tcMar>
            <w:vAlign w:val="center"/>
          </w:tcPr>
          <w:p w14:paraId="4DCC3626">
            <w:pPr>
              <w:widowControl/>
              <w:snapToGrid w:val="0"/>
              <w:jc w:val="center"/>
              <w:textAlignment w:val="top"/>
              <w:rPr>
                <w:rFonts w:ascii="宋体"/>
                <w:szCs w:val="21"/>
              </w:rPr>
            </w:pPr>
          </w:p>
        </w:tc>
        <w:tc>
          <w:tcPr>
            <w:tcW w:w="469" w:type="pct"/>
            <w:vMerge w:val="restart"/>
            <w:tcBorders>
              <w:top w:val="nil"/>
              <w:tl2br w:val="nil"/>
              <w:tr2bl w:val="nil"/>
            </w:tcBorders>
            <w:shd w:val="clear" w:color="auto" w:fill="auto"/>
            <w:tcMar>
              <w:top w:w="120" w:type="dxa"/>
              <w:left w:w="120" w:type="dxa"/>
              <w:bottom w:w="120" w:type="dxa"/>
              <w:right w:w="120" w:type="dxa"/>
            </w:tcMar>
            <w:vAlign w:val="center"/>
          </w:tcPr>
          <w:p w14:paraId="6EAE63E4">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5526D70C">
            <w:pPr>
              <w:widowControl/>
              <w:snapToGrid w:val="0"/>
              <w:jc w:val="left"/>
              <w:textAlignment w:val="top"/>
              <w:rPr>
                <w:rFonts w:ascii="宋体"/>
                <w:szCs w:val="21"/>
              </w:rPr>
            </w:pPr>
            <w:r>
              <w:rPr>
                <w:rFonts w:ascii="宋体" w:hAnsi="宋体" w:cs="宋体"/>
                <w:kern w:val="0"/>
                <w:szCs w:val="21"/>
                <w:lang w:bidi="ar"/>
              </w:rPr>
              <w:t>质量保证措施（10分）</w:t>
            </w:r>
          </w:p>
        </w:tc>
        <w:tc>
          <w:tcPr>
            <w:tcW w:w="3317" w:type="pct"/>
            <w:tcBorders>
              <w:tl2br w:val="nil"/>
              <w:tr2bl w:val="nil"/>
            </w:tcBorders>
            <w:shd w:val="clear" w:color="auto" w:fill="auto"/>
            <w:tcMar>
              <w:top w:w="120" w:type="dxa"/>
              <w:left w:w="120" w:type="dxa"/>
              <w:bottom w:w="120" w:type="dxa"/>
              <w:right w:w="120" w:type="dxa"/>
            </w:tcMar>
            <w:vAlign w:val="center"/>
          </w:tcPr>
          <w:p w14:paraId="71295DA8">
            <w:pPr>
              <w:widowControl/>
              <w:snapToGrid w:val="0"/>
              <w:jc w:val="left"/>
              <w:textAlignment w:val="top"/>
              <w:rPr>
                <w:rFonts w:ascii="宋体"/>
                <w:szCs w:val="21"/>
              </w:rPr>
            </w:pPr>
            <w:r>
              <w:rPr>
                <w:rFonts w:ascii="宋体" w:hAnsi="宋体" w:cs="宋体"/>
                <w:kern w:val="0"/>
                <w:szCs w:val="21"/>
                <w:lang w:bidi="ar"/>
              </w:rPr>
              <w:t>对供应商质量保证措施进行评审：建立完善的环境影响评价文件编制“三审”制度（一审、二审、终审）、数据溯源机制，明确质量管控节点及责任分工，配备专职质量管理人员，措施切实可行、针对性强，得10分；较切实可行，针对性较强，得8分；措施一般，质量管控不到位，得6分。</w:t>
            </w:r>
          </w:p>
        </w:tc>
      </w:tr>
      <w:tr w14:paraId="792C1B36">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jc w:val="center"/>
        </w:trPr>
        <w:tc>
          <w:tcPr>
            <w:tcW w:w="474" w:type="pct"/>
            <w:vMerge w:val="continue"/>
            <w:tcBorders>
              <w:tl2br w:val="nil"/>
              <w:tr2bl w:val="nil"/>
            </w:tcBorders>
            <w:shd w:val="clear" w:color="auto" w:fill="auto"/>
            <w:tcMar>
              <w:top w:w="120" w:type="dxa"/>
              <w:left w:w="120" w:type="dxa"/>
              <w:bottom w:w="120" w:type="dxa"/>
              <w:right w:w="120" w:type="dxa"/>
            </w:tcMar>
            <w:vAlign w:val="center"/>
          </w:tcPr>
          <w:p w14:paraId="52E70585">
            <w:pPr>
              <w:widowControl/>
              <w:snapToGrid w:val="0"/>
              <w:jc w:val="center"/>
              <w:textAlignment w:val="top"/>
              <w:rPr>
                <w:rFonts w:ascii="宋体"/>
                <w:szCs w:val="21"/>
              </w:rPr>
            </w:pPr>
          </w:p>
        </w:tc>
        <w:tc>
          <w:tcPr>
            <w:tcW w:w="469" w:type="pct"/>
            <w:vMerge w:val="continue"/>
            <w:tcBorders>
              <w:top w:val="nil"/>
              <w:tl2br w:val="nil"/>
              <w:tr2bl w:val="nil"/>
            </w:tcBorders>
            <w:shd w:val="clear" w:color="auto" w:fill="auto"/>
            <w:tcMar>
              <w:top w:w="120" w:type="dxa"/>
              <w:left w:w="120" w:type="dxa"/>
              <w:bottom w:w="120" w:type="dxa"/>
              <w:right w:w="120" w:type="dxa"/>
            </w:tcMar>
            <w:vAlign w:val="center"/>
          </w:tcPr>
          <w:p w14:paraId="7AF633D7">
            <w:pPr>
              <w:widowControl/>
              <w:snapToGrid w:val="0"/>
              <w:jc w:val="center"/>
              <w:textAlignment w:val="top"/>
              <w:rPr>
                <w:rFonts w:ascii="宋体"/>
                <w:szCs w:val="21"/>
              </w:rPr>
            </w:pPr>
          </w:p>
        </w:tc>
        <w:tc>
          <w:tcPr>
            <w:tcW w:w="739" w:type="pct"/>
            <w:tcBorders>
              <w:tl2br w:val="nil"/>
              <w:tr2bl w:val="nil"/>
            </w:tcBorders>
            <w:shd w:val="clear" w:color="auto" w:fill="auto"/>
            <w:tcMar>
              <w:top w:w="120" w:type="dxa"/>
              <w:left w:w="120" w:type="dxa"/>
              <w:bottom w:w="120" w:type="dxa"/>
              <w:right w:w="120" w:type="dxa"/>
            </w:tcMar>
            <w:vAlign w:val="center"/>
          </w:tcPr>
          <w:p w14:paraId="063406A4">
            <w:pPr>
              <w:widowControl/>
              <w:snapToGrid w:val="0"/>
              <w:jc w:val="left"/>
              <w:textAlignment w:val="top"/>
              <w:rPr>
                <w:rFonts w:ascii="宋体"/>
                <w:szCs w:val="21"/>
              </w:rPr>
            </w:pPr>
            <w:r>
              <w:rPr>
                <w:rFonts w:ascii="宋体" w:hAnsi="宋体" w:cs="宋体"/>
                <w:kern w:val="0"/>
                <w:szCs w:val="21"/>
                <w:lang w:bidi="ar"/>
              </w:rPr>
              <w:t>服务承诺（10分）</w:t>
            </w:r>
          </w:p>
        </w:tc>
        <w:tc>
          <w:tcPr>
            <w:tcW w:w="3317" w:type="pct"/>
            <w:tcBorders>
              <w:tl2br w:val="nil"/>
              <w:tr2bl w:val="nil"/>
            </w:tcBorders>
            <w:shd w:val="clear" w:color="auto" w:fill="auto"/>
            <w:tcMar>
              <w:top w:w="120" w:type="dxa"/>
              <w:left w:w="120" w:type="dxa"/>
              <w:bottom w:w="120" w:type="dxa"/>
              <w:right w:w="120" w:type="dxa"/>
            </w:tcMar>
            <w:vAlign w:val="center"/>
          </w:tcPr>
          <w:p w14:paraId="2846A383">
            <w:pPr>
              <w:widowControl/>
              <w:snapToGrid w:val="0"/>
              <w:jc w:val="left"/>
              <w:textAlignment w:val="top"/>
              <w:rPr>
                <w:rFonts w:ascii="宋体"/>
                <w:szCs w:val="21"/>
              </w:rPr>
            </w:pPr>
            <w:r>
              <w:rPr>
                <w:rFonts w:ascii="宋体" w:hAnsi="宋体" w:cs="宋体"/>
                <w:kern w:val="0"/>
                <w:szCs w:val="21"/>
                <w:lang w:bidi="ar"/>
              </w:rPr>
              <w:t>对供应商服务承诺进行评审：承诺及时响应环评文件修改需求、全程配合专家评审及生态环境主管部门报批工作、提供项目后续环保技术支持（至少1年），承诺内容切实可行、针对性强，得10分；较切实可行，针对性较强，得8分；承诺简单、缺乏可操作性，得6分。</w:t>
            </w:r>
          </w:p>
        </w:tc>
      </w:tr>
    </w:tbl>
    <w:p w14:paraId="3E0C813A">
      <w:pPr>
        <w:rPr>
          <w:rFonts w:ascii="黑体" w:hAnsi="黑体" w:eastAsia="黑体" w:cs="黑体"/>
          <w:sz w:val="32"/>
          <w:szCs w:val="32"/>
        </w:rPr>
      </w:pPr>
    </w:p>
    <w:p w14:paraId="0AEDFFE4">
      <w:pPr>
        <w:pStyle w:val="3"/>
        <w:widowControl/>
        <w:adjustRightInd w:val="0"/>
        <w:snapToGrid w:val="0"/>
        <w:spacing w:beforeAutospacing="0" w:afterAutospacing="0" w:line="560" w:lineRule="exact"/>
        <w:rPr>
          <w:rFonts w:hint="default" w:ascii="黑体" w:hAnsi="黑体" w:eastAsia="黑体" w:cs="黑体"/>
          <w:b w:val="0"/>
          <w:bCs w:val="0"/>
          <w:sz w:val="32"/>
          <w:szCs w:val="32"/>
        </w:rPr>
      </w:pPr>
      <w:r>
        <w:rPr>
          <w:rFonts w:ascii="黑体" w:hAnsi="黑体" w:eastAsia="黑体" w:cs="黑体"/>
          <w:b w:val="0"/>
          <w:bCs w:val="0"/>
          <w:sz w:val="32"/>
          <w:szCs w:val="32"/>
        </w:rPr>
        <w:t>1. 评审方法</w:t>
      </w:r>
    </w:p>
    <w:p w14:paraId="6E7BDF86">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本次评审采用综合评估法。评审小组对满足比选文件实质性要求的比选申请书，按照第2.2款规定的评分标准进行打分，并按得分由高到低顺序推荐中选候选人，并标明排序；综合评分相等时，以比选报价低的优先；如果比选报价相同时，以环境影响评价技术服务方案评分标准得分高的优先；如果环境影响评价技术服务方案评分标准得分也相等，由评审小组投票确定。</w:t>
      </w:r>
    </w:p>
    <w:p w14:paraId="36413E69">
      <w:pPr>
        <w:pStyle w:val="3"/>
        <w:widowControl/>
        <w:adjustRightInd w:val="0"/>
        <w:snapToGrid w:val="0"/>
        <w:spacing w:beforeAutospacing="0" w:afterAutospacing="0" w:line="560" w:lineRule="exact"/>
        <w:rPr>
          <w:rFonts w:hint="default" w:ascii="黑体" w:hAnsi="黑体" w:eastAsia="黑体" w:cs="黑体"/>
          <w:b w:val="0"/>
          <w:bCs w:val="0"/>
          <w:sz w:val="32"/>
          <w:szCs w:val="32"/>
        </w:rPr>
      </w:pPr>
      <w:r>
        <w:rPr>
          <w:rFonts w:ascii="黑体" w:hAnsi="黑体" w:eastAsia="黑体" w:cs="黑体"/>
          <w:b w:val="0"/>
          <w:bCs w:val="0"/>
          <w:sz w:val="32"/>
          <w:szCs w:val="32"/>
        </w:rPr>
        <w:t>2. 评审标准</w:t>
      </w:r>
    </w:p>
    <w:p w14:paraId="3D271CF2">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2.1 初步评审标准</w:t>
      </w:r>
    </w:p>
    <w:p w14:paraId="492F4379">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2.1.1 形式评审标准：见评审办法前附表。</w:t>
      </w:r>
    </w:p>
    <w:p w14:paraId="0E5F4DCD">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2.1.2 资格评审标准：见评审办法前附表。</w:t>
      </w:r>
    </w:p>
    <w:p w14:paraId="7AE3DE50">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2.1.3 响应性评审标准：见评审办法前附表。</w:t>
      </w:r>
    </w:p>
    <w:p w14:paraId="047B4443">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2.2 分值构成与评分标准</w:t>
      </w:r>
    </w:p>
    <w:p w14:paraId="3A8C9634">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2.2.1 分值构成</w:t>
      </w:r>
    </w:p>
    <w:p w14:paraId="476156A5">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（1）比选报价评审：见评审办法前附表；</w:t>
      </w:r>
    </w:p>
    <w:p w14:paraId="48AB385D">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（2）商务部分评审：见评审办法前附表；</w:t>
      </w:r>
    </w:p>
    <w:p w14:paraId="7C2611C5">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（3）技术部分评审：见评审办法前附表；</w:t>
      </w:r>
    </w:p>
    <w:p w14:paraId="2A5F42E6">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2.2.2 评分标准</w:t>
      </w:r>
    </w:p>
    <w:p w14:paraId="73587CB3">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（1）比选报价评分标准：见评审办法前附表；</w:t>
      </w:r>
    </w:p>
    <w:p w14:paraId="4BD14C47">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（2）商务部分评分标准：见评审办法前附表；</w:t>
      </w:r>
    </w:p>
    <w:p w14:paraId="12A89A77">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（3）技术部分评分标准：见评审办法前附表。</w:t>
      </w:r>
    </w:p>
    <w:p w14:paraId="21C611CC">
      <w:pPr>
        <w:pStyle w:val="3"/>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3. 评审程序</w:t>
      </w:r>
    </w:p>
    <w:p w14:paraId="7CE16432">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3.1 初步评审</w:t>
      </w:r>
    </w:p>
    <w:p w14:paraId="7A765DD7">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3.1.1 评审小组可以要求比选申请人提交比选公告“六、供应商资格要求”规定的有关证明和证件的原件，以便核验（含环境影响评价相关资质证书、人员职称、职业资格证书及登记证明等）。评审小组依据第2.1款规定的标准对比选申请书进行初步评审。有一项不符合评审标准的，评审小组应当否决其比选。</w:t>
      </w:r>
    </w:p>
    <w:p w14:paraId="59298945">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3.1.2 比选申请人有以下情形之一的，评审小组应当否决其比选：</w:t>
      </w:r>
    </w:p>
    <w:p w14:paraId="2C7D075E">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（1）比选申请书没有对比选文件的实质性要求和条件作出响应，或者对比选文件的偏差超出比选文件规定的偏差范围或最高项数；</w:t>
      </w:r>
    </w:p>
    <w:p w14:paraId="23C561A6">
      <w:pPr>
        <w:widowControl/>
        <w:adjustRightInd w:val="0"/>
        <w:snapToGrid w:val="0"/>
        <w:spacing w:line="560" w:lineRule="exact"/>
        <w:ind w:firstLine="640" w:firstLineChars="200"/>
        <w:jc w:val="left"/>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（2）出借、转让资质证书、让他人挂靠投标，以他人名义投标或者以其他方式弄虚作假，骗取中标；</w:t>
      </w:r>
    </w:p>
    <w:p w14:paraId="5BBEB3CF">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（3）提供虚假环境影响评价业绩、人员资质证明或其他相关材料的；</w:t>
      </w:r>
    </w:p>
    <w:p w14:paraId="6BEB0725">
      <w:pPr>
        <w:widowControl/>
        <w:adjustRightInd w:val="0"/>
        <w:snapToGrid w:val="0"/>
        <w:spacing w:line="560" w:lineRule="exact"/>
        <w:ind w:firstLine="640" w:firstLineChars="200"/>
        <w:jc w:val="left"/>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4）与其他投标人相互串通投标报价，不排挤其他投标人的公平竞争、损害采购人的合法权益；与采购人或者招标代理机构串通投标，损害国家利益、社会公共利益或者他人的合法权益；向采购人或者评标委员会成员行贿以牟取中标的；</w:t>
      </w:r>
    </w:p>
    <w:p w14:paraId="7B76A072">
      <w:pPr>
        <w:pStyle w:val="2"/>
        <w:ind w:firstLine="640"/>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（5）投标截止后，报价人不在投标有效期内撤销投标文件的；</w:t>
      </w:r>
    </w:p>
    <w:p w14:paraId="32CBB40E">
      <w:pPr>
        <w:pStyle w:val="2"/>
        <w:ind w:firstLine="640"/>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（6）报价人收到中标通知书后，不能严格按询价公告要求在规定的时间内与采购人签订合同，签订合同时向采购人提出附加条件或者更改合同实质性内容，不能严格按照询价公告要求提交相关费用的；</w:t>
      </w:r>
    </w:p>
    <w:p w14:paraId="52C6F83D">
      <w:pPr>
        <w:pStyle w:val="2"/>
        <w:ind w:firstLine="640"/>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（7）出现虚假恶意投诉，利用投诉进行不正当竞争及阻碍招投标活动的正常进行，捏造事实、伪造材料或者以非法手段取得证明材料进行投诉的。</w:t>
      </w:r>
    </w:p>
    <w:p w14:paraId="639F248E">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3.1.3 比选报价有算术错误及其他错误的，评审小组按以下原则要求比选申请人对比选报价进行修正，并要求比选申请人书面澄清确认。比选申请人拒不澄清确认的，评审小组应当否决其比选：</w:t>
      </w:r>
    </w:p>
    <w:p w14:paraId="016C20AE">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（1）比选申请书中的大写金额与小写金额不一致的，以大写金额为准；</w:t>
      </w:r>
    </w:p>
    <w:p w14:paraId="1B689A2C">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（2）总价金额与单价金额不一致的，以单价金额为准，但单价金额小数点有明显错误的除外。</w:t>
      </w:r>
    </w:p>
    <w:p w14:paraId="09075A83">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3.1.4 比选申请人未按比选申请书格式编制比选申请书的。</w:t>
      </w:r>
    </w:p>
    <w:p w14:paraId="6B499396">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3.2 详细评审</w:t>
      </w:r>
    </w:p>
    <w:p w14:paraId="20F25514">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3.2.1 评审小组按第2.2款规定的量化因素和分值进行打分，并计算出综合评估得分。</w:t>
      </w:r>
    </w:p>
    <w:p w14:paraId="19C9DCAF">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（1）按评审办法规定的比选报价评审标准计算出得分A；</w:t>
      </w:r>
    </w:p>
    <w:p w14:paraId="1F221A64">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（2）按评审办法规定的商务部分评审标准计算出得分B；</w:t>
      </w:r>
    </w:p>
    <w:p w14:paraId="625C741F">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（3）按评审办法规定的技术部分评审标准计算出得分C。</w:t>
      </w:r>
    </w:p>
    <w:p w14:paraId="452F2766">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3.2.2 评分分值计算保留小数点后两位，小数点后第三位“四舍五入”。</w:t>
      </w:r>
    </w:p>
    <w:p w14:paraId="6824472C">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3.2.3 比选申请人得分=A+B+C。</w:t>
      </w:r>
    </w:p>
    <w:p w14:paraId="75861E7F">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3.2.4 评审小组发现比选申请人的报价明显低于其他比选报价，使得其比选报价可能低于其个别成本的，应当要求该比选申请人作出书面说明并提供相应的证明材料。比选申请人不能合理说明或者不能提供相应证明材料的，评审小组应当认定该比选申请人以低于成本报价竞标，并否决其比选。</w:t>
      </w:r>
    </w:p>
    <w:p w14:paraId="1FBC09C7">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3.3 比选申请书的澄清</w:t>
      </w:r>
    </w:p>
    <w:p w14:paraId="4438B1DF">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3.3.1 在评审过程中，评审小组可以书面形式要求比选申请人对比选申请书中含义不明确、对同类问题表述不一致或者有明显文字和计算错误的内容作必要的澄清、说明或补正。澄清、说明或补正应以书面方式进行。评审小组不接受比选申请人主动提出的澄清、说明或补正。</w:t>
      </w:r>
    </w:p>
    <w:p w14:paraId="1B79A6AC">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3.3.2 澄清、说明或补正不得超出比选申请书的范围且不得改变比选申请书的实质性内容，并构成比选申请书的组成部分。</w:t>
      </w:r>
    </w:p>
    <w:p w14:paraId="0D70CB29">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3.3.3 评审小组对比选申请人提交的澄清、说明或补正有疑问的，可以要求比选申请人进一步澄清、说明或补正，直至满足评审小组的要求。</w:t>
      </w:r>
    </w:p>
    <w:p w14:paraId="6467A58A">
      <w:pPr>
        <w:pStyle w:val="4"/>
        <w:widowControl/>
        <w:adjustRightInd w:val="0"/>
        <w:snapToGrid w:val="0"/>
        <w:spacing w:beforeAutospacing="0" w:afterAutospacing="0" w:line="560" w:lineRule="exact"/>
        <w:ind w:firstLine="643" w:firstLineChars="200"/>
        <w:rPr>
          <w:rFonts w:hint="default" w:ascii="仿宋_GB2312" w:hAnsi="仿宋_GB2312" w:eastAsia="仿宋_GB2312" w:cs="仿宋_GB2312"/>
          <w:sz w:val="32"/>
          <w:szCs w:val="32"/>
        </w:rPr>
      </w:pPr>
      <w:r>
        <w:rPr>
          <w:rFonts w:ascii="仿宋_GB2312" w:hAnsi="仿宋_GB2312" w:eastAsia="仿宋_GB2312" w:cs="仿宋_GB2312"/>
          <w:sz w:val="32"/>
          <w:szCs w:val="32"/>
        </w:rPr>
        <w:t>3.4 评审结果</w:t>
      </w:r>
    </w:p>
    <w:p w14:paraId="339F8839">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3.4.1 评审小组按照得分由高到低的顺序推荐中标候选人。</w:t>
      </w:r>
    </w:p>
    <w:p w14:paraId="6CA13925">
      <w:pPr>
        <w:widowControl/>
        <w:adjustRightInd w:val="0"/>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3.4.2 评审小组完成评审后，应当向比选人提交书面评审报告和中选候选人名单。</w:t>
      </w:r>
    </w:p>
    <w:p w14:paraId="6CA1AE54">
      <w:pPr>
        <w:pStyle w:val="2"/>
        <w:adjustRightInd w:val="0"/>
        <w:snapToGrid w:val="0"/>
        <w:spacing w:before="0" w:after="0" w:line="560" w:lineRule="exact"/>
        <w:ind w:firstLine="640"/>
        <w:rPr>
          <w:rFonts w:ascii="仿宋_GB2312" w:hAnsi="仿宋_GB2312" w:eastAsia="仿宋_GB2312" w:cs="仿宋_GB2312"/>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0130B"/>
    <w:rsid w:val="0010702F"/>
    <w:rsid w:val="002715F4"/>
    <w:rsid w:val="002E361B"/>
    <w:rsid w:val="003E5D9E"/>
    <w:rsid w:val="00662F76"/>
    <w:rsid w:val="006D53B3"/>
    <w:rsid w:val="0089287B"/>
    <w:rsid w:val="008C5D87"/>
    <w:rsid w:val="00CD4CA5"/>
    <w:rsid w:val="00E960BA"/>
    <w:rsid w:val="062F567C"/>
    <w:rsid w:val="089C2B44"/>
    <w:rsid w:val="0C77492A"/>
    <w:rsid w:val="0CC63C13"/>
    <w:rsid w:val="14873BBD"/>
    <w:rsid w:val="1A3B1706"/>
    <w:rsid w:val="208E1789"/>
    <w:rsid w:val="2DA4343D"/>
    <w:rsid w:val="2DAF77D3"/>
    <w:rsid w:val="34AD5538"/>
    <w:rsid w:val="3A566466"/>
    <w:rsid w:val="3B117E94"/>
    <w:rsid w:val="3C862009"/>
    <w:rsid w:val="3EF94B8E"/>
    <w:rsid w:val="480B0E8C"/>
    <w:rsid w:val="4960130B"/>
    <w:rsid w:val="53CA0566"/>
    <w:rsid w:val="5B9018D7"/>
    <w:rsid w:val="5DBC02C3"/>
    <w:rsid w:val="608B6E0E"/>
    <w:rsid w:val="617734A3"/>
    <w:rsid w:val="70F27F0A"/>
    <w:rsid w:val="712A1FD7"/>
    <w:rsid w:val="78C82DE6"/>
    <w:rsid w:val="7EB547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semiHidden/>
    <w:unhideWhenUsed/>
    <w:qFormat/>
    <w:uiPriority w:val="0"/>
    <w:pPr>
      <w:spacing w:beforeAutospacing="1" w:afterAutospacing="1"/>
      <w:jc w:val="left"/>
      <w:outlineLvl w:val="1"/>
    </w:pPr>
    <w:rPr>
      <w:rFonts w:hint="eastAsia" w:ascii="宋体" w:hAnsi="宋体"/>
      <w:b/>
      <w:bCs/>
      <w:kern w:val="0"/>
      <w:sz w:val="36"/>
      <w:szCs w:val="36"/>
    </w:rPr>
  </w:style>
  <w:style w:type="paragraph" w:styleId="4">
    <w:name w:val="heading 3"/>
    <w:basedOn w:val="1"/>
    <w:next w:val="1"/>
    <w:semiHidden/>
    <w:unhideWhenUsed/>
    <w:qFormat/>
    <w:uiPriority w:val="0"/>
    <w:pPr>
      <w:spacing w:beforeAutospacing="1" w:afterAutospacing="1"/>
      <w:jc w:val="left"/>
      <w:outlineLvl w:val="2"/>
    </w:pPr>
    <w:rPr>
      <w:rFonts w:hint="eastAsia" w:ascii="宋体" w:hAnsi="宋体"/>
      <w:b/>
      <w:bCs/>
      <w:kern w:val="0"/>
      <w:sz w:val="27"/>
      <w:szCs w:val="27"/>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正文（缩进）"/>
    <w:qFormat/>
    <w:uiPriority w:val="0"/>
    <w:pPr>
      <w:widowControl w:val="0"/>
      <w:spacing w:before="50" w:after="50"/>
      <w:ind w:firstLine="200" w:firstLineChars="200"/>
      <w:jc w:val="both"/>
    </w:pPr>
    <w:rPr>
      <w:rFonts w:ascii="Calibri" w:hAnsi="Calibri" w:eastAsia="宋体" w:cs="Times New Roman"/>
      <w:kern w:val="28"/>
      <w:sz w:val="28"/>
      <w:szCs w:val="22"/>
      <w:lang w:val="en-US" w:eastAsia="zh-CN" w:bidi="ar-SA"/>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Autospacing="1" w:after="100" w:afterAutospacing="1"/>
      <w:jc w:val="left"/>
    </w:pPr>
    <w:rPr>
      <w:kern w:val="0"/>
      <w:sz w:val="24"/>
    </w:rPr>
  </w:style>
  <w:style w:type="paragraph" w:customStyle="1" w:styleId="10">
    <w:name w:val="Table Paragraph"/>
    <w:basedOn w:val="1"/>
    <w:qFormat/>
    <w:uiPriority w:val="0"/>
    <w:pPr>
      <w:jc w:val="left"/>
    </w:pPr>
    <w:rPr>
      <w:kern w:val="0"/>
      <w:sz w:val="22"/>
      <w:szCs w:val="22"/>
      <w:lang w:eastAsia="en-US"/>
    </w:rPr>
  </w:style>
  <w:style w:type="character" w:customStyle="1" w:styleId="11">
    <w:name w:val="页眉 Char"/>
    <w:basedOn w:val="9"/>
    <w:link w:val="6"/>
    <w:qFormat/>
    <w:uiPriority w:val="0"/>
    <w:rPr>
      <w:rFonts w:ascii="Calibri" w:hAnsi="Calibri"/>
      <w:kern w:val="2"/>
      <w:sz w:val="18"/>
      <w:szCs w:val="18"/>
    </w:rPr>
  </w:style>
  <w:style w:type="character" w:customStyle="1" w:styleId="12">
    <w:name w:val="页脚 Char"/>
    <w:basedOn w:val="9"/>
    <w:link w:val="5"/>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Pages>
  <Words>3693</Words>
  <Characters>3851</Characters>
  <Lines>28</Lines>
  <Paragraphs>8</Paragraphs>
  <TotalTime>22</TotalTime>
  <ScaleCrop>false</ScaleCrop>
  <LinksUpToDate>false</LinksUpToDate>
  <CharactersWithSpaces>3880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2024-12-25T01:27:00Z</dcterms:created>
  <dc:creator>lenovo</dc:creator>
  <cp:lastModifiedBy>Moon.</cp:lastModifiedBy>
  <cp:lastPrinted>2026-04-30T01:32:28Z</cp:lastPrinted>
  <dcterms:modified xsi:type="dcterms:W3CDTF">2026-04-30T02:33:28Z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eyJoZGlkIjoiZWRjMzJhODMyYTI2YTQ4ODhmNjc2N2UyM2IxMzk5MzQiLCJ1c2VySWQiOiI2NzAzMzIwNTgifQ==</vt:lpwstr>
  </property>
  <property fmtid="{D5CDD505-2E9C-101B-9397-08002B2CF9AE}" pid="4" name="ICV">
    <vt:lpwstr>A86EC1BA6C2A4247A3F049A0D9F79327_12</vt:lpwstr>
  </property>
</Properties>
</file>